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A96E55" w14:textId="77777777" w:rsidR="00010F68" w:rsidRPr="00772DAC" w:rsidRDefault="00010F68" w:rsidP="00010F68">
      <w:pPr>
        <w:spacing w:after="0"/>
        <w:ind w:left="0" w:firstLine="0"/>
        <w:jc w:val="center"/>
        <w:rPr>
          <w:bCs/>
          <w:szCs w:val="24"/>
        </w:rPr>
      </w:pPr>
      <w:r w:rsidRPr="00772DAC">
        <w:rPr>
          <w:bCs/>
          <w:szCs w:val="24"/>
        </w:rPr>
        <w:t>UNIVERSITY OF CAPE COAST</w:t>
      </w:r>
    </w:p>
    <w:p w14:paraId="0BFAA6B9" w14:textId="77777777" w:rsidR="00010F68" w:rsidRPr="00772DAC" w:rsidRDefault="00010F68" w:rsidP="00010F68">
      <w:pPr>
        <w:pStyle w:val="BodyText"/>
        <w:ind w:left="0" w:firstLine="0"/>
        <w:rPr>
          <w:rFonts w:cs="Times New Roman"/>
          <w:bCs/>
          <w:szCs w:val="24"/>
        </w:rPr>
      </w:pPr>
    </w:p>
    <w:p w14:paraId="29DAB3CB" w14:textId="77777777" w:rsidR="00010F68" w:rsidRPr="00772DAC" w:rsidRDefault="00010F68" w:rsidP="00010F68">
      <w:pPr>
        <w:pStyle w:val="BodyText"/>
        <w:ind w:left="0" w:firstLine="0"/>
        <w:rPr>
          <w:rFonts w:cs="Times New Roman"/>
          <w:bCs/>
          <w:szCs w:val="24"/>
        </w:rPr>
      </w:pPr>
    </w:p>
    <w:p w14:paraId="46302925" w14:textId="77777777" w:rsidR="00010F68" w:rsidRDefault="00010F68" w:rsidP="00010F68">
      <w:pPr>
        <w:pStyle w:val="BodyText"/>
        <w:ind w:left="0" w:firstLine="0"/>
        <w:rPr>
          <w:rFonts w:cs="Times New Roman"/>
          <w:bCs/>
          <w:szCs w:val="24"/>
        </w:rPr>
      </w:pPr>
    </w:p>
    <w:p w14:paraId="40A74556" w14:textId="77777777" w:rsidR="00010F68" w:rsidRDefault="00010F68" w:rsidP="00010F68">
      <w:pPr>
        <w:pStyle w:val="BodyText"/>
        <w:ind w:left="0" w:firstLine="0"/>
        <w:rPr>
          <w:rFonts w:cs="Times New Roman"/>
          <w:bCs/>
          <w:szCs w:val="24"/>
        </w:rPr>
      </w:pPr>
    </w:p>
    <w:p w14:paraId="6C1BC65C" w14:textId="77777777" w:rsidR="00010F68" w:rsidRPr="00772DAC" w:rsidRDefault="00010F68" w:rsidP="00010F68">
      <w:pPr>
        <w:pStyle w:val="BodyText"/>
        <w:ind w:left="0" w:firstLine="0"/>
        <w:rPr>
          <w:rFonts w:cs="Times New Roman"/>
          <w:bCs/>
          <w:szCs w:val="24"/>
        </w:rPr>
      </w:pPr>
    </w:p>
    <w:p w14:paraId="0095BAA0" w14:textId="77777777" w:rsidR="00010F68" w:rsidRPr="00772DAC" w:rsidRDefault="00010F68" w:rsidP="00010F68">
      <w:pPr>
        <w:pStyle w:val="BodyText"/>
        <w:ind w:left="0" w:firstLine="0"/>
        <w:rPr>
          <w:rFonts w:cs="Times New Roman"/>
          <w:bCs/>
          <w:szCs w:val="24"/>
        </w:rPr>
      </w:pPr>
    </w:p>
    <w:p w14:paraId="0B2541B4" w14:textId="77777777" w:rsidR="00010F68" w:rsidRPr="00772DAC" w:rsidRDefault="00010F68" w:rsidP="00010F68">
      <w:pPr>
        <w:pStyle w:val="BodyText"/>
        <w:ind w:left="0" w:firstLine="0"/>
        <w:jc w:val="center"/>
        <w:rPr>
          <w:rFonts w:cs="Times New Roman"/>
          <w:bCs/>
          <w:szCs w:val="24"/>
        </w:rPr>
      </w:pPr>
      <w:r w:rsidRPr="00772DAC">
        <w:rPr>
          <w:rFonts w:cs="Times New Roman"/>
          <w:bCs/>
          <w:szCs w:val="24"/>
        </w:rPr>
        <w:t>STAKEHOLDER COLLABORATION AND SUSTAINABLE COMMUNITY-BASED FORESTRY AT THE BOBIRI AND SOUTHERN SCARP FOREST RESERVES IN GHANA</w:t>
      </w:r>
    </w:p>
    <w:p w14:paraId="2F564500" w14:textId="77777777" w:rsidR="00010F68" w:rsidRPr="00772DAC" w:rsidRDefault="00010F68" w:rsidP="00010F68">
      <w:pPr>
        <w:pStyle w:val="BodyText"/>
        <w:ind w:left="0" w:firstLine="0"/>
        <w:rPr>
          <w:rFonts w:cs="Times New Roman"/>
          <w:bCs/>
          <w:szCs w:val="24"/>
        </w:rPr>
      </w:pPr>
    </w:p>
    <w:p w14:paraId="1BA1CF3B" w14:textId="77777777" w:rsidR="00010F68" w:rsidRDefault="00010F68" w:rsidP="00010F68">
      <w:pPr>
        <w:pStyle w:val="BodyText"/>
        <w:ind w:left="0" w:firstLine="0"/>
        <w:rPr>
          <w:rFonts w:cs="Times New Roman"/>
          <w:bCs/>
          <w:szCs w:val="24"/>
        </w:rPr>
      </w:pPr>
    </w:p>
    <w:p w14:paraId="2997CB70" w14:textId="77777777" w:rsidR="00010F68" w:rsidRPr="00772DAC" w:rsidRDefault="00010F68" w:rsidP="00010F68">
      <w:pPr>
        <w:pStyle w:val="BodyText"/>
        <w:ind w:left="0" w:firstLine="0"/>
        <w:rPr>
          <w:rFonts w:cs="Times New Roman"/>
          <w:bCs/>
          <w:szCs w:val="24"/>
        </w:rPr>
      </w:pPr>
    </w:p>
    <w:p w14:paraId="3F643DF9" w14:textId="77777777" w:rsidR="00010F68" w:rsidRPr="00772DAC" w:rsidRDefault="00010F68" w:rsidP="00010F68">
      <w:pPr>
        <w:pStyle w:val="BodyText"/>
        <w:ind w:left="0" w:firstLine="0"/>
        <w:rPr>
          <w:rFonts w:cs="Times New Roman"/>
          <w:bCs/>
          <w:szCs w:val="24"/>
        </w:rPr>
      </w:pPr>
    </w:p>
    <w:p w14:paraId="03AA5715" w14:textId="77777777" w:rsidR="00010F68" w:rsidRDefault="00010F68" w:rsidP="00010F68">
      <w:pPr>
        <w:pStyle w:val="BodyText"/>
        <w:ind w:left="0" w:firstLine="0"/>
        <w:jc w:val="center"/>
        <w:rPr>
          <w:rFonts w:cs="Times New Roman"/>
          <w:bCs/>
          <w:szCs w:val="24"/>
        </w:rPr>
      </w:pPr>
      <w:r w:rsidRPr="00772DAC">
        <w:rPr>
          <w:rFonts w:cs="Times New Roman"/>
          <w:bCs/>
          <w:szCs w:val="24"/>
        </w:rPr>
        <w:t>KWAME OFORI</w:t>
      </w:r>
    </w:p>
    <w:p w14:paraId="38DB85B7" w14:textId="77777777" w:rsidR="00010F68" w:rsidRDefault="00010F68" w:rsidP="00772DAC">
      <w:pPr>
        <w:spacing w:after="0"/>
        <w:ind w:left="0" w:firstLine="0"/>
        <w:jc w:val="center"/>
        <w:rPr>
          <w:bCs/>
          <w:szCs w:val="24"/>
        </w:rPr>
      </w:pPr>
    </w:p>
    <w:p w14:paraId="58A58316" w14:textId="77777777" w:rsidR="00010F68" w:rsidRDefault="00010F68" w:rsidP="00772DAC">
      <w:pPr>
        <w:spacing w:after="0"/>
        <w:ind w:left="0" w:firstLine="0"/>
        <w:jc w:val="center"/>
        <w:rPr>
          <w:bCs/>
          <w:szCs w:val="24"/>
        </w:rPr>
      </w:pPr>
    </w:p>
    <w:p w14:paraId="60A2D961" w14:textId="77777777" w:rsidR="00010F68" w:rsidRDefault="00010F68" w:rsidP="00772DAC">
      <w:pPr>
        <w:spacing w:after="0"/>
        <w:ind w:left="0" w:firstLine="0"/>
        <w:jc w:val="center"/>
        <w:rPr>
          <w:bCs/>
          <w:szCs w:val="24"/>
        </w:rPr>
      </w:pPr>
    </w:p>
    <w:p w14:paraId="627A37C7" w14:textId="77777777" w:rsidR="00010F68" w:rsidRDefault="00010F68" w:rsidP="00010F68">
      <w:pPr>
        <w:pStyle w:val="BodyText"/>
      </w:pPr>
    </w:p>
    <w:p w14:paraId="05BAA975" w14:textId="77777777" w:rsidR="00010F68" w:rsidRDefault="00010F68" w:rsidP="00010F68">
      <w:pPr>
        <w:pStyle w:val="BodyText"/>
      </w:pPr>
    </w:p>
    <w:p w14:paraId="6503B103" w14:textId="77777777" w:rsidR="00010F68" w:rsidRPr="00010F68" w:rsidRDefault="00010F68" w:rsidP="00010F68">
      <w:pPr>
        <w:pStyle w:val="BodyText"/>
      </w:pPr>
    </w:p>
    <w:p w14:paraId="59AAB32E" w14:textId="75187E6F" w:rsidR="00010F68" w:rsidRDefault="004D6094" w:rsidP="00772DAC">
      <w:pPr>
        <w:spacing w:after="0"/>
        <w:ind w:left="0" w:firstLine="0"/>
        <w:jc w:val="center"/>
        <w:rPr>
          <w:bCs/>
          <w:szCs w:val="24"/>
        </w:rPr>
      </w:pPr>
      <w:r>
        <w:rPr>
          <w:noProof/>
          <w:lang w:val="en-US"/>
        </w:rPr>
        <mc:AlternateContent>
          <mc:Choice Requires="wps">
            <w:drawing>
              <wp:anchor distT="0" distB="0" distL="114300" distR="114300" simplePos="0" relativeHeight="251658244" behindDoc="0" locked="0" layoutInCell="1" allowOverlap="1" wp14:anchorId="7AAABFD5" wp14:editId="7B8D418B">
                <wp:simplePos x="0" y="0"/>
                <wp:positionH relativeFrom="column">
                  <wp:posOffset>2336800</wp:posOffset>
                </wp:positionH>
                <wp:positionV relativeFrom="paragraph">
                  <wp:posOffset>267335</wp:posOffset>
                </wp:positionV>
                <wp:extent cx="248285" cy="28194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8285" cy="281940"/>
                        </a:xfrm>
                        <a:prstGeom prst="rect">
                          <a:avLst/>
                        </a:prstGeom>
                        <a:solidFill>
                          <a:schemeClr val="lt1"/>
                        </a:solidFill>
                        <a:ln w="6350">
                          <a:noFill/>
                        </a:ln>
                      </wps:spPr>
                      <wps:txbx>
                        <w:txbxContent>
                          <w:p w14:paraId="42FAE0D9" w14:textId="77777777" w:rsidR="00755789" w:rsidRDefault="00755789">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AAABFD5" id="_x0000_t202" coordsize="21600,21600" o:spt="202" path="m,l,21600r21600,l21600,xe">
                <v:stroke joinstyle="miter"/>
                <v:path gradientshapeok="t" o:connecttype="rect"/>
              </v:shapetype>
              <v:shape id="Text Box 4" o:spid="_x0000_s1026" type="#_x0000_t202" style="position:absolute;left:0;text-align:left;margin-left:184pt;margin-top:21.05pt;width:19.55pt;height:22.2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" fillcolor="white [3201]" stroked="f" strokeweight=".5pt">
                <v:textbox>
                  <w:txbxContent>
                    <w:p w14:paraId="42FAE0D9" w14:textId="77777777" w:rsidR="00755789" w:rsidRDefault="00755789">
                      <w:pPr>
                        <w:ind w:left="0"/>
                      </w:pPr>
                    </w:p>
                  </w:txbxContent>
                </v:textbox>
              </v:shape>
            </w:pict>
          </mc:Fallback>
        </mc:AlternateContent>
      </w:r>
      <w:r w:rsidR="00010F68">
        <w:rPr>
          <w:bCs/>
          <w:szCs w:val="24"/>
        </w:rPr>
        <w:t>2024</w:t>
      </w:r>
    </w:p>
    <w:p w14:paraId="2A4A2608" w14:textId="77777777" w:rsidR="0081629E" w:rsidRDefault="0081629E" w:rsidP="00772DAC">
      <w:pPr>
        <w:spacing w:after="0"/>
        <w:ind w:left="0" w:firstLine="0"/>
        <w:jc w:val="center"/>
        <w:rPr>
          <w:bCs/>
          <w:szCs w:val="24"/>
        </w:rPr>
        <w:sectPr w:rsidR="0081629E" w:rsidSect="0081629E">
          <w:footerReference w:type="even" r:id="rId8"/>
          <w:footerReference w:type="default" r:id="rId9"/>
          <w:headerReference w:type="first" r:id="rId10"/>
          <w:footerReference w:type="first" r:id="rId11"/>
          <w:type w:val="continuous"/>
          <w:pgSz w:w="11906" w:h="16838" w:code="9"/>
          <w:pgMar w:top="1440" w:right="1440" w:bottom="1440" w:left="2880" w:header="720" w:footer="720" w:gutter="0"/>
          <w:pgNumType w:fmt="lowerRoman" w:start="2"/>
          <w:cols w:space="720"/>
          <w:titlePg/>
          <w:docGrid w:linePitch="360"/>
        </w:sectPr>
      </w:pPr>
    </w:p>
    <w:p w14:paraId="04A8C58E" w14:textId="28283A1D" w:rsidR="00010F68" w:rsidRDefault="00010F68" w:rsidP="00772DAC">
      <w:pPr>
        <w:spacing w:after="0"/>
        <w:ind w:left="0" w:firstLine="0"/>
        <w:jc w:val="center"/>
        <w:rPr>
          <w:bCs/>
          <w:szCs w:val="24"/>
        </w:rPr>
      </w:pPr>
    </w:p>
    <w:p w14:paraId="59AF83E5" w14:textId="77777777" w:rsidR="00010F68" w:rsidRDefault="00010F68" w:rsidP="00772DAC">
      <w:pPr>
        <w:spacing w:after="0"/>
        <w:ind w:left="0" w:firstLine="0"/>
        <w:jc w:val="center"/>
        <w:rPr>
          <w:bCs/>
          <w:szCs w:val="24"/>
        </w:rPr>
      </w:pPr>
    </w:p>
    <w:p w14:paraId="3D63C195" w14:textId="77777777" w:rsidR="00010F68" w:rsidRDefault="00010F68" w:rsidP="00772DAC">
      <w:pPr>
        <w:spacing w:after="0"/>
        <w:ind w:left="0" w:firstLine="0"/>
        <w:jc w:val="center"/>
        <w:rPr>
          <w:bCs/>
          <w:szCs w:val="24"/>
        </w:rPr>
      </w:pPr>
    </w:p>
    <w:p w14:paraId="37063F5B" w14:textId="77777777" w:rsidR="00010F68" w:rsidRDefault="00010F68" w:rsidP="00772DAC">
      <w:pPr>
        <w:spacing w:after="0"/>
        <w:ind w:left="0" w:firstLine="0"/>
        <w:jc w:val="center"/>
        <w:rPr>
          <w:bCs/>
          <w:szCs w:val="24"/>
        </w:rPr>
      </w:pPr>
    </w:p>
    <w:p w14:paraId="05B951D1" w14:textId="77777777" w:rsidR="00010F68" w:rsidRDefault="00010F68" w:rsidP="00772DAC">
      <w:pPr>
        <w:spacing w:after="0"/>
        <w:ind w:left="0" w:firstLine="0"/>
        <w:jc w:val="center"/>
        <w:rPr>
          <w:bCs/>
          <w:szCs w:val="24"/>
        </w:rPr>
      </w:pPr>
    </w:p>
    <w:p w14:paraId="3184648A" w14:textId="77777777" w:rsidR="00010F68" w:rsidRDefault="00010F68" w:rsidP="00772DAC">
      <w:pPr>
        <w:spacing w:after="0"/>
        <w:ind w:left="0" w:firstLine="0"/>
        <w:jc w:val="center"/>
        <w:rPr>
          <w:bCs/>
          <w:szCs w:val="24"/>
        </w:rPr>
      </w:pPr>
    </w:p>
    <w:p w14:paraId="3F11E304" w14:textId="77777777" w:rsidR="00010F68" w:rsidRPr="00010F68" w:rsidRDefault="00010F68" w:rsidP="00010F68">
      <w:pPr>
        <w:pStyle w:val="BodyText"/>
      </w:pPr>
    </w:p>
    <w:p w14:paraId="2C3EE4F9" w14:textId="77777777" w:rsidR="00010F68" w:rsidRDefault="00010F68" w:rsidP="00772DAC">
      <w:pPr>
        <w:spacing w:after="0"/>
        <w:ind w:left="0" w:firstLine="0"/>
        <w:jc w:val="center"/>
        <w:rPr>
          <w:bCs/>
          <w:szCs w:val="24"/>
        </w:rPr>
      </w:pPr>
    </w:p>
    <w:p w14:paraId="2D2035B0" w14:textId="77777777" w:rsidR="0081629E" w:rsidRDefault="0081629E" w:rsidP="0081629E">
      <w:pPr>
        <w:pStyle w:val="BodyText"/>
      </w:pPr>
    </w:p>
    <w:p w14:paraId="47B87F32" w14:textId="77777777" w:rsidR="0081629E" w:rsidRPr="0081629E" w:rsidRDefault="0081629E" w:rsidP="0081629E">
      <w:pPr>
        <w:pStyle w:val="BodyText"/>
      </w:pPr>
    </w:p>
    <w:p w14:paraId="03E2FA1B" w14:textId="77777777" w:rsidR="009C1D5D" w:rsidRPr="009C1D5D" w:rsidRDefault="009C1D5D" w:rsidP="009C1D5D">
      <w:pPr>
        <w:pStyle w:val="BodyText"/>
      </w:pPr>
    </w:p>
    <w:p w14:paraId="35A18286" w14:textId="77777777" w:rsidR="00010F68" w:rsidRDefault="00010F68" w:rsidP="00010F68">
      <w:pPr>
        <w:pStyle w:val="BodyText"/>
        <w:spacing w:line="240" w:lineRule="auto"/>
        <w:ind w:left="0" w:firstLine="0"/>
        <w:jc w:val="center"/>
        <w:rPr>
          <w:rFonts w:cs="Times New Roman"/>
          <w:bCs/>
          <w:szCs w:val="24"/>
        </w:rPr>
      </w:pPr>
      <w:r>
        <w:rPr>
          <w:rFonts w:cs="Times New Roman"/>
          <w:bCs/>
          <w:szCs w:val="24"/>
        </w:rPr>
        <w:t>©</w:t>
      </w:r>
      <w:r w:rsidRPr="00772DAC">
        <w:rPr>
          <w:rFonts w:cs="Times New Roman"/>
          <w:bCs/>
          <w:szCs w:val="24"/>
        </w:rPr>
        <w:t>Kwame Ofori</w:t>
      </w:r>
    </w:p>
    <w:p w14:paraId="101928AC" w14:textId="77777777" w:rsidR="00010F68" w:rsidRPr="00772DAC" w:rsidRDefault="00010F68" w:rsidP="00010F68">
      <w:pPr>
        <w:spacing w:after="0" w:line="240" w:lineRule="auto"/>
        <w:ind w:left="0" w:firstLine="0"/>
        <w:jc w:val="center"/>
        <w:rPr>
          <w:bCs/>
          <w:szCs w:val="24"/>
        </w:rPr>
      </w:pPr>
      <w:r>
        <w:rPr>
          <w:bCs/>
          <w:szCs w:val="24"/>
        </w:rPr>
        <w:t>University o</w:t>
      </w:r>
      <w:r w:rsidRPr="00772DAC">
        <w:rPr>
          <w:bCs/>
          <w:szCs w:val="24"/>
        </w:rPr>
        <w:t>f Cape Coast</w:t>
      </w:r>
    </w:p>
    <w:p w14:paraId="303A07BB" w14:textId="77777777" w:rsidR="00010F68" w:rsidRDefault="00010F68" w:rsidP="00772DAC">
      <w:pPr>
        <w:spacing w:after="0"/>
        <w:ind w:left="0" w:firstLine="0"/>
        <w:jc w:val="center"/>
        <w:rPr>
          <w:bCs/>
          <w:szCs w:val="24"/>
        </w:rPr>
      </w:pPr>
    </w:p>
    <w:p w14:paraId="3D476215" w14:textId="77777777" w:rsidR="00010F68" w:rsidRDefault="00010F68" w:rsidP="00772DAC">
      <w:pPr>
        <w:spacing w:after="0"/>
        <w:ind w:left="0" w:firstLine="0"/>
        <w:jc w:val="center"/>
        <w:rPr>
          <w:bCs/>
          <w:szCs w:val="24"/>
        </w:rPr>
      </w:pPr>
    </w:p>
    <w:p w14:paraId="768A8E9A" w14:textId="77777777" w:rsidR="00010F68" w:rsidRDefault="00010F68" w:rsidP="00772DAC">
      <w:pPr>
        <w:spacing w:after="0"/>
        <w:ind w:left="0" w:firstLine="0"/>
        <w:jc w:val="center"/>
        <w:rPr>
          <w:bCs/>
          <w:szCs w:val="24"/>
        </w:rPr>
      </w:pPr>
    </w:p>
    <w:p w14:paraId="3C8D9505" w14:textId="77777777" w:rsidR="00010F68" w:rsidRDefault="00010F68" w:rsidP="00772DAC">
      <w:pPr>
        <w:spacing w:after="0"/>
        <w:ind w:left="0" w:firstLine="0"/>
        <w:jc w:val="center"/>
        <w:rPr>
          <w:bCs/>
          <w:szCs w:val="24"/>
        </w:rPr>
      </w:pPr>
    </w:p>
    <w:p w14:paraId="1E9AAA06" w14:textId="77777777" w:rsidR="00010F68" w:rsidRDefault="00010F68" w:rsidP="00772DAC">
      <w:pPr>
        <w:spacing w:after="0"/>
        <w:ind w:left="0" w:firstLine="0"/>
        <w:jc w:val="center"/>
        <w:rPr>
          <w:bCs/>
          <w:szCs w:val="24"/>
        </w:rPr>
      </w:pPr>
    </w:p>
    <w:p w14:paraId="2E796D6A" w14:textId="77777777" w:rsidR="00010F68" w:rsidRDefault="00010F68" w:rsidP="00772DAC">
      <w:pPr>
        <w:spacing w:after="0"/>
        <w:ind w:left="0" w:firstLine="0"/>
        <w:jc w:val="center"/>
        <w:rPr>
          <w:bCs/>
          <w:szCs w:val="24"/>
        </w:rPr>
      </w:pPr>
    </w:p>
    <w:p w14:paraId="03674F0F" w14:textId="77777777" w:rsidR="00010F68" w:rsidRDefault="00010F68" w:rsidP="00772DAC">
      <w:pPr>
        <w:spacing w:after="0"/>
        <w:ind w:left="0" w:firstLine="0"/>
        <w:jc w:val="center"/>
        <w:rPr>
          <w:bCs/>
          <w:szCs w:val="24"/>
        </w:rPr>
      </w:pPr>
    </w:p>
    <w:p w14:paraId="2D5093DE" w14:textId="77777777" w:rsidR="00010F68" w:rsidRDefault="00010F68" w:rsidP="00772DAC">
      <w:pPr>
        <w:spacing w:after="0"/>
        <w:ind w:left="0" w:firstLine="0"/>
        <w:jc w:val="center"/>
        <w:rPr>
          <w:bCs/>
          <w:szCs w:val="24"/>
        </w:rPr>
      </w:pPr>
    </w:p>
    <w:p w14:paraId="074585F1" w14:textId="77777777" w:rsidR="00010F68" w:rsidRDefault="00010F68" w:rsidP="00772DAC">
      <w:pPr>
        <w:spacing w:after="0"/>
        <w:ind w:left="0" w:firstLine="0"/>
        <w:jc w:val="center"/>
        <w:rPr>
          <w:bCs/>
          <w:szCs w:val="24"/>
        </w:rPr>
      </w:pPr>
    </w:p>
    <w:p w14:paraId="11301D4F" w14:textId="77777777" w:rsidR="00010F68" w:rsidRDefault="00010F68" w:rsidP="00010F68">
      <w:pPr>
        <w:pStyle w:val="BodyText"/>
      </w:pPr>
    </w:p>
    <w:p w14:paraId="7DE1205C" w14:textId="77777777" w:rsidR="00010F68" w:rsidRDefault="00010F68" w:rsidP="00010F68">
      <w:pPr>
        <w:pStyle w:val="BodyText"/>
      </w:pPr>
    </w:p>
    <w:p w14:paraId="12CD3C94" w14:textId="77777777" w:rsidR="0081629E" w:rsidRDefault="0081629E" w:rsidP="0081629E">
      <w:pPr>
        <w:spacing w:after="0"/>
        <w:ind w:left="0" w:firstLine="0"/>
        <w:rPr>
          <w:bCs/>
          <w:szCs w:val="24"/>
        </w:rPr>
        <w:sectPr w:rsidR="0081629E" w:rsidSect="0081629E">
          <w:footerReference w:type="default" r:id="rId12"/>
          <w:footerReference w:type="first" r:id="rId13"/>
          <w:pgSz w:w="11906" w:h="16838" w:code="9"/>
          <w:pgMar w:top="1440" w:right="1440" w:bottom="1440" w:left="2880" w:header="720" w:footer="720" w:gutter="0"/>
          <w:pgNumType w:fmt="lowerRoman" w:start="2"/>
          <w:cols w:space="720"/>
          <w:titlePg/>
          <w:docGrid w:linePitch="360"/>
        </w:sectPr>
      </w:pPr>
    </w:p>
    <w:p w14:paraId="130CF62A" w14:textId="77777777" w:rsidR="00772DAC" w:rsidRPr="00772DAC" w:rsidRDefault="00772DAC" w:rsidP="00772DAC">
      <w:pPr>
        <w:spacing w:after="0"/>
        <w:ind w:left="0" w:firstLine="0"/>
        <w:jc w:val="center"/>
        <w:rPr>
          <w:bCs/>
          <w:szCs w:val="24"/>
        </w:rPr>
      </w:pPr>
      <w:r w:rsidRPr="00772DAC">
        <w:rPr>
          <w:bCs/>
          <w:szCs w:val="24"/>
        </w:rPr>
        <w:lastRenderedPageBreak/>
        <w:t>UNIVERSITY OF CAPE COAST</w:t>
      </w:r>
    </w:p>
    <w:p w14:paraId="734C619A" w14:textId="77777777" w:rsidR="00E57A20" w:rsidRPr="00772DAC" w:rsidRDefault="00E57A20" w:rsidP="00772DAC">
      <w:pPr>
        <w:pStyle w:val="BodyText"/>
        <w:ind w:left="0" w:firstLine="0"/>
        <w:rPr>
          <w:rFonts w:cs="Times New Roman"/>
          <w:bCs/>
          <w:szCs w:val="24"/>
        </w:rPr>
      </w:pPr>
    </w:p>
    <w:p w14:paraId="54494190" w14:textId="77777777" w:rsidR="00A86D4F" w:rsidRPr="00772DAC" w:rsidRDefault="00A86D4F" w:rsidP="00772DAC">
      <w:pPr>
        <w:pStyle w:val="BodyText"/>
        <w:ind w:left="0" w:firstLine="0"/>
        <w:rPr>
          <w:rFonts w:cs="Times New Roman"/>
          <w:bCs/>
          <w:szCs w:val="24"/>
        </w:rPr>
      </w:pPr>
    </w:p>
    <w:p w14:paraId="19650B74" w14:textId="77777777" w:rsidR="00A378BB" w:rsidRPr="00772DAC" w:rsidRDefault="00A378BB" w:rsidP="00772DAC">
      <w:pPr>
        <w:pStyle w:val="BodyText"/>
        <w:ind w:left="0" w:firstLine="0"/>
        <w:rPr>
          <w:rFonts w:cs="Times New Roman"/>
          <w:bCs/>
          <w:szCs w:val="24"/>
        </w:rPr>
      </w:pPr>
    </w:p>
    <w:p w14:paraId="54752852" w14:textId="77777777" w:rsidR="00384D21" w:rsidRPr="00772DAC" w:rsidRDefault="00384D21" w:rsidP="00772DAC">
      <w:pPr>
        <w:pStyle w:val="BodyText"/>
        <w:ind w:left="0" w:firstLine="0"/>
        <w:rPr>
          <w:rFonts w:cs="Times New Roman"/>
          <w:bCs/>
          <w:szCs w:val="24"/>
        </w:rPr>
      </w:pPr>
    </w:p>
    <w:p w14:paraId="2D98C10F" w14:textId="77777777" w:rsidR="00BA2327" w:rsidRPr="00772DAC" w:rsidRDefault="00B25F2B" w:rsidP="00772DAC">
      <w:pPr>
        <w:pStyle w:val="BodyText"/>
        <w:ind w:left="0" w:firstLine="0"/>
        <w:jc w:val="center"/>
        <w:rPr>
          <w:rFonts w:cs="Times New Roman"/>
          <w:bCs/>
          <w:szCs w:val="24"/>
        </w:rPr>
      </w:pPr>
      <w:bookmarkStart w:id="0" w:name="_Hlk126254385"/>
      <w:r w:rsidRPr="00772DAC">
        <w:rPr>
          <w:rFonts w:cs="Times New Roman"/>
          <w:bCs/>
          <w:szCs w:val="24"/>
        </w:rPr>
        <w:t xml:space="preserve">STAKEHOLDER </w:t>
      </w:r>
      <w:r w:rsidR="00E42D07" w:rsidRPr="00772DAC">
        <w:rPr>
          <w:rFonts w:cs="Times New Roman"/>
          <w:bCs/>
          <w:szCs w:val="24"/>
        </w:rPr>
        <w:t>COLLABORATION</w:t>
      </w:r>
      <w:r w:rsidRPr="00772DAC">
        <w:rPr>
          <w:rFonts w:cs="Times New Roman"/>
          <w:bCs/>
          <w:szCs w:val="24"/>
        </w:rPr>
        <w:t xml:space="preserve"> </w:t>
      </w:r>
      <w:r w:rsidR="00FD379F" w:rsidRPr="00772DAC">
        <w:rPr>
          <w:rFonts w:cs="Times New Roman"/>
          <w:bCs/>
          <w:szCs w:val="24"/>
        </w:rPr>
        <w:t>AND</w:t>
      </w:r>
      <w:r w:rsidRPr="00772DAC">
        <w:rPr>
          <w:rFonts w:cs="Times New Roman"/>
          <w:bCs/>
          <w:szCs w:val="24"/>
        </w:rPr>
        <w:t xml:space="preserve"> SUSTAINABLE COMMUNITY</w:t>
      </w:r>
      <w:r w:rsidR="006B2D86" w:rsidRPr="00772DAC">
        <w:rPr>
          <w:rFonts w:cs="Times New Roman"/>
          <w:bCs/>
          <w:szCs w:val="24"/>
        </w:rPr>
        <w:t>-</w:t>
      </w:r>
      <w:r w:rsidR="00E42D07" w:rsidRPr="00772DAC">
        <w:rPr>
          <w:rFonts w:cs="Times New Roman"/>
          <w:bCs/>
          <w:szCs w:val="24"/>
        </w:rPr>
        <w:t xml:space="preserve">BASED </w:t>
      </w:r>
      <w:r w:rsidRPr="00772DAC">
        <w:rPr>
          <w:rFonts w:cs="Times New Roman"/>
          <w:bCs/>
          <w:szCs w:val="24"/>
        </w:rPr>
        <w:t xml:space="preserve">FORESTRY AT THE BOBIRI </w:t>
      </w:r>
      <w:r w:rsidR="003A4E48" w:rsidRPr="00772DAC">
        <w:rPr>
          <w:rFonts w:cs="Times New Roman"/>
          <w:bCs/>
          <w:szCs w:val="24"/>
        </w:rPr>
        <w:t xml:space="preserve">AND SOUTHERN SCARP </w:t>
      </w:r>
      <w:r w:rsidRPr="00772DAC">
        <w:rPr>
          <w:rFonts w:cs="Times New Roman"/>
          <w:bCs/>
          <w:szCs w:val="24"/>
        </w:rPr>
        <w:t>FOREST RESERVE</w:t>
      </w:r>
      <w:r w:rsidR="003A4E48" w:rsidRPr="00772DAC">
        <w:rPr>
          <w:rFonts w:cs="Times New Roman"/>
          <w:bCs/>
          <w:szCs w:val="24"/>
        </w:rPr>
        <w:t>S</w:t>
      </w:r>
      <w:r w:rsidRPr="00772DAC">
        <w:rPr>
          <w:rFonts w:cs="Times New Roman"/>
          <w:bCs/>
          <w:szCs w:val="24"/>
        </w:rPr>
        <w:t xml:space="preserve"> IN GHANA</w:t>
      </w:r>
    </w:p>
    <w:bookmarkEnd w:id="0"/>
    <w:p w14:paraId="58332C2C" w14:textId="77777777" w:rsidR="00DE1AFF" w:rsidRPr="00772DAC" w:rsidRDefault="00DE1AFF" w:rsidP="00772DAC">
      <w:pPr>
        <w:pStyle w:val="BodyText"/>
        <w:ind w:left="0" w:firstLine="0"/>
        <w:rPr>
          <w:rFonts w:cs="Times New Roman"/>
          <w:bCs/>
          <w:szCs w:val="24"/>
        </w:rPr>
      </w:pPr>
    </w:p>
    <w:p w14:paraId="3E327804" w14:textId="77777777" w:rsidR="00DE1AFF" w:rsidRPr="00772DAC" w:rsidRDefault="00DE1AFF" w:rsidP="00772DAC">
      <w:pPr>
        <w:pStyle w:val="BodyText"/>
        <w:ind w:left="0" w:firstLine="0"/>
        <w:rPr>
          <w:rFonts w:cs="Times New Roman"/>
          <w:bCs/>
          <w:szCs w:val="24"/>
        </w:rPr>
      </w:pPr>
    </w:p>
    <w:p w14:paraId="3132F7BD" w14:textId="77777777" w:rsidR="00DE1AFF" w:rsidRPr="00772DAC" w:rsidRDefault="00772DAC" w:rsidP="00772DAC">
      <w:pPr>
        <w:pStyle w:val="BodyText"/>
        <w:ind w:left="0" w:firstLine="0"/>
        <w:jc w:val="center"/>
        <w:rPr>
          <w:rFonts w:cs="Times New Roman"/>
          <w:bCs/>
          <w:szCs w:val="24"/>
        </w:rPr>
      </w:pPr>
      <w:r w:rsidRPr="00772DAC">
        <w:rPr>
          <w:rFonts w:cs="Times New Roman"/>
          <w:bCs/>
          <w:szCs w:val="24"/>
        </w:rPr>
        <w:t>BY</w:t>
      </w:r>
    </w:p>
    <w:p w14:paraId="0B56CFAD" w14:textId="77777777" w:rsidR="00DE1AFF" w:rsidRPr="00772DAC" w:rsidRDefault="00DE1AFF" w:rsidP="00772DAC">
      <w:pPr>
        <w:pStyle w:val="BodyText"/>
        <w:ind w:left="0" w:firstLine="0"/>
        <w:rPr>
          <w:rFonts w:cs="Times New Roman"/>
          <w:bCs/>
          <w:szCs w:val="24"/>
        </w:rPr>
      </w:pPr>
    </w:p>
    <w:p w14:paraId="1C69D44D" w14:textId="77777777" w:rsidR="00DE1AFF" w:rsidRDefault="00B25F2B" w:rsidP="00772DAC">
      <w:pPr>
        <w:pStyle w:val="BodyText"/>
        <w:ind w:left="0" w:firstLine="0"/>
        <w:jc w:val="center"/>
        <w:rPr>
          <w:rFonts w:cs="Times New Roman"/>
          <w:bCs/>
          <w:szCs w:val="24"/>
        </w:rPr>
      </w:pPr>
      <w:r w:rsidRPr="00772DAC">
        <w:rPr>
          <w:rFonts w:cs="Times New Roman"/>
          <w:bCs/>
          <w:szCs w:val="24"/>
        </w:rPr>
        <w:t>KWAME OFORI</w:t>
      </w:r>
    </w:p>
    <w:p w14:paraId="23024725" w14:textId="77777777" w:rsidR="00772DAC" w:rsidRPr="00772DAC" w:rsidRDefault="00772DAC" w:rsidP="00772DAC">
      <w:pPr>
        <w:pStyle w:val="BodyText"/>
        <w:ind w:left="0" w:firstLine="0"/>
        <w:jc w:val="center"/>
        <w:rPr>
          <w:rFonts w:cs="Times New Roman"/>
          <w:bCs/>
          <w:szCs w:val="24"/>
        </w:rPr>
      </w:pPr>
    </w:p>
    <w:p w14:paraId="2970209F" w14:textId="00518DAE" w:rsidR="00772DAC" w:rsidRDefault="00772DAC" w:rsidP="00772DAC">
      <w:pPr>
        <w:spacing w:after="0" w:line="360" w:lineRule="auto"/>
        <w:ind w:left="0" w:hanging="90"/>
        <w:jc w:val="center"/>
        <w:rPr>
          <w:szCs w:val="24"/>
        </w:rPr>
      </w:pPr>
      <w:r w:rsidRPr="004E4BBB">
        <w:rPr>
          <w:szCs w:val="24"/>
        </w:rPr>
        <w:t xml:space="preserve">Thesis Submitted to the Department of Integrated </w:t>
      </w:r>
      <w:r w:rsidR="00304B9D">
        <w:rPr>
          <w:szCs w:val="24"/>
        </w:rPr>
        <w:t xml:space="preserve">Development </w:t>
      </w:r>
      <w:r w:rsidRPr="004E4BBB">
        <w:rPr>
          <w:szCs w:val="24"/>
        </w:rPr>
        <w:t xml:space="preserve">Studies, School for Development Studies, College of Humanities and Legal Studies, University of Cape Coast, in partial </w:t>
      </w:r>
      <w:r w:rsidR="00F4388E" w:rsidRPr="004E4BBB">
        <w:rPr>
          <w:szCs w:val="24"/>
        </w:rPr>
        <w:t>fulfilment</w:t>
      </w:r>
      <w:r w:rsidRPr="004E4BBB">
        <w:rPr>
          <w:szCs w:val="24"/>
        </w:rPr>
        <w:t xml:space="preserve"> of the requirements for the award of Doctor of Philosophy Degree in Development Studies</w:t>
      </w:r>
    </w:p>
    <w:p w14:paraId="4DA046DB" w14:textId="77777777" w:rsidR="00772DAC" w:rsidRDefault="00772DAC" w:rsidP="00772DAC">
      <w:pPr>
        <w:pStyle w:val="BodyText"/>
      </w:pPr>
    </w:p>
    <w:p w14:paraId="18CB2A42" w14:textId="77777777" w:rsidR="00772DAC" w:rsidRDefault="00772DAC" w:rsidP="00010F68">
      <w:pPr>
        <w:pStyle w:val="BodyText"/>
        <w:jc w:val="center"/>
      </w:pPr>
    </w:p>
    <w:p w14:paraId="4520F2A1" w14:textId="39142B49" w:rsidR="00010F68" w:rsidRDefault="00010F68" w:rsidP="00010F68">
      <w:pPr>
        <w:pStyle w:val="BodyText"/>
        <w:jc w:val="center"/>
      </w:pPr>
    </w:p>
    <w:p w14:paraId="55CD72A6" w14:textId="77777777" w:rsidR="00796E08" w:rsidRDefault="00796E08" w:rsidP="00010F68">
      <w:pPr>
        <w:pStyle w:val="BodyText"/>
        <w:jc w:val="center"/>
      </w:pPr>
    </w:p>
    <w:p w14:paraId="1C08DD5D" w14:textId="2415B8A8" w:rsidR="00772DAC" w:rsidRPr="00772DAC" w:rsidRDefault="004D6094" w:rsidP="00010F68">
      <w:pPr>
        <w:pStyle w:val="BodyText"/>
        <w:ind w:left="0" w:firstLine="0"/>
        <w:jc w:val="center"/>
      </w:pPr>
      <w:r>
        <w:rPr>
          <w:noProof/>
          <w:lang w:val="en-US"/>
        </w:rPr>
        <mc:AlternateContent>
          <mc:Choice Requires="wps">
            <w:drawing>
              <wp:anchor distT="0" distB="0" distL="114300" distR="114300" simplePos="0" relativeHeight="251658241" behindDoc="0" locked="0" layoutInCell="1" allowOverlap="1" wp14:anchorId="26C1DC7A" wp14:editId="1509E82D">
                <wp:simplePos x="0" y="0"/>
                <wp:positionH relativeFrom="column">
                  <wp:posOffset>2212340</wp:posOffset>
                </wp:positionH>
                <wp:positionV relativeFrom="paragraph">
                  <wp:posOffset>391160</wp:posOffset>
                </wp:positionV>
                <wp:extent cx="462915" cy="33845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2915" cy="338455"/>
                        </a:xfrm>
                        <a:prstGeom prst="rect">
                          <a:avLst/>
                        </a:prstGeom>
                        <a:solidFill>
                          <a:schemeClr val="lt1"/>
                        </a:solidFill>
                        <a:ln w="6350">
                          <a:noFill/>
                        </a:ln>
                      </wps:spPr>
                      <wps:txbx>
                        <w:txbxContent>
                          <w:p w14:paraId="0B4814FB" w14:textId="77777777" w:rsidR="00755789" w:rsidRDefault="00755789">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6C1DC7A" id="Text Box 2" o:spid="_x0000_s1027" type="#_x0000_t202" style="position:absolute;left:0;text-align:left;margin-left:174.2pt;margin-top:30.8pt;width:36.45pt;height:26.6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" fillcolor="white [3201]" stroked="f" strokeweight=".5pt">
                <v:textbox>
                  <w:txbxContent>
                    <w:p w14:paraId="0B4814FB" w14:textId="77777777" w:rsidR="00755789" w:rsidRDefault="00755789">
                      <w:pPr>
                        <w:ind w:left="0"/>
                      </w:pPr>
                    </w:p>
                  </w:txbxContent>
                </v:textbox>
              </v:shape>
            </w:pict>
          </mc:Fallback>
        </mc:AlternateContent>
      </w:r>
      <w:r w:rsidR="00B02168">
        <w:t>NOVEMBER</w:t>
      </w:r>
      <w:r w:rsidR="00010F68">
        <w:t xml:space="preserve"> 2024</w:t>
      </w:r>
    </w:p>
    <w:p w14:paraId="36EF4C9A" w14:textId="77777777" w:rsidR="00E56CE7" w:rsidRDefault="00E56CE7" w:rsidP="00BB4078">
      <w:pPr>
        <w:pStyle w:val="Heading1"/>
        <w:ind w:left="0"/>
        <w:sectPr w:rsidR="00E56CE7" w:rsidSect="0081629E">
          <w:pgSz w:w="11906" w:h="16838" w:code="9"/>
          <w:pgMar w:top="1440" w:right="1440" w:bottom="1440" w:left="2880" w:header="720" w:footer="720" w:gutter="0"/>
          <w:pgNumType w:fmt="lowerRoman" w:start="2"/>
          <w:cols w:space="720"/>
          <w:titlePg/>
          <w:docGrid w:linePitch="360"/>
        </w:sectPr>
      </w:pPr>
      <w:bookmarkStart w:id="1" w:name="_Toc150777858"/>
    </w:p>
    <w:p w14:paraId="6C6153E5" w14:textId="7BB89324" w:rsidR="007F4C9C" w:rsidRDefault="007F4C9C" w:rsidP="0081629E">
      <w:pPr>
        <w:pStyle w:val="Heading1"/>
        <w:ind w:left="0"/>
      </w:pPr>
      <w:bookmarkStart w:id="2" w:name="_Toc429429229"/>
      <w:bookmarkStart w:id="3" w:name="_Toc202197575"/>
      <w:bookmarkEnd w:id="1"/>
      <w:r>
        <w:lastRenderedPageBreak/>
        <w:t>DECLARATION</w:t>
      </w:r>
      <w:bookmarkEnd w:id="2"/>
      <w:bookmarkEnd w:id="3"/>
    </w:p>
    <w:p w14:paraId="12F4020E" w14:textId="5644ED08" w:rsidR="000D5C36" w:rsidRDefault="000D5C36" w:rsidP="00DE4684">
      <w:pPr>
        <w:tabs>
          <w:tab w:val="left" w:pos="2268"/>
        </w:tabs>
        <w:ind w:hanging="3141"/>
        <w:rPr>
          <w:noProof/>
        </w:rPr>
      </w:pPr>
    </w:p>
    <w:p w14:paraId="772B81AB" w14:textId="49EB2A73" w:rsidR="00DE4684" w:rsidRDefault="00DE4684" w:rsidP="00DE4684">
      <w:pPr>
        <w:pStyle w:val="BodyText"/>
        <w:ind w:hanging="4275"/>
      </w:pPr>
      <w:r>
        <w:rPr>
          <w:noProof/>
        </w:rPr>
        <w:drawing>
          <wp:inline distT="0" distB="0" distL="0" distR="0" wp14:anchorId="5DC852D2" wp14:editId="429F37BD">
            <wp:extent cx="7424406" cy="6480000"/>
            <wp:effectExtent l="0" t="0" r="5715" b="0"/>
            <wp:docPr id="1837036368" name="Picture 4"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036368" name="Picture 4" descr="A close-up of a document&#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24406" cy="6480000"/>
                    </a:xfrm>
                    <a:prstGeom prst="rect">
                      <a:avLst/>
                    </a:prstGeom>
                    <a:noFill/>
                    <a:ln>
                      <a:noFill/>
                    </a:ln>
                  </pic:spPr>
                </pic:pic>
              </a:graphicData>
            </a:graphic>
          </wp:inline>
        </w:drawing>
      </w:r>
    </w:p>
    <w:p w14:paraId="205B20F1" w14:textId="77777777" w:rsidR="00DE4684" w:rsidRDefault="00DE4684" w:rsidP="00DE4684">
      <w:pPr>
        <w:pStyle w:val="BodyText"/>
      </w:pPr>
    </w:p>
    <w:p w14:paraId="4B09F38C" w14:textId="28736B26" w:rsidR="00DE4684" w:rsidRPr="00DE4684" w:rsidRDefault="00DE4684" w:rsidP="00DE4684">
      <w:pPr>
        <w:pStyle w:val="BodyText"/>
        <w:tabs>
          <w:tab w:val="right" w:pos="2268"/>
        </w:tabs>
        <w:ind w:hanging="4275"/>
      </w:pPr>
    </w:p>
    <w:p w14:paraId="35F6F837" w14:textId="77777777" w:rsidR="007F4C9C" w:rsidRPr="007F4C9C" w:rsidRDefault="007F4C9C" w:rsidP="007F4C9C">
      <w:pPr>
        <w:pStyle w:val="BodyText"/>
        <w:sectPr w:rsidR="007F4C9C" w:rsidRPr="007F4C9C" w:rsidSect="00DE4684">
          <w:pgSz w:w="11909" w:h="16834"/>
          <w:pgMar w:top="1560" w:right="1440" w:bottom="1440" w:left="2880" w:header="1440" w:footer="1080" w:gutter="0"/>
          <w:pgNumType w:fmt="lowerRoman" w:start="2"/>
          <w:cols w:space="720"/>
        </w:sectPr>
      </w:pPr>
    </w:p>
    <w:p w14:paraId="0826B3AB" w14:textId="745EAC58" w:rsidR="007B6B2F" w:rsidRPr="00BB4078" w:rsidRDefault="007B6B2F" w:rsidP="00BB4078">
      <w:pPr>
        <w:pStyle w:val="Heading1"/>
        <w:ind w:left="0"/>
      </w:pPr>
      <w:bookmarkStart w:id="4" w:name="_Toc202197576"/>
      <w:r w:rsidRPr="00BB4078">
        <w:lastRenderedPageBreak/>
        <w:t>abstract</w:t>
      </w:r>
      <w:bookmarkEnd w:id="4"/>
      <w:r w:rsidRPr="00BB4078">
        <w:t xml:space="preserve"> </w:t>
      </w:r>
    </w:p>
    <w:p w14:paraId="5EE6A782" w14:textId="1DF8DCD2" w:rsidR="00CA4CA7" w:rsidRDefault="00CA4CA7" w:rsidP="00CA4CA7">
      <w:pPr>
        <w:ind w:left="0" w:firstLine="0"/>
      </w:pPr>
      <w:r>
        <w:rPr>
          <w:rFonts w:cs="Times New Roman"/>
          <w:szCs w:val="24"/>
        </w:rPr>
        <w:t xml:space="preserve">The involvement of local communities in forest </w:t>
      </w:r>
      <w:r w:rsidR="002300D0">
        <w:rPr>
          <w:rFonts w:cs="Times New Roman"/>
          <w:szCs w:val="24"/>
        </w:rPr>
        <w:t>management</w:t>
      </w:r>
      <w:r>
        <w:rPr>
          <w:rFonts w:cs="Times New Roman"/>
          <w:szCs w:val="24"/>
        </w:rPr>
        <w:t xml:space="preserve"> is crucial for sustainable forest management since it enhances local expertise, increases accountability and legitimacy</w:t>
      </w:r>
      <w:r w:rsidR="00BB7437">
        <w:rPr>
          <w:rFonts w:cs="Times New Roman"/>
          <w:szCs w:val="24"/>
        </w:rPr>
        <w:t>. However, participation of</w:t>
      </w:r>
      <w:r w:rsidR="002300D0">
        <w:rPr>
          <w:rFonts w:cs="Times New Roman"/>
          <w:szCs w:val="24"/>
        </w:rPr>
        <w:t xml:space="preserve"> community members of Bobiri and Southern Scarp Forest reserves are </w:t>
      </w:r>
      <w:r w:rsidR="00BB7437">
        <w:rPr>
          <w:rFonts w:cs="Times New Roman"/>
          <w:szCs w:val="24"/>
        </w:rPr>
        <w:t>low</w:t>
      </w:r>
      <w:r w:rsidR="002300D0">
        <w:rPr>
          <w:rFonts w:cs="Times New Roman"/>
          <w:szCs w:val="24"/>
        </w:rPr>
        <w:t xml:space="preserve"> in its management</w:t>
      </w:r>
      <w:r>
        <w:rPr>
          <w:rFonts w:cs="Times New Roman"/>
          <w:szCs w:val="24"/>
        </w:rPr>
        <w:t xml:space="preserve">. This study explored stakeholder participation and </w:t>
      </w:r>
      <w:r w:rsidR="002300D0">
        <w:rPr>
          <w:rFonts w:cs="Times New Roman"/>
          <w:szCs w:val="24"/>
        </w:rPr>
        <w:t xml:space="preserve">sustainable </w:t>
      </w:r>
      <w:r>
        <w:rPr>
          <w:rFonts w:cs="Times New Roman"/>
          <w:szCs w:val="24"/>
        </w:rPr>
        <w:t>community-based forestry in the Bobiri and Southern Scarp Forest Reserves. Employing Social Exchange and R</w:t>
      </w:r>
      <w:r w:rsidR="00BB7437">
        <w:rPr>
          <w:rFonts w:cs="Times New Roman"/>
          <w:szCs w:val="24"/>
        </w:rPr>
        <w:t xml:space="preserve">ational </w:t>
      </w:r>
      <w:r>
        <w:rPr>
          <w:rFonts w:cs="Times New Roman"/>
          <w:szCs w:val="24"/>
        </w:rPr>
        <w:t>C</w:t>
      </w:r>
      <w:r w:rsidR="00BB7437">
        <w:rPr>
          <w:rFonts w:cs="Times New Roman"/>
          <w:szCs w:val="24"/>
        </w:rPr>
        <w:t xml:space="preserve">hoice </w:t>
      </w:r>
      <w:r>
        <w:rPr>
          <w:rFonts w:cs="Times New Roman"/>
          <w:szCs w:val="24"/>
        </w:rPr>
        <w:t>I</w:t>
      </w:r>
      <w:r w:rsidR="00BB7437">
        <w:rPr>
          <w:rFonts w:cs="Times New Roman"/>
          <w:szCs w:val="24"/>
        </w:rPr>
        <w:t>nstitutional</w:t>
      </w:r>
      <w:r>
        <w:rPr>
          <w:rFonts w:cs="Times New Roman"/>
          <w:szCs w:val="24"/>
        </w:rPr>
        <w:t xml:space="preserve"> theories, the study used a </w:t>
      </w:r>
      <w:r w:rsidR="002249EF">
        <w:rPr>
          <w:rFonts w:cs="Times New Roman"/>
          <w:szCs w:val="24"/>
        </w:rPr>
        <w:t xml:space="preserve">concurrent </w:t>
      </w:r>
      <w:r>
        <w:rPr>
          <w:rFonts w:cs="Times New Roman"/>
          <w:szCs w:val="24"/>
        </w:rPr>
        <w:t xml:space="preserve">mixed-method approach with </w:t>
      </w:r>
      <w:r w:rsidR="000F4FD1">
        <w:rPr>
          <w:rFonts w:cs="Times New Roman"/>
          <w:szCs w:val="24"/>
        </w:rPr>
        <w:t xml:space="preserve">an </w:t>
      </w:r>
      <w:r>
        <w:rPr>
          <w:rFonts w:cs="Times New Roman"/>
          <w:szCs w:val="24"/>
        </w:rPr>
        <w:t>interview schedule, interview guide</w:t>
      </w:r>
      <w:r w:rsidR="002249EF">
        <w:rPr>
          <w:rFonts w:cs="Times New Roman"/>
          <w:szCs w:val="24"/>
        </w:rPr>
        <w:t>,</w:t>
      </w:r>
      <w:r>
        <w:rPr>
          <w:rFonts w:cs="Times New Roman"/>
          <w:szCs w:val="24"/>
        </w:rPr>
        <w:t xml:space="preserve"> focus group discussion guide</w:t>
      </w:r>
      <w:r w:rsidR="00C678C6">
        <w:rPr>
          <w:rFonts w:cs="Times New Roman"/>
          <w:szCs w:val="24"/>
        </w:rPr>
        <w:t xml:space="preserve"> </w:t>
      </w:r>
      <w:r w:rsidR="002249EF">
        <w:rPr>
          <w:rFonts w:cs="Times New Roman"/>
          <w:szCs w:val="24"/>
        </w:rPr>
        <w:t xml:space="preserve">and observation checklist </w:t>
      </w:r>
      <w:r w:rsidR="00C678C6">
        <w:rPr>
          <w:rFonts w:cs="Times New Roman"/>
          <w:szCs w:val="24"/>
        </w:rPr>
        <w:t>as its</w:t>
      </w:r>
      <w:r>
        <w:rPr>
          <w:rFonts w:cs="Times New Roman"/>
          <w:szCs w:val="24"/>
        </w:rPr>
        <w:t xml:space="preserve"> data</w:t>
      </w:r>
      <w:r w:rsidR="00C678C6">
        <w:rPr>
          <w:rFonts w:cs="Times New Roman"/>
          <w:szCs w:val="24"/>
        </w:rPr>
        <w:t xml:space="preserve"> collection tools</w:t>
      </w:r>
      <w:r>
        <w:rPr>
          <w:rFonts w:cs="Times New Roman"/>
          <w:szCs w:val="24"/>
        </w:rPr>
        <w:t xml:space="preserve">. The study selected 431 community members and 58 key informants through multistage, purposive and convenient sampling techniques. Various analytical tools such as analytic induction, stakeholder analysis, </w:t>
      </w:r>
      <w:r w:rsidR="000F4FD1">
        <w:rPr>
          <w:rFonts w:cs="Times New Roman"/>
          <w:szCs w:val="24"/>
        </w:rPr>
        <w:t>document review</w:t>
      </w:r>
      <w:r>
        <w:rPr>
          <w:rFonts w:cs="Times New Roman"/>
          <w:szCs w:val="24"/>
        </w:rPr>
        <w:t xml:space="preserve"> and multinomial logistic regression were applied. The study found that formal rules such as </w:t>
      </w:r>
      <w:r w:rsidR="00461657">
        <w:rPr>
          <w:rFonts w:cs="Times New Roman"/>
          <w:szCs w:val="24"/>
        </w:rPr>
        <w:t xml:space="preserve">state policies, </w:t>
      </w:r>
      <w:r>
        <w:rPr>
          <w:rFonts w:cs="Times New Roman"/>
          <w:szCs w:val="24"/>
        </w:rPr>
        <w:t xml:space="preserve">buffer zones and the </w:t>
      </w:r>
      <w:proofErr w:type="spellStart"/>
      <w:r w:rsidR="00BB7437">
        <w:rPr>
          <w:rFonts w:cs="Times New Roman"/>
          <w:szCs w:val="24"/>
        </w:rPr>
        <w:t>Taungya</w:t>
      </w:r>
      <w:proofErr w:type="spellEnd"/>
      <w:r>
        <w:rPr>
          <w:rFonts w:cs="Times New Roman"/>
          <w:szCs w:val="24"/>
        </w:rPr>
        <w:t xml:space="preserve"> system </w:t>
      </w:r>
      <w:r w:rsidR="00386C23">
        <w:rPr>
          <w:rFonts w:cs="Times New Roman"/>
          <w:szCs w:val="24"/>
        </w:rPr>
        <w:t>as well as</w:t>
      </w:r>
      <w:r>
        <w:rPr>
          <w:rFonts w:cs="Times New Roman"/>
          <w:szCs w:val="24"/>
        </w:rPr>
        <w:t xml:space="preserve"> informal rules in the form of taboos </w:t>
      </w:r>
      <w:r w:rsidR="00386C23">
        <w:rPr>
          <w:rFonts w:cs="Times New Roman"/>
          <w:szCs w:val="24"/>
        </w:rPr>
        <w:t>were used to manage the reserves</w:t>
      </w:r>
      <w:r>
        <w:rPr>
          <w:rFonts w:cs="Times New Roman"/>
          <w:szCs w:val="24"/>
        </w:rPr>
        <w:t>. Additionally, challenges such as meagre S</w:t>
      </w:r>
      <w:r w:rsidR="00C97E4D">
        <w:rPr>
          <w:rFonts w:cs="Times New Roman"/>
          <w:szCs w:val="24"/>
        </w:rPr>
        <w:t xml:space="preserve">ocial </w:t>
      </w:r>
      <w:r>
        <w:rPr>
          <w:rFonts w:cs="Times New Roman"/>
          <w:szCs w:val="24"/>
        </w:rPr>
        <w:t>R</w:t>
      </w:r>
      <w:r w:rsidR="00C97E4D">
        <w:rPr>
          <w:rFonts w:cs="Times New Roman"/>
          <w:szCs w:val="24"/>
        </w:rPr>
        <w:t xml:space="preserve">esponsibility </w:t>
      </w:r>
      <w:r>
        <w:rPr>
          <w:rFonts w:cs="Times New Roman"/>
          <w:szCs w:val="24"/>
        </w:rPr>
        <w:t>A</w:t>
      </w:r>
      <w:r w:rsidR="00C97E4D">
        <w:rPr>
          <w:rFonts w:cs="Times New Roman"/>
          <w:szCs w:val="24"/>
        </w:rPr>
        <w:t>greement</w:t>
      </w:r>
      <w:r>
        <w:rPr>
          <w:rFonts w:cs="Times New Roman"/>
          <w:szCs w:val="24"/>
        </w:rPr>
        <w:t xml:space="preserve"> payments, lack of trust, and illegal chainsaw operations </w:t>
      </w:r>
      <w:r w:rsidR="00386C23">
        <w:rPr>
          <w:rFonts w:cs="Times New Roman"/>
          <w:szCs w:val="24"/>
        </w:rPr>
        <w:t>affected</w:t>
      </w:r>
      <w:r>
        <w:rPr>
          <w:rFonts w:cs="Times New Roman"/>
          <w:szCs w:val="24"/>
        </w:rPr>
        <w:t xml:space="preserve"> the </w:t>
      </w:r>
      <w:r w:rsidR="00386C23">
        <w:rPr>
          <w:rFonts w:cs="Times New Roman"/>
          <w:szCs w:val="24"/>
        </w:rPr>
        <w:t>reserves</w:t>
      </w:r>
      <w:r w:rsidR="008B309A">
        <w:rPr>
          <w:rFonts w:cs="Times New Roman"/>
          <w:szCs w:val="24"/>
        </w:rPr>
        <w:t xml:space="preserve"> </w:t>
      </w:r>
      <w:r>
        <w:rPr>
          <w:rFonts w:cs="Times New Roman"/>
          <w:szCs w:val="24"/>
        </w:rPr>
        <w:t>management. Despite the availability of policies promoting community participation, the level of community involvement was low. However, factors such as duration of stay and educational level enhanced community engagement. The study recommends establishing a community forestry unit at the local level to serve as a knowledge synthesis centre, conflict resolution hub, and promoter of the F</w:t>
      </w:r>
      <w:r w:rsidR="00C97E4D">
        <w:rPr>
          <w:rFonts w:cs="Times New Roman"/>
          <w:szCs w:val="24"/>
        </w:rPr>
        <w:t xml:space="preserve">orestry </w:t>
      </w:r>
      <w:r>
        <w:rPr>
          <w:rFonts w:cs="Times New Roman"/>
          <w:szCs w:val="24"/>
        </w:rPr>
        <w:t>S</w:t>
      </w:r>
      <w:r w:rsidR="00C97E4D">
        <w:rPr>
          <w:rFonts w:cs="Times New Roman"/>
          <w:szCs w:val="24"/>
        </w:rPr>
        <w:t xml:space="preserve">ervices </w:t>
      </w:r>
      <w:r>
        <w:rPr>
          <w:rFonts w:cs="Times New Roman"/>
          <w:szCs w:val="24"/>
        </w:rPr>
        <w:t>D</w:t>
      </w:r>
      <w:r w:rsidR="00C97E4D">
        <w:rPr>
          <w:rFonts w:cs="Times New Roman"/>
          <w:szCs w:val="24"/>
        </w:rPr>
        <w:t>ivision</w:t>
      </w:r>
      <w:r>
        <w:rPr>
          <w:rFonts w:cs="Times New Roman"/>
          <w:szCs w:val="24"/>
        </w:rPr>
        <w:t>'s development agenda and local community aspirations.</w:t>
      </w:r>
    </w:p>
    <w:p w14:paraId="75E0A7BD" w14:textId="77777777" w:rsidR="001F4C3A" w:rsidRPr="00BB4078" w:rsidRDefault="001F4C3A" w:rsidP="001F4C3A">
      <w:pPr>
        <w:pStyle w:val="Heading1"/>
        <w:ind w:left="0"/>
      </w:pPr>
      <w:bookmarkStart w:id="5" w:name="_Toc163253935"/>
      <w:bookmarkStart w:id="6" w:name="_Toc202197577"/>
      <w:r w:rsidRPr="00BB4078">
        <w:lastRenderedPageBreak/>
        <w:t>acknowledgements</w:t>
      </w:r>
      <w:bookmarkEnd w:id="5"/>
      <w:bookmarkEnd w:id="6"/>
    </w:p>
    <w:p w14:paraId="468FF432" w14:textId="77777777" w:rsidR="001F4C3A" w:rsidRDefault="001F4C3A" w:rsidP="001F4C3A">
      <w:pPr>
        <w:ind w:left="0" w:firstLine="0"/>
      </w:pPr>
      <w:r>
        <w:tab/>
        <w:t xml:space="preserve">I am grateful to my supervisors, Dr Emmanuel Yamoah Tenkorang, Dr Joseph Boateng Agyenim and Dr Harriet M. D. </w:t>
      </w:r>
      <w:proofErr w:type="spellStart"/>
      <w:r>
        <w:t>Potakey</w:t>
      </w:r>
      <w:proofErr w:type="spellEnd"/>
      <w:r>
        <w:t xml:space="preserve">, for their immeasurable contribution, support and facilitation in writing this thesis. I appreciate the Senior Research Fellows at the School for Development Studies for their assistance and contributions. I appreciate my colleagues' encouragement, discussions and support, especially Sachi </w:t>
      </w:r>
      <w:proofErr w:type="spellStart"/>
      <w:r>
        <w:t>Pawin</w:t>
      </w:r>
      <w:proofErr w:type="spellEnd"/>
      <w:r>
        <w:t xml:space="preserve">, Matilda </w:t>
      </w:r>
      <w:proofErr w:type="spellStart"/>
      <w:r>
        <w:t>Mansoh</w:t>
      </w:r>
      <w:proofErr w:type="spellEnd"/>
      <w:r>
        <w:t xml:space="preserve">, Frederick Obeng Somuah and Isaac </w:t>
      </w:r>
      <w:proofErr w:type="spellStart"/>
      <w:r>
        <w:t>Nketsiah-Essuon</w:t>
      </w:r>
      <w:proofErr w:type="spellEnd"/>
      <w:r>
        <w:t>.</w:t>
      </w:r>
    </w:p>
    <w:p w14:paraId="1B9809CB" w14:textId="77777777" w:rsidR="001F4C3A" w:rsidRDefault="001F4C3A" w:rsidP="001F4C3A">
      <w:pPr>
        <w:pStyle w:val="BodyText"/>
        <w:ind w:left="0" w:firstLine="0"/>
      </w:pPr>
      <w:r>
        <w:tab/>
        <w:t xml:space="preserve">My subsequent appreciation goes to the various traditional authorities, district assembly representatives, community members, and officials of the Forestry Commission, who participated in this study. Special thanks go to Ms. Angela Ofosua Opoku of management unit 31 at the Southern Scarp and Dr. James Oppong Amponsah of CSIR-FORIG for their immense contribution to this study. </w:t>
      </w:r>
    </w:p>
    <w:p w14:paraId="4ED210EF" w14:textId="77777777" w:rsidR="0020132C" w:rsidRDefault="0020132C" w:rsidP="00772DAC">
      <w:pPr>
        <w:pStyle w:val="BodyText"/>
        <w:ind w:left="0" w:firstLine="0"/>
      </w:pPr>
    </w:p>
    <w:p w14:paraId="6BE08AC6" w14:textId="77777777" w:rsidR="0020132C" w:rsidRDefault="0020132C" w:rsidP="00772DAC">
      <w:pPr>
        <w:pStyle w:val="BodyText"/>
        <w:ind w:left="0" w:firstLine="0"/>
      </w:pPr>
    </w:p>
    <w:p w14:paraId="2038AD17" w14:textId="77777777" w:rsidR="00010F68" w:rsidRDefault="00010F68" w:rsidP="00772DAC">
      <w:pPr>
        <w:pStyle w:val="BodyText"/>
        <w:ind w:left="0" w:firstLine="0"/>
      </w:pPr>
    </w:p>
    <w:p w14:paraId="39551935" w14:textId="77777777" w:rsidR="00010F68" w:rsidRDefault="00010F68" w:rsidP="00772DAC">
      <w:pPr>
        <w:pStyle w:val="BodyText"/>
        <w:ind w:left="0" w:firstLine="0"/>
      </w:pPr>
    </w:p>
    <w:p w14:paraId="10B4D588" w14:textId="266C18A9" w:rsidR="00FC34E5" w:rsidRDefault="00FC34E5">
      <w:pPr>
        <w:spacing w:line="259" w:lineRule="auto"/>
        <w:ind w:left="0" w:firstLine="0"/>
        <w:jc w:val="left"/>
      </w:pPr>
      <w:r>
        <w:br w:type="page"/>
      </w:r>
    </w:p>
    <w:p w14:paraId="1BFAD5F3" w14:textId="3E887896" w:rsidR="00010F68" w:rsidRDefault="00FC34E5" w:rsidP="00FC34E5">
      <w:pPr>
        <w:pStyle w:val="Heading1"/>
        <w:ind w:left="0"/>
      </w:pPr>
      <w:bookmarkStart w:id="7" w:name="_Toc202197578"/>
      <w:r>
        <w:lastRenderedPageBreak/>
        <w:t>DEDICATION</w:t>
      </w:r>
      <w:bookmarkEnd w:id="7"/>
    </w:p>
    <w:p w14:paraId="04707CA1" w14:textId="698F2190" w:rsidR="00010F68" w:rsidRDefault="00F8663C" w:rsidP="00320692">
      <w:pPr>
        <w:pStyle w:val="BodyText"/>
        <w:ind w:left="0" w:firstLine="0"/>
      </w:pPr>
      <w:r>
        <w:t>I dedicate this thesis to my</w:t>
      </w:r>
      <w:r w:rsidR="00320692">
        <w:t xml:space="preserve"> parents, Mr Kwabena Ofori and Mrs Gloria Ofori and my </w:t>
      </w:r>
      <w:r>
        <w:t>siblings, Prof. Elvis Ofori Ameyaw, Anastasia</w:t>
      </w:r>
      <w:r w:rsidR="00320692">
        <w:t xml:space="preserve"> </w:t>
      </w:r>
      <w:r>
        <w:t xml:space="preserve">Ofori Adoma, Irene Ofori </w:t>
      </w:r>
      <w:proofErr w:type="spellStart"/>
      <w:r>
        <w:t>Safoa</w:t>
      </w:r>
      <w:proofErr w:type="spellEnd"/>
      <w:r>
        <w:t xml:space="preserve"> and Josephine Ofori</w:t>
      </w:r>
      <w:r w:rsidR="00320692">
        <w:t>.</w:t>
      </w:r>
    </w:p>
    <w:p w14:paraId="6A69E522" w14:textId="77777777" w:rsidR="00010F68" w:rsidRDefault="00010F68" w:rsidP="00772DAC">
      <w:pPr>
        <w:pStyle w:val="BodyText"/>
        <w:ind w:left="0" w:firstLine="0"/>
      </w:pPr>
    </w:p>
    <w:p w14:paraId="7B882F7A" w14:textId="77777777" w:rsidR="00010F68" w:rsidRDefault="00010F68" w:rsidP="00772DAC">
      <w:pPr>
        <w:pStyle w:val="BodyText"/>
        <w:ind w:left="0" w:firstLine="0"/>
      </w:pPr>
    </w:p>
    <w:p w14:paraId="32924B44" w14:textId="77777777" w:rsidR="00010F68" w:rsidRDefault="00010F68" w:rsidP="00772DAC">
      <w:pPr>
        <w:pStyle w:val="BodyText"/>
        <w:ind w:left="0" w:firstLine="0"/>
      </w:pPr>
    </w:p>
    <w:p w14:paraId="19B0EB62" w14:textId="77777777" w:rsidR="00FC34E5" w:rsidRDefault="00FC34E5">
      <w:pPr>
        <w:spacing w:line="259" w:lineRule="auto"/>
        <w:ind w:left="0" w:firstLine="0"/>
        <w:jc w:val="left"/>
        <w:rPr>
          <w:rFonts w:eastAsiaTheme="majorEastAsia" w:cstheme="majorBidi"/>
          <w:b/>
          <w:caps/>
          <w:szCs w:val="32"/>
        </w:rPr>
      </w:pPr>
      <w:r>
        <w:br w:type="page"/>
      </w:r>
    </w:p>
    <w:p w14:paraId="7DE45DBD" w14:textId="2B488F5F" w:rsidR="00010F68" w:rsidRDefault="00010F68" w:rsidP="001A02EC">
      <w:pPr>
        <w:pStyle w:val="Heading1"/>
        <w:ind w:left="0"/>
      </w:pPr>
      <w:bookmarkStart w:id="8" w:name="_Toc202197579"/>
      <w:r w:rsidRPr="00010F68">
        <w:lastRenderedPageBreak/>
        <w:t>TABLE OF CONTENTS</w:t>
      </w:r>
      <w:bookmarkEnd w:id="8"/>
    </w:p>
    <w:sdt>
      <w:sdtPr>
        <w:rPr>
          <w:rFonts w:ascii="Times New Roman" w:eastAsiaTheme="minorHAnsi" w:hAnsi="Times New Roman" w:cs="Times New Roman"/>
          <w:color w:val="auto"/>
          <w:sz w:val="24"/>
          <w:szCs w:val="22"/>
          <w:lang w:val="en-GB"/>
        </w:rPr>
        <w:id w:val="1938711058"/>
        <w:docPartObj>
          <w:docPartGallery w:val="Table of Contents"/>
          <w:docPartUnique/>
        </w:docPartObj>
      </w:sdtPr>
      <w:sdtEndPr>
        <w:rPr>
          <w:bCs/>
          <w:noProof/>
          <w:szCs w:val="24"/>
        </w:rPr>
      </w:sdtEndPr>
      <w:sdtContent>
        <w:p w14:paraId="3CED04C9" w14:textId="05DCEA31" w:rsidR="00FB0B90" w:rsidRPr="00755789" w:rsidRDefault="005432A0" w:rsidP="00755789">
          <w:pPr>
            <w:pStyle w:val="TOCHeading"/>
            <w:spacing w:before="0" w:line="480" w:lineRule="auto"/>
            <w:rPr>
              <w:rFonts w:ascii="Times New Roman" w:hAnsi="Times New Roman" w:cs="Times New Roman"/>
              <w:color w:val="auto"/>
              <w:sz w:val="24"/>
              <w:szCs w:val="24"/>
            </w:rPr>
          </w:pPr>
          <w:r w:rsidRPr="00755789">
            <w:rPr>
              <w:rFonts w:ascii="Times New Roman" w:eastAsiaTheme="minorHAnsi" w:hAnsi="Times New Roman" w:cs="Times New Roman"/>
              <w:color w:val="auto"/>
              <w:sz w:val="24"/>
              <w:szCs w:val="24"/>
              <w:lang w:val="en-GB"/>
            </w:rPr>
            <w:t xml:space="preserve">                             </w:t>
          </w:r>
          <w:r w:rsidR="00881A35" w:rsidRPr="00755789">
            <w:rPr>
              <w:rFonts w:ascii="Times New Roman" w:eastAsiaTheme="minorHAnsi" w:hAnsi="Times New Roman" w:cs="Times New Roman"/>
              <w:color w:val="auto"/>
              <w:sz w:val="24"/>
              <w:szCs w:val="24"/>
              <w:lang w:val="en-GB"/>
            </w:rPr>
            <w:t xml:space="preserve">    </w:t>
          </w:r>
          <w:r w:rsidR="00755789">
            <w:rPr>
              <w:rFonts w:ascii="Times New Roman" w:eastAsiaTheme="minorHAnsi" w:hAnsi="Times New Roman" w:cs="Times New Roman"/>
              <w:color w:val="auto"/>
              <w:sz w:val="24"/>
              <w:szCs w:val="24"/>
              <w:lang w:val="en-GB"/>
            </w:rPr>
            <w:tab/>
          </w:r>
          <w:r w:rsidR="00755789">
            <w:rPr>
              <w:rFonts w:ascii="Times New Roman" w:eastAsiaTheme="minorHAnsi" w:hAnsi="Times New Roman" w:cs="Times New Roman"/>
              <w:color w:val="auto"/>
              <w:sz w:val="24"/>
              <w:szCs w:val="24"/>
              <w:lang w:val="en-GB"/>
            </w:rPr>
            <w:tab/>
          </w:r>
          <w:r w:rsidR="00755789">
            <w:rPr>
              <w:rFonts w:ascii="Times New Roman" w:eastAsiaTheme="minorHAnsi" w:hAnsi="Times New Roman" w:cs="Times New Roman"/>
              <w:color w:val="auto"/>
              <w:sz w:val="24"/>
              <w:szCs w:val="24"/>
              <w:lang w:val="en-GB"/>
            </w:rPr>
            <w:tab/>
          </w:r>
          <w:r w:rsidR="00755789">
            <w:rPr>
              <w:rFonts w:ascii="Times New Roman" w:eastAsiaTheme="minorHAnsi" w:hAnsi="Times New Roman" w:cs="Times New Roman"/>
              <w:color w:val="auto"/>
              <w:sz w:val="24"/>
              <w:szCs w:val="24"/>
              <w:lang w:val="en-GB"/>
            </w:rPr>
            <w:tab/>
          </w:r>
          <w:r w:rsidR="00755789">
            <w:rPr>
              <w:rFonts w:ascii="Times New Roman" w:eastAsiaTheme="minorHAnsi" w:hAnsi="Times New Roman" w:cs="Times New Roman"/>
              <w:color w:val="auto"/>
              <w:sz w:val="24"/>
              <w:szCs w:val="24"/>
              <w:lang w:val="en-GB"/>
            </w:rPr>
            <w:tab/>
          </w:r>
          <w:r w:rsidR="00755789">
            <w:rPr>
              <w:rFonts w:ascii="Times New Roman" w:eastAsiaTheme="minorHAnsi" w:hAnsi="Times New Roman" w:cs="Times New Roman"/>
              <w:color w:val="auto"/>
              <w:sz w:val="24"/>
              <w:szCs w:val="24"/>
              <w:lang w:val="en-GB"/>
            </w:rPr>
            <w:tab/>
          </w:r>
          <w:r w:rsidR="00755789">
            <w:rPr>
              <w:rFonts w:ascii="Times New Roman" w:eastAsiaTheme="minorHAnsi" w:hAnsi="Times New Roman" w:cs="Times New Roman"/>
              <w:color w:val="auto"/>
              <w:sz w:val="24"/>
              <w:szCs w:val="24"/>
              <w:lang w:val="en-GB"/>
            </w:rPr>
            <w:tab/>
            <w:t xml:space="preserve">         </w:t>
          </w:r>
          <w:r w:rsidRPr="00755789">
            <w:rPr>
              <w:rFonts w:ascii="Times New Roman" w:hAnsi="Times New Roman" w:cs="Times New Roman"/>
              <w:color w:val="auto"/>
              <w:sz w:val="24"/>
              <w:szCs w:val="24"/>
            </w:rPr>
            <w:t xml:space="preserve">Pages </w:t>
          </w:r>
        </w:p>
        <w:p w14:paraId="65CF08E6" w14:textId="05CE8EDC" w:rsidR="00FC34E5" w:rsidRDefault="00FB0B90">
          <w:pPr>
            <w:pStyle w:val="TOC1"/>
            <w:rPr>
              <w:rFonts w:asciiTheme="minorHAnsi" w:eastAsiaTheme="minorEastAsia" w:hAnsiTheme="minorHAnsi"/>
              <w:noProof/>
              <w:kern w:val="2"/>
              <w:szCs w:val="24"/>
              <w:lang w:val="en-US"/>
              <w14:ligatures w14:val="standardContextual"/>
            </w:rPr>
          </w:pPr>
          <w:r w:rsidRPr="00755789">
            <w:rPr>
              <w:rFonts w:cs="Times New Roman"/>
              <w:szCs w:val="24"/>
            </w:rPr>
            <w:fldChar w:fldCharType="begin"/>
          </w:r>
          <w:r w:rsidRPr="00755789">
            <w:rPr>
              <w:rFonts w:cs="Times New Roman"/>
              <w:szCs w:val="24"/>
            </w:rPr>
            <w:instrText xml:space="preserve"> TOC \o "1-3" \h \z \u </w:instrText>
          </w:r>
          <w:r w:rsidRPr="00755789">
            <w:rPr>
              <w:rFonts w:cs="Times New Roman"/>
              <w:szCs w:val="24"/>
            </w:rPr>
            <w:fldChar w:fldCharType="separate"/>
          </w:r>
          <w:hyperlink w:anchor="_Toc202197575" w:history="1">
            <w:r w:rsidR="00FC34E5" w:rsidRPr="0082490E">
              <w:rPr>
                <w:rStyle w:val="Hyperlink"/>
                <w:noProof/>
              </w:rPr>
              <w:t>DECLARATION</w:t>
            </w:r>
            <w:r w:rsidR="00FC34E5">
              <w:rPr>
                <w:noProof/>
                <w:webHidden/>
              </w:rPr>
              <w:tab/>
            </w:r>
            <w:r w:rsidR="00FC34E5">
              <w:rPr>
                <w:noProof/>
                <w:webHidden/>
              </w:rPr>
              <w:fldChar w:fldCharType="begin"/>
            </w:r>
            <w:r w:rsidR="00FC34E5">
              <w:rPr>
                <w:noProof/>
                <w:webHidden/>
              </w:rPr>
              <w:instrText xml:space="preserve"> PAGEREF _Toc202197575 \h </w:instrText>
            </w:r>
            <w:r w:rsidR="00FC34E5">
              <w:rPr>
                <w:noProof/>
                <w:webHidden/>
              </w:rPr>
            </w:r>
            <w:r w:rsidR="00FC34E5">
              <w:rPr>
                <w:noProof/>
                <w:webHidden/>
              </w:rPr>
              <w:fldChar w:fldCharType="separate"/>
            </w:r>
            <w:r w:rsidR="00717E31">
              <w:rPr>
                <w:noProof/>
                <w:webHidden/>
              </w:rPr>
              <w:t>ii</w:t>
            </w:r>
            <w:r w:rsidR="00FC34E5">
              <w:rPr>
                <w:noProof/>
                <w:webHidden/>
              </w:rPr>
              <w:fldChar w:fldCharType="end"/>
            </w:r>
          </w:hyperlink>
        </w:p>
        <w:p w14:paraId="52955498" w14:textId="456FA915" w:rsidR="00FC34E5" w:rsidRDefault="00FC34E5">
          <w:pPr>
            <w:pStyle w:val="TOC1"/>
            <w:rPr>
              <w:rFonts w:asciiTheme="minorHAnsi" w:eastAsiaTheme="minorEastAsia" w:hAnsiTheme="minorHAnsi"/>
              <w:noProof/>
              <w:kern w:val="2"/>
              <w:szCs w:val="24"/>
              <w:lang w:val="en-US"/>
              <w14:ligatures w14:val="standardContextual"/>
            </w:rPr>
          </w:pPr>
          <w:hyperlink w:anchor="_Toc202197576" w:history="1">
            <w:r w:rsidRPr="0082490E">
              <w:rPr>
                <w:rStyle w:val="Hyperlink"/>
                <w:noProof/>
              </w:rPr>
              <w:t>ABSTRACT</w:t>
            </w:r>
            <w:r>
              <w:rPr>
                <w:noProof/>
                <w:webHidden/>
              </w:rPr>
              <w:tab/>
            </w:r>
            <w:r>
              <w:rPr>
                <w:noProof/>
                <w:webHidden/>
              </w:rPr>
              <w:fldChar w:fldCharType="begin"/>
            </w:r>
            <w:r>
              <w:rPr>
                <w:noProof/>
                <w:webHidden/>
              </w:rPr>
              <w:instrText xml:space="preserve"> PAGEREF _Toc202197576 \h </w:instrText>
            </w:r>
            <w:r>
              <w:rPr>
                <w:noProof/>
                <w:webHidden/>
              </w:rPr>
            </w:r>
            <w:r>
              <w:rPr>
                <w:noProof/>
                <w:webHidden/>
              </w:rPr>
              <w:fldChar w:fldCharType="separate"/>
            </w:r>
            <w:r w:rsidR="00717E31">
              <w:rPr>
                <w:noProof/>
                <w:webHidden/>
              </w:rPr>
              <w:t>iii</w:t>
            </w:r>
            <w:r>
              <w:rPr>
                <w:noProof/>
                <w:webHidden/>
              </w:rPr>
              <w:fldChar w:fldCharType="end"/>
            </w:r>
          </w:hyperlink>
        </w:p>
        <w:p w14:paraId="45DB1A6B" w14:textId="5AA0C81E" w:rsidR="00FC34E5" w:rsidRDefault="00FC34E5">
          <w:pPr>
            <w:pStyle w:val="TOC1"/>
            <w:rPr>
              <w:rFonts w:asciiTheme="minorHAnsi" w:eastAsiaTheme="minorEastAsia" w:hAnsiTheme="minorHAnsi"/>
              <w:noProof/>
              <w:kern w:val="2"/>
              <w:szCs w:val="24"/>
              <w:lang w:val="en-US"/>
              <w14:ligatures w14:val="standardContextual"/>
            </w:rPr>
          </w:pPr>
          <w:hyperlink w:anchor="_Toc202197577" w:history="1">
            <w:r w:rsidRPr="0082490E">
              <w:rPr>
                <w:rStyle w:val="Hyperlink"/>
                <w:noProof/>
              </w:rPr>
              <w:t>ACKNOWLEDGEMENTS</w:t>
            </w:r>
            <w:r>
              <w:rPr>
                <w:noProof/>
                <w:webHidden/>
              </w:rPr>
              <w:tab/>
            </w:r>
            <w:r>
              <w:rPr>
                <w:noProof/>
                <w:webHidden/>
              </w:rPr>
              <w:fldChar w:fldCharType="begin"/>
            </w:r>
            <w:r>
              <w:rPr>
                <w:noProof/>
                <w:webHidden/>
              </w:rPr>
              <w:instrText xml:space="preserve"> PAGEREF _Toc202197577 \h </w:instrText>
            </w:r>
            <w:r>
              <w:rPr>
                <w:noProof/>
                <w:webHidden/>
              </w:rPr>
            </w:r>
            <w:r>
              <w:rPr>
                <w:noProof/>
                <w:webHidden/>
              </w:rPr>
              <w:fldChar w:fldCharType="separate"/>
            </w:r>
            <w:r w:rsidR="00717E31">
              <w:rPr>
                <w:noProof/>
                <w:webHidden/>
              </w:rPr>
              <w:t>iv</w:t>
            </w:r>
            <w:r>
              <w:rPr>
                <w:noProof/>
                <w:webHidden/>
              </w:rPr>
              <w:fldChar w:fldCharType="end"/>
            </w:r>
          </w:hyperlink>
        </w:p>
        <w:p w14:paraId="0191547D" w14:textId="1B565733" w:rsidR="00FC34E5" w:rsidRDefault="00FC34E5">
          <w:pPr>
            <w:pStyle w:val="TOC1"/>
            <w:rPr>
              <w:rFonts w:asciiTheme="minorHAnsi" w:eastAsiaTheme="minorEastAsia" w:hAnsiTheme="minorHAnsi"/>
              <w:noProof/>
              <w:kern w:val="2"/>
              <w:szCs w:val="24"/>
              <w:lang w:val="en-US"/>
              <w14:ligatures w14:val="standardContextual"/>
            </w:rPr>
          </w:pPr>
          <w:hyperlink w:anchor="_Toc202197578" w:history="1">
            <w:r w:rsidRPr="0082490E">
              <w:rPr>
                <w:rStyle w:val="Hyperlink"/>
                <w:noProof/>
              </w:rPr>
              <w:t>DEDICATION</w:t>
            </w:r>
            <w:r>
              <w:rPr>
                <w:noProof/>
                <w:webHidden/>
              </w:rPr>
              <w:tab/>
            </w:r>
            <w:r>
              <w:rPr>
                <w:noProof/>
                <w:webHidden/>
              </w:rPr>
              <w:fldChar w:fldCharType="begin"/>
            </w:r>
            <w:r>
              <w:rPr>
                <w:noProof/>
                <w:webHidden/>
              </w:rPr>
              <w:instrText xml:space="preserve"> PAGEREF _Toc202197578 \h </w:instrText>
            </w:r>
            <w:r>
              <w:rPr>
                <w:noProof/>
                <w:webHidden/>
              </w:rPr>
            </w:r>
            <w:r>
              <w:rPr>
                <w:noProof/>
                <w:webHidden/>
              </w:rPr>
              <w:fldChar w:fldCharType="separate"/>
            </w:r>
            <w:r w:rsidR="00717E31">
              <w:rPr>
                <w:noProof/>
                <w:webHidden/>
              </w:rPr>
              <w:t>v</w:t>
            </w:r>
            <w:r>
              <w:rPr>
                <w:noProof/>
                <w:webHidden/>
              </w:rPr>
              <w:fldChar w:fldCharType="end"/>
            </w:r>
          </w:hyperlink>
        </w:p>
        <w:p w14:paraId="3F62FC2D" w14:textId="17633E0F" w:rsidR="00FC34E5" w:rsidRDefault="00FC34E5">
          <w:pPr>
            <w:pStyle w:val="TOC1"/>
            <w:rPr>
              <w:rFonts w:asciiTheme="minorHAnsi" w:eastAsiaTheme="minorEastAsia" w:hAnsiTheme="minorHAnsi"/>
              <w:noProof/>
              <w:kern w:val="2"/>
              <w:szCs w:val="24"/>
              <w:lang w:val="en-US"/>
              <w14:ligatures w14:val="standardContextual"/>
            </w:rPr>
          </w:pPr>
          <w:hyperlink w:anchor="_Toc202197579" w:history="1">
            <w:r w:rsidRPr="0082490E">
              <w:rPr>
                <w:rStyle w:val="Hyperlink"/>
                <w:noProof/>
              </w:rPr>
              <w:t>TABLE OF CONTENTS</w:t>
            </w:r>
            <w:r>
              <w:rPr>
                <w:noProof/>
                <w:webHidden/>
              </w:rPr>
              <w:tab/>
            </w:r>
            <w:r>
              <w:rPr>
                <w:noProof/>
                <w:webHidden/>
              </w:rPr>
              <w:fldChar w:fldCharType="begin"/>
            </w:r>
            <w:r>
              <w:rPr>
                <w:noProof/>
                <w:webHidden/>
              </w:rPr>
              <w:instrText xml:space="preserve"> PAGEREF _Toc202197579 \h </w:instrText>
            </w:r>
            <w:r>
              <w:rPr>
                <w:noProof/>
                <w:webHidden/>
              </w:rPr>
            </w:r>
            <w:r>
              <w:rPr>
                <w:noProof/>
                <w:webHidden/>
              </w:rPr>
              <w:fldChar w:fldCharType="separate"/>
            </w:r>
            <w:r w:rsidR="00717E31">
              <w:rPr>
                <w:noProof/>
                <w:webHidden/>
              </w:rPr>
              <w:t>vi</w:t>
            </w:r>
            <w:r>
              <w:rPr>
                <w:noProof/>
                <w:webHidden/>
              </w:rPr>
              <w:fldChar w:fldCharType="end"/>
            </w:r>
          </w:hyperlink>
        </w:p>
        <w:p w14:paraId="5371301A" w14:textId="0EA8A654" w:rsidR="00FC34E5" w:rsidRDefault="00FC34E5">
          <w:pPr>
            <w:pStyle w:val="TOC1"/>
            <w:rPr>
              <w:rFonts w:asciiTheme="minorHAnsi" w:eastAsiaTheme="minorEastAsia" w:hAnsiTheme="minorHAnsi"/>
              <w:noProof/>
              <w:kern w:val="2"/>
              <w:szCs w:val="24"/>
              <w:lang w:val="en-US"/>
              <w14:ligatures w14:val="standardContextual"/>
            </w:rPr>
          </w:pPr>
          <w:hyperlink w:anchor="_Toc202197580" w:history="1">
            <w:r w:rsidRPr="0082490E">
              <w:rPr>
                <w:rStyle w:val="Hyperlink"/>
                <w:noProof/>
              </w:rPr>
              <w:t>LIST OF TABLES</w:t>
            </w:r>
            <w:r>
              <w:rPr>
                <w:noProof/>
                <w:webHidden/>
              </w:rPr>
              <w:tab/>
            </w:r>
            <w:r>
              <w:rPr>
                <w:noProof/>
                <w:webHidden/>
              </w:rPr>
              <w:fldChar w:fldCharType="begin"/>
            </w:r>
            <w:r>
              <w:rPr>
                <w:noProof/>
                <w:webHidden/>
              </w:rPr>
              <w:instrText xml:space="preserve"> PAGEREF _Toc202197580 \h </w:instrText>
            </w:r>
            <w:r>
              <w:rPr>
                <w:noProof/>
                <w:webHidden/>
              </w:rPr>
            </w:r>
            <w:r>
              <w:rPr>
                <w:noProof/>
                <w:webHidden/>
              </w:rPr>
              <w:fldChar w:fldCharType="separate"/>
            </w:r>
            <w:r w:rsidR="00717E31">
              <w:rPr>
                <w:noProof/>
                <w:webHidden/>
              </w:rPr>
              <w:t>xi</w:t>
            </w:r>
            <w:r>
              <w:rPr>
                <w:noProof/>
                <w:webHidden/>
              </w:rPr>
              <w:fldChar w:fldCharType="end"/>
            </w:r>
          </w:hyperlink>
        </w:p>
        <w:p w14:paraId="384F2E03" w14:textId="147B4E13" w:rsidR="00FC34E5" w:rsidRDefault="00FC34E5">
          <w:pPr>
            <w:pStyle w:val="TOC1"/>
            <w:rPr>
              <w:rFonts w:asciiTheme="minorHAnsi" w:eastAsiaTheme="minorEastAsia" w:hAnsiTheme="minorHAnsi"/>
              <w:noProof/>
              <w:kern w:val="2"/>
              <w:szCs w:val="24"/>
              <w:lang w:val="en-US"/>
              <w14:ligatures w14:val="standardContextual"/>
            </w:rPr>
          </w:pPr>
          <w:hyperlink w:anchor="_Toc202197581" w:history="1">
            <w:r w:rsidRPr="0082490E">
              <w:rPr>
                <w:rStyle w:val="Hyperlink"/>
                <w:noProof/>
              </w:rPr>
              <w:t>LIST OF FIGURES</w:t>
            </w:r>
            <w:r>
              <w:rPr>
                <w:noProof/>
                <w:webHidden/>
              </w:rPr>
              <w:tab/>
            </w:r>
            <w:r>
              <w:rPr>
                <w:noProof/>
                <w:webHidden/>
              </w:rPr>
              <w:fldChar w:fldCharType="begin"/>
            </w:r>
            <w:r>
              <w:rPr>
                <w:noProof/>
                <w:webHidden/>
              </w:rPr>
              <w:instrText xml:space="preserve"> PAGEREF _Toc202197581 \h </w:instrText>
            </w:r>
            <w:r>
              <w:rPr>
                <w:noProof/>
                <w:webHidden/>
              </w:rPr>
            </w:r>
            <w:r>
              <w:rPr>
                <w:noProof/>
                <w:webHidden/>
              </w:rPr>
              <w:fldChar w:fldCharType="separate"/>
            </w:r>
            <w:r w:rsidR="00717E31">
              <w:rPr>
                <w:noProof/>
                <w:webHidden/>
              </w:rPr>
              <w:t>xii</w:t>
            </w:r>
            <w:r>
              <w:rPr>
                <w:noProof/>
                <w:webHidden/>
              </w:rPr>
              <w:fldChar w:fldCharType="end"/>
            </w:r>
          </w:hyperlink>
        </w:p>
        <w:p w14:paraId="50A4F764" w14:textId="11988AC1" w:rsidR="00FC34E5" w:rsidRDefault="00FC34E5">
          <w:pPr>
            <w:pStyle w:val="TOC1"/>
            <w:rPr>
              <w:rFonts w:asciiTheme="minorHAnsi" w:eastAsiaTheme="minorEastAsia" w:hAnsiTheme="minorHAnsi"/>
              <w:noProof/>
              <w:kern w:val="2"/>
              <w:szCs w:val="24"/>
              <w:lang w:val="en-US"/>
              <w14:ligatures w14:val="standardContextual"/>
            </w:rPr>
          </w:pPr>
          <w:hyperlink w:anchor="_Toc202197582" w:history="1">
            <w:r w:rsidRPr="0082490E">
              <w:rPr>
                <w:rStyle w:val="Hyperlink"/>
                <w:rFonts w:cs="Times New Roman"/>
                <w:noProof/>
              </w:rPr>
              <w:t>LIST OF ABBREVIATIONS</w:t>
            </w:r>
            <w:r>
              <w:rPr>
                <w:noProof/>
                <w:webHidden/>
              </w:rPr>
              <w:tab/>
            </w:r>
            <w:r>
              <w:rPr>
                <w:noProof/>
                <w:webHidden/>
              </w:rPr>
              <w:fldChar w:fldCharType="begin"/>
            </w:r>
            <w:r>
              <w:rPr>
                <w:noProof/>
                <w:webHidden/>
              </w:rPr>
              <w:instrText xml:space="preserve"> PAGEREF _Toc202197582 \h </w:instrText>
            </w:r>
            <w:r>
              <w:rPr>
                <w:noProof/>
                <w:webHidden/>
              </w:rPr>
            </w:r>
            <w:r>
              <w:rPr>
                <w:noProof/>
                <w:webHidden/>
              </w:rPr>
              <w:fldChar w:fldCharType="separate"/>
            </w:r>
            <w:r w:rsidR="00717E31">
              <w:rPr>
                <w:noProof/>
                <w:webHidden/>
              </w:rPr>
              <w:t>xv</w:t>
            </w:r>
            <w:r>
              <w:rPr>
                <w:noProof/>
                <w:webHidden/>
              </w:rPr>
              <w:fldChar w:fldCharType="end"/>
            </w:r>
          </w:hyperlink>
        </w:p>
        <w:p w14:paraId="79C3DC93" w14:textId="183B1F54" w:rsidR="00FC34E5" w:rsidRDefault="00FC34E5">
          <w:pPr>
            <w:pStyle w:val="TOC1"/>
            <w:rPr>
              <w:rFonts w:asciiTheme="minorHAnsi" w:eastAsiaTheme="minorEastAsia" w:hAnsiTheme="minorHAnsi"/>
              <w:noProof/>
              <w:kern w:val="2"/>
              <w:szCs w:val="24"/>
              <w:lang w:val="en-US"/>
              <w14:ligatures w14:val="standardContextual"/>
            </w:rPr>
          </w:pPr>
          <w:hyperlink w:anchor="_Toc202197583" w:history="1">
            <w:r w:rsidRPr="0082490E">
              <w:rPr>
                <w:rStyle w:val="Hyperlink"/>
                <w:noProof/>
              </w:rPr>
              <w:t>CHAPTER ONE</w:t>
            </w:r>
            <w:r>
              <w:rPr>
                <w:webHidden/>
              </w:rPr>
              <w:t>:</w:t>
            </w:r>
          </w:hyperlink>
          <w:r>
            <w:rPr>
              <w:rFonts w:asciiTheme="minorHAnsi" w:eastAsiaTheme="minorEastAsia" w:hAnsiTheme="minorHAnsi"/>
              <w:noProof/>
              <w:kern w:val="2"/>
              <w:szCs w:val="24"/>
              <w:lang w:val="en-US"/>
              <w14:ligatures w14:val="standardContextual"/>
            </w:rPr>
            <w:t xml:space="preserve"> </w:t>
          </w:r>
          <w:hyperlink w:anchor="_Toc202197584" w:history="1">
            <w:r w:rsidRPr="0082490E">
              <w:rPr>
                <w:rStyle w:val="Hyperlink"/>
                <w:noProof/>
              </w:rPr>
              <w:t>INTRODUCTION</w:t>
            </w:r>
          </w:hyperlink>
        </w:p>
        <w:p w14:paraId="69F1FB05" w14:textId="0B54919A" w:rsidR="00FC34E5" w:rsidRDefault="00FC34E5" w:rsidP="00FC34E5">
          <w:pPr>
            <w:pStyle w:val="TOC2"/>
            <w:rPr>
              <w:rFonts w:asciiTheme="minorHAnsi" w:eastAsiaTheme="minorEastAsia" w:hAnsiTheme="minorHAnsi"/>
              <w:kern w:val="2"/>
              <w:szCs w:val="24"/>
              <w:lang w:val="en-US"/>
              <w14:ligatures w14:val="standardContextual"/>
            </w:rPr>
          </w:pPr>
          <w:hyperlink w:anchor="_Toc202197585" w:history="1">
            <w:r w:rsidRPr="0082490E">
              <w:rPr>
                <w:rStyle w:val="Hyperlink"/>
              </w:rPr>
              <w:t>Background to the Study</w:t>
            </w:r>
            <w:r>
              <w:rPr>
                <w:webHidden/>
              </w:rPr>
              <w:tab/>
            </w:r>
            <w:r>
              <w:rPr>
                <w:webHidden/>
              </w:rPr>
              <w:fldChar w:fldCharType="begin"/>
            </w:r>
            <w:r>
              <w:rPr>
                <w:webHidden/>
              </w:rPr>
              <w:instrText xml:space="preserve"> PAGEREF _Toc202197585 \h </w:instrText>
            </w:r>
            <w:r>
              <w:rPr>
                <w:webHidden/>
              </w:rPr>
            </w:r>
            <w:r>
              <w:rPr>
                <w:webHidden/>
              </w:rPr>
              <w:fldChar w:fldCharType="separate"/>
            </w:r>
            <w:r w:rsidR="00717E31">
              <w:rPr>
                <w:webHidden/>
              </w:rPr>
              <w:t>1</w:t>
            </w:r>
            <w:r>
              <w:rPr>
                <w:webHidden/>
              </w:rPr>
              <w:fldChar w:fldCharType="end"/>
            </w:r>
          </w:hyperlink>
        </w:p>
        <w:p w14:paraId="0337E655" w14:textId="4869F84E" w:rsidR="00FC34E5" w:rsidRDefault="00FC34E5" w:rsidP="00FC34E5">
          <w:pPr>
            <w:pStyle w:val="TOC2"/>
            <w:rPr>
              <w:rFonts w:asciiTheme="minorHAnsi" w:eastAsiaTheme="minorEastAsia" w:hAnsiTheme="minorHAnsi"/>
              <w:kern w:val="2"/>
              <w:szCs w:val="24"/>
              <w:lang w:val="en-US"/>
              <w14:ligatures w14:val="standardContextual"/>
            </w:rPr>
          </w:pPr>
          <w:hyperlink w:anchor="_Toc202197586" w:history="1">
            <w:r w:rsidRPr="0082490E">
              <w:rPr>
                <w:rStyle w:val="Hyperlink"/>
                <w:rFonts w:cs="Times New Roman"/>
              </w:rPr>
              <w:t>Problem Statement</w:t>
            </w:r>
            <w:r>
              <w:rPr>
                <w:webHidden/>
              </w:rPr>
              <w:tab/>
            </w:r>
            <w:r>
              <w:rPr>
                <w:webHidden/>
              </w:rPr>
              <w:fldChar w:fldCharType="begin"/>
            </w:r>
            <w:r>
              <w:rPr>
                <w:webHidden/>
              </w:rPr>
              <w:instrText xml:space="preserve"> PAGEREF _Toc202197586 \h </w:instrText>
            </w:r>
            <w:r>
              <w:rPr>
                <w:webHidden/>
              </w:rPr>
            </w:r>
            <w:r>
              <w:rPr>
                <w:webHidden/>
              </w:rPr>
              <w:fldChar w:fldCharType="separate"/>
            </w:r>
            <w:r w:rsidR="00717E31">
              <w:rPr>
                <w:webHidden/>
              </w:rPr>
              <w:t>12</w:t>
            </w:r>
            <w:r>
              <w:rPr>
                <w:webHidden/>
              </w:rPr>
              <w:fldChar w:fldCharType="end"/>
            </w:r>
          </w:hyperlink>
        </w:p>
        <w:p w14:paraId="128BF37E" w14:textId="375AE34C" w:rsidR="00FC34E5" w:rsidRDefault="00FC34E5" w:rsidP="00FC34E5">
          <w:pPr>
            <w:pStyle w:val="TOC2"/>
            <w:rPr>
              <w:rFonts w:asciiTheme="minorHAnsi" w:eastAsiaTheme="minorEastAsia" w:hAnsiTheme="minorHAnsi"/>
              <w:kern w:val="2"/>
              <w:szCs w:val="24"/>
              <w:lang w:val="en-US"/>
              <w14:ligatures w14:val="standardContextual"/>
            </w:rPr>
          </w:pPr>
          <w:hyperlink w:anchor="_Toc202197587" w:history="1">
            <w:r w:rsidRPr="0082490E">
              <w:rPr>
                <w:rStyle w:val="Hyperlink"/>
              </w:rPr>
              <w:t>Objectives of the Study</w:t>
            </w:r>
            <w:r>
              <w:rPr>
                <w:webHidden/>
              </w:rPr>
              <w:tab/>
            </w:r>
            <w:r>
              <w:rPr>
                <w:webHidden/>
              </w:rPr>
              <w:fldChar w:fldCharType="begin"/>
            </w:r>
            <w:r>
              <w:rPr>
                <w:webHidden/>
              </w:rPr>
              <w:instrText xml:space="preserve"> PAGEREF _Toc202197587 \h </w:instrText>
            </w:r>
            <w:r>
              <w:rPr>
                <w:webHidden/>
              </w:rPr>
            </w:r>
            <w:r>
              <w:rPr>
                <w:webHidden/>
              </w:rPr>
              <w:fldChar w:fldCharType="separate"/>
            </w:r>
            <w:r w:rsidR="00717E31">
              <w:rPr>
                <w:webHidden/>
              </w:rPr>
              <w:t>13</w:t>
            </w:r>
            <w:r>
              <w:rPr>
                <w:webHidden/>
              </w:rPr>
              <w:fldChar w:fldCharType="end"/>
            </w:r>
          </w:hyperlink>
        </w:p>
        <w:p w14:paraId="1E08ED7D" w14:textId="757DD905" w:rsidR="00FC34E5" w:rsidRDefault="00FC34E5" w:rsidP="00FC34E5">
          <w:pPr>
            <w:pStyle w:val="TOC2"/>
            <w:rPr>
              <w:rFonts w:asciiTheme="minorHAnsi" w:eastAsiaTheme="minorEastAsia" w:hAnsiTheme="minorHAnsi"/>
              <w:kern w:val="2"/>
              <w:szCs w:val="24"/>
              <w:lang w:val="en-US"/>
              <w14:ligatures w14:val="standardContextual"/>
            </w:rPr>
          </w:pPr>
          <w:hyperlink w:anchor="_Toc202197588" w:history="1">
            <w:r w:rsidRPr="0082490E">
              <w:rPr>
                <w:rStyle w:val="Hyperlink"/>
                <w:rFonts w:cs="Times New Roman"/>
              </w:rPr>
              <w:t>Research Questions</w:t>
            </w:r>
            <w:r>
              <w:rPr>
                <w:webHidden/>
              </w:rPr>
              <w:tab/>
            </w:r>
            <w:r>
              <w:rPr>
                <w:webHidden/>
              </w:rPr>
              <w:fldChar w:fldCharType="begin"/>
            </w:r>
            <w:r>
              <w:rPr>
                <w:webHidden/>
              </w:rPr>
              <w:instrText xml:space="preserve"> PAGEREF _Toc202197588 \h </w:instrText>
            </w:r>
            <w:r>
              <w:rPr>
                <w:webHidden/>
              </w:rPr>
            </w:r>
            <w:r>
              <w:rPr>
                <w:webHidden/>
              </w:rPr>
              <w:fldChar w:fldCharType="separate"/>
            </w:r>
            <w:r w:rsidR="00717E31">
              <w:rPr>
                <w:webHidden/>
              </w:rPr>
              <w:t>14</w:t>
            </w:r>
            <w:r>
              <w:rPr>
                <w:webHidden/>
              </w:rPr>
              <w:fldChar w:fldCharType="end"/>
            </w:r>
          </w:hyperlink>
        </w:p>
        <w:p w14:paraId="578B8E2E" w14:textId="08C1BBE1" w:rsidR="00FC34E5" w:rsidRDefault="00FC34E5" w:rsidP="00FC34E5">
          <w:pPr>
            <w:pStyle w:val="TOC2"/>
            <w:rPr>
              <w:rFonts w:asciiTheme="minorHAnsi" w:eastAsiaTheme="minorEastAsia" w:hAnsiTheme="minorHAnsi"/>
              <w:kern w:val="2"/>
              <w:szCs w:val="24"/>
              <w:lang w:val="en-US"/>
              <w14:ligatures w14:val="standardContextual"/>
            </w:rPr>
          </w:pPr>
          <w:hyperlink w:anchor="_Toc202197589" w:history="1">
            <w:r w:rsidRPr="0082490E">
              <w:rPr>
                <w:rStyle w:val="Hyperlink"/>
              </w:rPr>
              <w:t>Hypothesis</w:t>
            </w:r>
            <w:r>
              <w:rPr>
                <w:webHidden/>
              </w:rPr>
              <w:tab/>
            </w:r>
            <w:r>
              <w:rPr>
                <w:webHidden/>
              </w:rPr>
              <w:fldChar w:fldCharType="begin"/>
            </w:r>
            <w:r>
              <w:rPr>
                <w:webHidden/>
              </w:rPr>
              <w:instrText xml:space="preserve"> PAGEREF _Toc202197589 \h </w:instrText>
            </w:r>
            <w:r>
              <w:rPr>
                <w:webHidden/>
              </w:rPr>
            </w:r>
            <w:r>
              <w:rPr>
                <w:webHidden/>
              </w:rPr>
              <w:fldChar w:fldCharType="separate"/>
            </w:r>
            <w:r w:rsidR="00717E31">
              <w:rPr>
                <w:webHidden/>
              </w:rPr>
              <w:t>14</w:t>
            </w:r>
            <w:r>
              <w:rPr>
                <w:webHidden/>
              </w:rPr>
              <w:fldChar w:fldCharType="end"/>
            </w:r>
          </w:hyperlink>
        </w:p>
        <w:p w14:paraId="1FDA5647" w14:textId="4A74C7DC" w:rsidR="00FC34E5" w:rsidRDefault="00FC34E5" w:rsidP="00FC34E5">
          <w:pPr>
            <w:pStyle w:val="TOC2"/>
            <w:rPr>
              <w:rFonts w:asciiTheme="minorHAnsi" w:eastAsiaTheme="minorEastAsia" w:hAnsiTheme="minorHAnsi"/>
              <w:kern w:val="2"/>
              <w:szCs w:val="24"/>
              <w:lang w:val="en-US"/>
              <w14:ligatures w14:val="standardContextual"/>
            </w:rPr>
          </w:pPr>
          <w:hyperlink w:anchor="_Toc202197590" w:history="1">
            <w:r w:rsidRPr="0082490E">
              <w:rPr>
                <w:rStyle w:val="Hyperlink"/>
              </w:rPr>
              <w:t>Significance of the Study</w:t>
            </w:r>
            <w:r>
              <w:rPr>
                <w:webHidden/>
              </w:rPr>
              <w:tab/>
            </w:r>
            <w:r>
              <w:rPr>
                <w:webHidden/>
              </w:rPr>
              <w:fldChar w:fldCharType="begin"/>
            </w:r>
            <w:r>
              <w:rPr>
                <w:webHidden/>
              </w:rPr>
              <w:instrText xml:space="preserve"> PAGEREF _Toc202197590 \h </w:instrText>
            </w:r>
            <w:r>
              <w:rPr>
                <w:webHidden/>
              </w:rPr>
            </w:r>
            <w:r>
              <w:rPr>
                <w:webHidden/>
              </w:rPr>
              <w:fldChar w:fldCharType="separate"/>
            </w:r>
            <w:r w:rsidR="00717E31">
              <w:rPr>
                <w:webHidden/>
              </w:rPr>
              <w:t>14</w:t>
            </w:r>
            <w:r>
              <w:rPr>
                <w:webHidden/>
              </w:rPr>
              <w:fldChar w:fldCharType="end"/>
            </w:r>
          </w:hyperlink>
        </w:p>
        <w:p w14:paraId="162C93EC" w14:textId="6E44ECF0" w:rsidR="00FC34E5" w:rsidRDefault="00FC34E5" w:rsidP="00FC34E5">
          <w:pPr>
            <w:pStyle w:val="TOC2"/>
            <w:rPr>
              <w:rFonts w:asciiTheme="minorHAnsi" w:eastAsiaTheme="minorEastAsia" w:hAnsiTheme="minorHAnsi"/>
              <w:kern w:val="2"/>
              <w:szCs w:val="24"/>
              <w:lang w:val="en-US"/>
              <w14:ligatures w14:val="standardContextual"/>
            </w:rPr>
          </w:pPr>
          <w:hyperlink w:anchor="_Toc202197591" w:history="1">
            <w:r w:rsidRPr="0082490E">
              <w:rPr>
                <w:rStyle w:val="Hyperlink"/>
                <w:rFonts w:cs="Times New Roman"/>
              </w:rPr>
              <w:t>Delimitations of the Study</w:t>
            </w:r>
            <w:r>
              <w:rPr>
                <w:webHidden/>
              </w:rPr>
              <w:tab/>
            </w:r>
            <w:r>
              <w:rPr>
                <w:webHidden/>
              </w:rPr>
              <w:fldChar w:fldCharType="begin"/>
            </w:r>
            <w:r>
              <w:rPr>
                <w:webHidden/>
              </w:rPr>
              <w:instrText xml:space="preserve"> PAGEREF _Toc202197591 \h </w:instrText>
            </w:r>
            <w:r>
              <w:rPr>
                <w:webHidden/>
              </w:rPr>
            </w:r>
            <w:r>
              <w:rPr>
                <w:webHidden/>
              </w:rPr>
              <w:fldChar w:fldCharType="separate"/>
            </w:r>
            <w:r w:rsidR="00717E31">
              <w:rPr>
                <w:webHidden/>
              </w:rPr>
              <w:t>16</w:t>
            </w:r>
            <w:r>
              <w:rPr>
                <w:webHidden/>
              </w:rPr>
              <w:fldChar w:fldCharType="end"/>
            </w:r>
          </w:hyperlink>
        </w:p>
        <w:p w14:paraId="47338C11" w14:textId="4B22527D" w:rsidR="00FC34E5" w:rsidRDefault="00FC34E5" w:rsidP="00FC34E5">
          <w:pPr>
            <w:pStyle w:val="TOC2"/>
            <w:rPr>
              <w:rFonts w:asciiTheme="minorHAnsi" w:eastAsiaTheme="minorEastAsia" w:hAnsiTheme="minorHAnsi"/>
              <w:kern w:val="2"/>
              <w:szCs w:val="24"/>
              <w:lang w:val="en-US"/>
              <w14:ligatures w14:val="standardContextual"/>
            </w:rPr>
          </w:pPr>
          <w:hyperlink w:anchor="_Toc202197592" w:history="1">
            <w:r w:rsidRPr="0082490E">
              <w:rPr>
                <w:rStyle w:val="Hyperlink"/>
              </w:rPr>
              <w:t>Limitations of the study</w:t>
            </w:r>
            <w:r>
              <w:rPr>
                <w:webHidden/>
              </w:rPr>
              <w:tab/>
            </w:r>
            <w:r>
              <w:rPr>
                <w:webHidden/>
              </w:rPr>
              <w:fldChar w:fldCharType="begin"/>
            </w:r>
            <w:r>
              <w:rPr>
                <w:webHidden/>
              </w:rPr>
              <w:instrText xml:space="preserve"> PAGEREF _Toc202197592 \h </w:instrText>
            </w:r>
            <w:r>
              <w:rPr>
                <w:webHidden/>
              </w:rPr>
            </w:r>
            <w:r>
              <w:rPr>
                <w:webHidden/>
              </w:rPr>
              <w:fldChar w:fldCharType="separate"/>
            </w:r>
            <w:r w:rsidR="00717E31">
              <w:rPr>
                <w:webHidden/>
              </w:rPr>
              <w:t>17</w:t>
            </w:r>
            <w:r>
              <w:rPr>
                <w:webHidden/>
              </w:rPr>
              <w:fldChar w:fldCharType="end"/>
            </w:r>
          </w:hyperlink>
        </w:p>
        <w:p w14:paraId="1F913F05" w14:textId="28498A80" w:rsidR="00FC34E5" w:rsidRDefault="00FC34E5" w:rsidP="00FC34E5">
          <w:pPr>
            <w:pStyle w:val="TOC2"/>
            <w:rPr>
              <w:rFonts w:asciiTheme="minorHAnsi" w:eastAsiaTheme="minorEastAsia" w:hAnsiTheme="minorHAnsi"/>
              <w:kern w:val="2"/>
              <w:szCs w:val="24"/>
              <w:lang w:val="en-US"/>
              <w14:ligatures w14:val="standardContextual"/>
            </w:rPr>
          </w:pPr>
          <w:hyperlink w:anchor="_Toc202197593" w:history="1">
            <w:r w:rsidRPr="0082490E">
              <w:rPr>
                <w:rStyle w:val="Hyperlink"/>
              </w:rPr>
              <w:t>Definition of Term</w:t>
            </w:r>
            <w:r>
              <w:rPr>
                <w:rStyle w:val="Hyperlink"/>
              </w:rPr>
              <w:t>s</w:t>
            </w:r>
            <w:r>
              <w:rPr>
                <w:webHidden/>
              </w:rPr>
              <w:tab/>
            </w:r>
            <w:r>
              <w:rPr>
                <w:webHidden/>
              </w:rPr>
              <w:fldChar w:fldCharType="begin"/>
            </w:r>
            <w:r>
              <w:rPr>
                <w:webHidden/>
              </w:rPr>
              <w:instrText xml:space="preserve"> PAGEREF _Toc202197593 \h </w:instrText>
            </w:r>
            <w:r>
              <w:rPr>
                <w:webHidden/>
              </w:rPr>
            </w:r>
            <w:r>
              <w:rPr>
                <w:webHidden/>
              </w:rPr>
              <w:fldChar w:fldCharType="separate"/>
            </w:r>
            <w:r w:rsidR="00717E31">
              <w:rPr>
                <w:webHidden/>
              </w:rPr>
              <w:t>18</w:t>
            </w:r>
            <w:r>
              <w:rPr>
                <w:webHidden/>
              </w:rPr>
              <w:fldChar w:fldCharType="end"/>
            </w:r>
          </w:hyperlink>
        </w:p>
        <w:p w14:paraId="222B6A4D" w14:textId="187269F4" w:rsidR="00FC34E5" w:rsidRDefault="00FC34E5" w:rsidP="00FC34E5">
          <w:pPr>
            <w:pStyle w:val="TOC2"/>
            <w:rPr>
              <w:rFonts w:asciiTheme="minorHAnsi" w:eastAsiaTheme="minorEastAsia" w:hAnsiTheme="minorHAnsi"/>
              <w:kern w:val="2"/>
              <w:szCs w:val="24"/>
              <w:lang w:val="en-US"/>
              <w14:ligatures w14:val="standardContextual"/>
            </w:rPr>
          </w:pPr>
          <w:hyperlink w:anchor="_Toc202197594" w:history="1">
            <w:r w:rsidRPr="0082490E">
              <w:rPr>
                <w:rStyle w:val="Hyperlink"/>
              </w:rPr>
              <w:t>Organisation of the Study</w:t>
            </w:r>
            <w:r>
              <w:rPr>
                <w:webHidden/>
              </w:rPr>
              <w:tab/>
            </w:r>
            <w:r>
              <w:rPr>
                <w:webHidden/>
              </w:rPr>
              <w:fldChar w:fldCharType="begin"/>
            </w:r>
            <w:r>
              <w:rPr>
                <w:webHidden/>
              </w:rPr>
              <w:instrText xml:space="preserve"> PAGEREF _Toc202197594 \h </w:instrText>
            </w:r>
            <w:r>
              <w:rPr>
                <w:webHidden/>
              </w:rPr>
            </w:r>
            <w:r>
              <w:rPr>
                <w:webHidden/>
              </w:rPr>
              <w:fldChar w:fldCharType="separate"/>
            </w:r>
            <w:r w:rsidR="00717E31">
              <w:rPr>
                <w:webHidden/>
              </w:rPr>
              <w:t>19</w:t>
            </w:r>
            <w:r>
              <w:rPr>
                <w:webHidden/>
              </w:rPr>
              <w:fldChar w:fldCharType="end"/>
            </w:r>
          </w:hyperlink>
        </w:p>
        <w:p w14:paraId="04F61D92" w14:textId="30286B0A" w:rsidR="00FC34E5" w:rsidRDefault="00FC34E5">
          <w:pPr>
            <w:pStyle w:val="TOC1"/>
            <w:rPr>
              <w:rFonts w:asciiTheme="minorHAnsi" w:eastAsiaTheme="minorEastAsia" w:hAnsiTheme="minorHAnsi"/>
              <w:noProof/>
              <w:kern w:val="2"/>
              <w:szCs w:val="24"/>
              <w:lang w:val="en-US"/>
              <w14:ligatures w14:val="standardContextual"/>
            </w:rPr>
          </w:pPr>
          <w:hyperlink w:anchor="_Toc202197595" w:history="1">
            <w:r w:rsidRPr="0082490E">
              <w:rPr>
                <w:rStyle w:val="Hyperlink"/>
                <w:noProof/>
              </w:rPr>
              <w:t>CHAPTER TWO</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596" w:history="1">
            <w:r w:rsidRPr="0082490E">
              <w:rPr>
                <w:rStyle w:val="Hyperlink"/>
                <w:noProof/>
              </w:rPr>
              <w:t>REVIEW OF RELATED LITERATURE</w:t>
            </w:r>
          </w:hyperlink>
        </w:p>
        <w:p w14:paraId="70D92933" w14:textId="4F5F536D" w:rsidR="00FC34E5" w:rsidRDefault="00FC34E5" w:rsidP="00FC34E5">
          <w:pPr>
            <w:pStyle w:val="TOC2"/>
            <w:rPr>
              <w:rFonts w:asciiTheme="minorHAnsi" w:eastAsiaTheme="minorEastAsia" w:hAnsiTheme="minorHAnsi"/>
              <w:kern w:val="2"/>
              <w:szCs w:val="24"/>
              <w:lang w:val="en-US"/>
              <w14:ligatures w14:val="standardContextual"/>
            </w:rPr>
          </w:pPr>
          <w:hyperlink w:anchor="_Toc202197597" w:history="1">
            <w:r w:rsidRPr="0082490E">
              <w:rPr>
                <w:rStyle w:val="Hyperlink"/>
              </w:rPr>
              <w:t>Introduction</w:t>
            </w:r>
            <w:r>
              <w:rPr>
                <w:webHidden/>
              </w:rPr>
              <w:tab/>
            </w:r>
            <w:r>
              <w:rPr>
                <w:webHidden/>
              </w:rPr>
              <w:fldChar w:fldCharType="begin"/>
            </w:r>
            <w:r>
              <w:rPr>
                <w:webHidden/>
              </w:rPr>
              <w:instrText xml:space="preserve"> PAGEREF _Toc202197597 \h </w:instrText>
            </w:r>
            <w:r>
              <w:rPr>
                <w:webHidden/>
              </w:rPr>
            </w:r>
            <w:r>
              <w:rPr>
                <w:webHidden/>
              </w:rPr>
              <w:fldChar w:fldCharType="separate"/>
            </w:r>
            <w:r w:rsidR="00717E31">
              <w:rPr>
                <w:webHidden/>
              </w:rPr>
              <w:t>21</w:t>
            </w:r>
            <w:r>
              <w:rPr>
                <w:webHidden/>
              </w:rPr>
              <w:fldChar w:fldCharType="end"/>
            </w:r>
          </w:hyperlink>
        </w:p>
        <w:p w14:paraId="560E8E73" w14:textId="6C742E75" w:rsidR="00FC34E5" w:rsidRDefault="00FC34E5" w:rsidP="00FC34E5">
          <w:pPr>
            <w:pStyle w:val="TOC2"/>
            <w:rPr>
              <w:rFonts w:asciiTheme="minorHAnsi" w:eastAsiaTheme="minorEastAsia" w:hAnsiTheme="minorHAnsi"/>
              <w:kern w:val="2"/>
              <w:szCs w:val="24"/>
              <w:lang w:val="en-US"/>
              <w14:ligatures w14:val="standardContextual"/>
            </w:rPr>
          </w:pPr>
          <w:hyperlink w:anchor="_Toc202197598" w:history="1">
            <w:r w:rsidRPr="0082490E">
              <w:rPr>
                <w:rStyle w:val="Hyperlink"/>
                <w:rFonts w:cs="Times New Roman"/>
              </w:rPr>
              <w:t>Theoretical Review</w:t>
            </w:r>
            <w:r>
              <w:rPr>
                <w:webHidden/>
              </w:rPr>
              <w:tab/>
            </w:r>
            <w:r>
              <w:rPr>
                <w:webHidden/>
              </w:rPr>
              <w:fldChar w:fldCharType="begin"/>
            </w:r>
            <w:r>
              <w:rPr>
                <w:webHidden/>
              </w:rPr>
              <w:instrText xml:space="preserve"> PAGEREF _Toc202197598 \h </w:instrText>
            </w:r>
            <w:r>
              <w:rPr>
                <w:webHidden/>
              </w:rPr>
            </w:r>
            <w:r>
              <w:rPr>
                <w:webHidden/>
              </w:rPr>
              <w:fldChar w:fldCharType="separate"/>
            </w:r>
            <w:r w:rsidR="00717E31">
              <w:rPr>
                <w:webHidden/>
              </w:rPr>
              <w:t>21</w:t>
            </w:r>
            <w:r>
              <w:rPr>
                <w:webHidden/>
              </w:rPr>
              <w:fldChar w:fldCharType="end"/>
            </w:r>
          </w:hyperlink>
        </w:p>
        <w:p w14:paraId="077BB49D" w14:textId="37EBED8F" w:rsidR="00FC34E5" w:rsidRDefault="00FC34E5" w:rsidP="00FC34E5">
          <w:pPr>
            <w:pStyle w:val="TOC2"/>
            <w:rPr>
              <w:rFonts w:asciiTheme="minorHAnsi" w:eastAsiaTheme="minorEastAsia" w:hAnsiTheme="minorHAnsi"/>
              <w:kern w:val="2"/>
              <w:szCs w:val="24"/>
              <w:lang w:val="en-US"/>
              <w14:ligatures w14:val="standardContextual"/>
            </w:rPr>
          </w:pPr>
          <w:hyperlink w:anchor="_Toc202197599" w:history="1">
            <w:r w:rsidRPr="0082490E">
              <w:rPr>
                <w:rStyle w:val="Hyperlink"/>
              </w:rPr>
              <w:t>Social exchange theory</w:t>
            </w:r>
            <w:r>
              <w:rPr>
                <w:webHidden/>
              </w:rPr>
              <w:tab/>
            </w:r>
            <w:r>
              <w:rPr>
                <w:webHidden/>
              </w:rPr>
              <w:fldChar w:fldCharType="begin"/>
            </w:r>
            <w:r>
              <w:rPr>
                <w:webHidden/>
              </w:rPr>
              <w:instrText xml:space="preserve"> PAGEREF _Toc202197599 \h </w:instrText>
            </w:r>
            <w:r>
              <w:rPr>
                <w:webHidden/>
              </w:rPr>
            </w:r>
            <w:r>
              <w:rPr>
                <w:webHidden/>
              </w:rPr>
              <w:fldChar w:fldCharType="separate"/>
            </w:r>
            <w:r w:rsidR="00717E31">
              <w:rPr>
                <w:webHidden/>
              </w:rPr>
              <w:t>21</w:t>
            </w:r>
            <w:r>
              <w:rPr>
                <w:webHidden/>
              </w:rPr>
              <w:fldChar w:fldCharType="end"/>
            </w:r>
          </w:hyperlink>
        </w:p>
        <w:p w14:paraId="2FCC8E8D" w14:textId="76C95244" w:rsidR="00FC34E5" w:rsidRDefault="00FC34E5" w:rsidP="00FC34E5">
          <w:pPr>
            <w:pStyle w:val="TOC2"/>
            <w:rPr>
              <w:rFonts w:asciiTheme="minorHAnsi" w:eastAsiaTheme="minorEastAsia" w:hAnsiTheme="minorHAnsi"/>
              <w:kern w:val="2"/>
              <w:szCs w:val="24"/>
              <w:lang w:val="en-US"/>
              <w14:ligatures w14:val="standardContextual"/>
            </w:rPr>
          </w:pPr>
          <w:hyperlink w:anchor="_Toc202197600" w:history="1">
            <w:r w:rsidRPr="0082490E">
              <w:rPr>
                <w:rStyle w:val="Hyperlink"/>
              </w:rPr>
              <w:t>Institutional Theory</w:t>
            </w:r>
            <w:r>
              <w:rPr>
                <w:webHidden/>
              </w:rPr>
              <w:tab/>
            </w:r>
            <w:r>
              <w:rPr>
                <w:webHidden/>
              </w:rPr>
              <w:fldChar w:fldCharType="begin"/>
            </w:r>
            <w:r>
              <w:rPr>
                <w:webHidden/>
              </w:rPr>
              <w:instrText xml:space="preserve"> PAGEREF _Toc202197600 \h </w:instrText>
            </w:r>
            <w:r>
              <w:rPr>
                <w:webHidden/>
              </w:rPr>
            </w:r>
            <w:r>
              <w:rPr>
                <w:webHidden/>
              </w:rPr>
              <w:fldChar w:fldCharType="separate"/>
            </w:r>
            <w:r w:rsidR="00717E31">
              <w:rPr>
                <w:webHidden/>
              </w:rPr>
              <w:t>25</w:t>
            </w:r>
            <w:r>
              <w:rPr>
                <w:webHidden/>
              </w:rPr>
              <w:fldChar w:fldCharType="end"/>
            </w:r>
          </w:hyperlink>
        </w:p>
        <w:p w14:paraId="558594CF" w14:textId="776E66FE" w:rsidR="00FC34E5" w:rsidRDefault="00FC34E5" w:rsidP="00FC34E5">
          <w:pPr>
            <w:pStyle w:val="TOC2"/>
            <w:rPr>
              <w:rFonts w:asciiTheme="minorHAnsi" w:eastAsiaTheme="minorEastAsia" w:hAnsiTheme="minorHAnsi"/>
              <w:kern w:val="2"/>
              <w:szCs w:val="24"/>
              <w:lang w:val="en-US"/>
              <w14:ligatures w14:val="standardContextual"/>
            </w:rPr>
          </w:pPr>
          <w:hyperlink w:anchor="_Toc202197601" w:history="1">
            <w:r w:rsidRPr="0082490E">
              <w:rPr>
                <w:rStyle w:val="Hyperlink"/>
              </w:rPr>
              <w:t>Conceptual Review</w:t>
            </w:r>
            <w:r>
              <w:rPr>
                <w:webHidden/>
              </w:rPr>
              <w:tab/>
            </w:r>
            <w:r>
              <w:rPr>
                <w:webHidden/>
              </w:rPr>
              <w:fldChar w:fldCharType="begin"/>
            </w:r>
            <w:r>
              <w:rPr>
                <w:webHidden/>
              </w:rPr>
              <w:instrText xml:space="preserve"> PAGEREF _Toc202197601 \h </w:instrText>
            </w:r>
            <w:r>
              <w:rPr>
                <w:webHidden/>
              </w:rPr>
            </w:r>
            <w:r>
              <w:rPr>
                <w:webHidden/>
              </w:rPr>
              <w:fldChar w:fldCharType="separate"/>
            </w:r>
            <w:r w:rsidR="00717E31">
              <w:rPr>
                <w:webHidden/>
              </w:rPr>
              <w:t>30</w:t>
            </w:r>
            <w:r>
              <w:rPr>
                <w:webHidden/>
              </w:rPr>
              <w:fldChar w:fldCharType="end"/>
            </w:r>
          </w:hyperlink>
        </w:p>
        <w:p w14:paraId="00AA9E06" w14:textId="6E114DCB" w:rsidR="00FC34E5" w:rsidRDefault="00FC34E5" w:rsidP="00FC34E5">
          <w:pPr>
            <w:pStyle w:val="TOC2"/>
            <w:rPr>
              <w:rFonts w:asciiTheme="minorHAnsi" w:eastAsiaTheme="minorEastAsia" w:hAnsiTheme="minorHAnsi"/>
              <w:kern w:val="2"/>
              <w:szCs w:val="24"/>
              <w:lang w:val="en-US"/>
              <w14:ligatures w14:val="standardContextual"/>
            </w:rPr>
          </w:pPr>
          <w:hyperlink w:anchor="_Toc202197602" w:history="1">
            <w:r w:rsidRPr="0082490E">
              <w:rPr>
                <w:rStyle w:val="Hyperlink"/>
              </w:rPr>
              <w:t>Community Participation</w:t>
            </w:r>
            <w:r>
              <w:rPr>
                <w:webHidden/>
              </w:rPr>
              <w:tab/>
            </w:r>
            <w:r>
              <w:rPr>
                <w:webHidden/>
              </w:rPr>
              <w:fldChar w:fldCharType="begin"/>
            </w:r>
            <w:r>
              <w:rPr>
                <w:webHidden/>
              </w:rPr>
              <w:instrText xml:space="preserve"> PAGEREF _Toc202197602 \h </w:instrText>
            </w:r>
            <w:r>
              <w:rPr>
                <w:webHidden/>
              </w:rPr>
            </w:r>
            <w:r>
              <w:rPr>
                <w:webHidden/>
              </w:rPr>
              <w:fldChar w:fldCharType="separate"/>
            </w:r>
            <w:r w:rsidR="00717E31">
              <w:rPr>
                <w:webHidden/>
              </w:rPr>
              <w:t>30</w:t>
            </w:r>
            <w:r>
              <w:rPr>
                <w:webHidden/>
              </w:rPr>
              <w:fldChar w:fldCharType="end"/>
            </w:r>
          </w:hyperlink>
        </w:p>
        <w:p w14:paraId="2C7CF0F9" w14:textId="0C176057" w:rsidR="00FC34E5" w:rsidRDefault="00FC34E5" w:rsidP="00FC34E5">
          <w:pPr>
            <w:pStyle w:val="TOC2"/>
            <w:rPr>
              <w:rFonts w:asciiTheme="minorHAnsi" w:eastAsiaTheme="minorEastAsia" w:hAnsiTheme="minorHAnsi"/>
              <w:kern w:val="2"/>
              <w:szCs w:val="24"/>
              <w:lang w:val="en-US"/>
              <w14:ligatures w14:val="standardContextual"/>
            </w:rPr>
          </w:pPr>
          <w:hyperlink w:anchor="_Toc202197603" w:history="1">
            <w:r w:rsidRPr="0082490E">
              <w:rPr>
                <w:rStyle w:val="Hyperlink"/>
              </w:rPr>
              <w:t>Arstein’s (1969) Ladder of Participation</w:t>
            </w:r>
            <w:r>
              <w:rPr>
                <w:webHidden/>
              </w:rPr>
              <w:tab/>
            </w:r>
            <w:r>
              <w:rPr>
                <w:webHidden/>
              </w:rPr>
              <w:fldChar w:fldCharType="begin"/>
            </w:r>
            <w:r>
              <w:rPr>
                <w:webHidden/>
              </w:rPr>
              <w:instrText xml:space="preserve"> PAGEREF _Toc202197603 \h </w:instrText>
            </w:r>
            <w:r>
              <w:rPr>
                <w:webHidden/>
              </w:rPr>
            </w:r>
            <w:r>
              <w:rPr>
                <w:webHidden/>
              </w:rPr>
              <w:fldChar w:fldCharType="separate"/>
            </w:r>
            <w:r w:rsidR="00717E31">
              <w:rPr>
                <w:webHidden/>
              </w:rPr>
              <w:t>34</w:t>
            </w:r>
            <w:r>
              <w:rPr>
                <w:webHidden/>
              </w:rPr>
              <w:fldChar w:fldCharType="end"/>
            </w:r>
          </w:hyperlink>
        </w:p>
        <w:p w14:paraId="252748B7" w14:textId="281C047F" w:rsidR="00FC34E5" w:rsidRDefault="00FC34E5" w:rsidP="00FC34E5">
          <w:pPr>
            <w:pStyle w:val="TOC2"/>
            <w:rPr>
              <w:rFonts w:asciiTheme="minorHAnsi" w:eastAsiaTheme="minorEastAsia" w:hAnsiTheme="minorHAnsi"/>
              <w:kern w:val="2"/>
              <w:szCs w:val="24"/>
              <w:lang w:val="en-US"/>
              <w14:ligatures w14:val="standardContextual"/>
            </w:rPr>
          </w:pPr>
          <w:hyperlink w:anchor="_Toc202197605" w:history="1">
            <w:r w:rsidRPr="0082490E">
              <w:rPr>
                <w:rStyle w:val="Hyperlink"/>
                <w:rFonts w:eastAsia="Times New Roman"/>
                <w:lang w:eastAsia="en-GB"/>
              </w:rPr>
              <w:t>Gaventa’s (2006) Power Cube</w:t>
            </w:r>
            <w:r>
              <w:rPr>
                <w:webHidden/>
              </w:rPr>
              <w:tab/>
            </w:r>
            <w:r>
              <w:rPr>
                <w:webHidden/>
              </w:rPr>
              <w:fldChar w:fldCharType="begin"/>
            </w:r>
            <w:r>
              <w:rPr>
                <w:webHidden/>
              </w:rPr>
              <w:instrText xml:space="preserve"> PAGEREF _Toc202197605 \h </w:instrText>
            </w:r>
            <w:r>
              <w:rPr>
                <w:webHidden/>
              </w:rPr>
            </w:r>
            <w:r>
              <w:rPr>
                <w:webHidden/>
              </w:rPr>
              <w:fldChar w:fldCharType="separate"/>
            </w:r>
            <w:r w:rsidR="00717E31">
              <w:rPr>
                <w:webHidden/>
              </w:rPr>
              <w:t>40</w:t>
            </w:r>
            <w:r>
              <w:rPr>
                <w:webHidden/>
              </w:rPr>
              <w:fldChar w:fldCharType="end"/>
            </w:r>
          </w:hyperlink>
        </w:p>
        <w:p w14:paraId="5252A8AF" w14:textId="5984F079" w:rsidR="00FC34E5" w:rsidRDefault="00FC34E5" w:rsidP="00FC34E5">
          <w:pPr>
            <w:pStyle w:val="TOC2"/>
            <w:rPr>
              <w:rFonts w:asciiTheme="minorHAnsi" w:eastAsiaTheme="minorEastAsia" w:hAnsiTheme="minorHAnsi"/>
              <w:kern w:val="2"/>
              <w:szCs w:val="24"/>
              <w:lang w:val="en-US"/>
              <w14:ligatures w14:val="standardContextual"/>
            </w:rPr>
          </w:pPr>
          <w:hyperlink w:anchor="_Toc202197607" w:history="1">
            <w:r w:rsidRPr="0082490E">
              <w:rPr>
                <w:rStyle w:val="Hyperlink"/>
                <w:rFonts w:eastAsia="Times New Roman"/>
                <w:lang w:eastAsia="en-GB"/>
              </w:rPr>
              <w:t>Forest Management Regimes</w:t>
            </w:r>
            <w:r>
              <w:rPr>
                <w:webHidden/>
              </w:rPr>
              <w:tab/>
            </w:r>
            <w:r>
              <w:rPr>
                <w:webHidden/>
              </w:rPr>
              <w:fldChar w:fldCharType="begin"/>
            </w:r>
            <w:r>
              <w:rPr>
                <w:webHidden/>
              </w:rPr>
              <w:instrText xml:space="preserve"> PAGEREF _Toc202197607 \h </w:instrText>
            </w:r>
            <w:r>
              <w:rPr>
                <w:webHidden/>
              </w:rPr>
            </w:r>
            <w:r>
              <w:rPr>
                <w:webHidden/>
              </w:rPr>
              <w:fldChar w:fldCharType="separate"/>
            </w:r>
            <w:r w:rsidR="00717E31">
              <w:rPr>
                <w:webHidden/>
              </w:rPr>
              <w:t>45</w:t>
            </w:r>
            <w:r>
              <w:rPr>
                <w:webHidden/>
              </w:rPr>
              <w:fldChar w:fldCharType="end"/>
            </w:r>
          </w:hyperlink>
        </w:p>
        <w:p w14:paraId="481E1605" w14:textId="11C84E89" w:rsidR="00FC34E5" w:rsidRDefault="00FC34E5" w:rsidP="00FC34E5">
          <w:pPr>
            <w:pStyle w:val="TOC2"/>
            <w:rPr>
              <w:rFonts w:asciiTheme="minorHAnsi" w:eastAsiaTheme="minorEastAsia" w:hAnsiTheme="minorHAnsi"/>
              <w:kern w:val="2"/>
              <w:szCs w:val="24"/>
              <w:lang w:val="en-US"/>
              <w14:ligatures w14:val="standardContextual"/>
            </w:rPr>
          </w:pPr>
          <w:hyperlink w:anchor="_Toc202197608" w:history="1">
            <w:r w:rsidRPr="0082490E">
              <w:rPr>
                <w:rStyle w:val="Hyperlink"/>
              </w:rPr>
              <w:t>Sustainable forest management</w:t>
            </w:r>
            <w:r>
              <w:rPr>
                <w:webHidden/>
              </w:rPr>
              <w:tab/>
            </w:r>
            <w:r>
              <w:rPr>
                <w:webHidden/>
              </w:rPr>
              <w:fldChar w:fldCharType="begin"/>
            </w:r>
            <w:r>
              <w:rPr>
                <w:webHidden/>
              </w:rPr>
              <w:instrText xml:space="preserve"> PAGEREF _Toc202197608 \h </w:instrText>
            </w:r>
            <w:r>
              <w:rPr>
                <w:webHidden/>
              </w:rPr>
            </w:r>
            <w:r>
              <w:rPr>
                <w:webHidden/>
              </w:rPr>
              <w:fldChar w:fldCharType="separate"/>
            </w:r>
            <w:r w:rsidR="00717E31">
              <w:rPr>
                <w:webHidden/>
              </w:rPr>
              <w:t>47</w:t>
            </w:r>
            <w:r>
              <w:rPr>
                <w:webHidden/>
              </w:rPr>
              <w:fldChar w:fldCharType="end"/>
            </w:r>
          </w:hyperlink>
        </w:p>
        <w:p w14:paraId="67160612" w14:textId="722A0880" w:rsidR="00FC34E5" w:rsidRDefault="00FC34E5" w:rsidP="00FC34E5">
          <w:pPr>
            <w:pStyle w:val="TOC2"/>
            <w:rPr>
              <w:rFonts w:asciiTheme="minorHAnsi" w:eastAsiaTheme="minorEastAsia" w:hAnsiTheme="minorHAnsi"/>
              <w:kern w:val="2"/>
              <w:szCs w:val="24"/>
              <w:lang w:val="en-US"/>
              <w14:ligatures w14:val="standardContextual"/>
            </w:rPr>
          </w:pPr>
          <w:hyperlink w:anchor="_Toc202197611" w:history="1">
            <w:r w:rsidRPr="0082490E">
              <w:rPr>
                <w:rStyle w:val="Hyperlink"/>
              </w:rPr>
              <w:t>Criteria and indicators</w:t>
            </w:r>
            <w:r>
              <w:rPr>
                <w:webHidden/>
              </w:rPr>
              <w:tab/>
            </w:r>
            <w:r>
              <w:rPr>
                <w:webHidden/>
              </w:rPr>
              <w:fldChar w:fldCharType="begin"/>
            </w:r>
            <w:r>
              <w:rPr>
                <w:webHidden/>
              </w:rPr>
              <w:instrText xml:space="preserve"> PAGEREF _Toc202197611 \h </w:instrText>
            </w:r>
            <w:r>
              <w:rPr>
                <w:webHidden/>
              </w:rPr>
            </w:r>
            <w:r>
              <w:rPr>
                <w:webHidden/>
              </w:rPr>
              <w:fldChar w:fldCharType="separate"/>
            </w:r>
            <w:r w:rsidR="00717E31">
              <w:rPr>
                <w:webHidden/>
              </w:rPr>
              <w:t>51</w:t>
            </w:r>
            <w:r>
              <w:rPr>
                <w:webHidden/>
              </w:rPr>
              <w:fldChar w:fldCharType="end"/>
            </w:r>
          </w:hyperlink>
        </w:p>
        <w:p w14:paraId="52F3C3AB" w14:textId="5CF9E724" w:rsidR="00FC34E5" w:rsidRDefault="00FC34E5" w:rsidP="00FC34E5">
          <w:pPr>
            <w:pStyle w:val="TOC2"/>
            <w:rPr>
              <w:rFonts w:asciiTheme="minorHAnsi" w:eastAsiaTheme="minorEastAsia" w:hAnsiTheme="minorHAnsi"/>
              <w:kern w:val="2"/>
              <w:szCs w:val="24"/>
              <w:lang w:val="en-US"/>
              <w14:ligatures w14:val="standardContextual"/>
            </w:rPr>
          </w:pPr>
          <w:hyperlink w:anchor="_Toc202197612" w:history="1">
            <w:r w:rsidRPr="0082490E">
              <w:rPr>
                <w:rStyle w:val="Hyperlink"/>
              </w:rPr>
              <w:t>Multi-stakeholder management in natural resource management</w:t>
            </w:r>
            <w:r>
              <w:rPr>
                <w:webHidden/>
              </w:rPr>
              <w:tab/>
            </w:r>
            <w:r>
              <w:rPr>
                <w:webHidden/>
              </w:rPr>
              <w:fldChar w:fldCharType="begin"/>
            </w:r>
            <w:r>
              <w:rPr>
                <w:webHidden/>
              </w:rPr>
              <w:instrText xml:space="preserve"> PAGEREF _Toc202197612 \h </w:instrText>
            </w:r>
            <w:r>
              <w:rPr>
                <w:webHidden/>
              </w:rPr>
            </w:r>
            <w:r>
              <w:rPr>
                <w:webHidden/>
              </w:rPr>
              <w:fldChar w:fldCharType="separate"/>
            </w:r>
            <w:r w:rsidR="00717E31">
              <w:rPr>
                <w:webHidden/>
              </w:rPr>
              <w:t>55</w:t>
            </w:r>
            <w:r>
              <w:rPr>
                <w:webHidden/>
              </w:rPr>
              <w:fldChar w:fldCharType="end"/>
            </w:r>
          </w:hyperlink>
        </w:p>
        <w:p w14:paraId="6CA65CDF" w14:textId="7F4D07F6" w:rsidR="00FC34E5" w:rsidRDefault="00FC34E5" w:rsidP="00FC34E5">
          <w:pPr>
            <w:pStyle w:val="TOC2"/>
            <w:rPr>
              <w:rFonts w:asciiTheme="minorHAnsi" w:eastAsiaTheme="minorEastAsia" w:hAnsiTheme="minorHAnsi"/>
              <w:kern w:val="2"/>
              <w:szCs w:val="24"/>
              <w:lang w:val="en-US"/>
              <w14:ligatures w14:val="standardContextual"/>
            </w:rPr>
          </w:pPr>
          <w:hyperlink w:anchor="_Toc202197613" w:history="1">
            <w:r w:rsidRPr="0082490E">
              <w:rPr>
                <w:rStyle w:val="Hyperlink"/>
              </w:rPr>
              <w:t>The concept of co-management</w:t>
            </w:r>
            <w:r>
              <w:rPr>
                <w:webHidden/>
              </w:rPr>
              <w:tab/>
            </w:r>
            <w:r>
              <w:rPr>
                <w:webHidden/>
              </w:rPr>
              <w:fldChar w:fldCharType="begin"/>
            </w:r>
            <w:r>
              <w:rPr>
                <w:webHidden/>
              </w:rPr>
              <w:instrText xml:space="preserve"> PAGEREF _Toc202197613 \h </w:instrText>
            </w:r>
            <w:r>
              <w:rPr>
                <w:webHidden/>
              </w:rPr>
            </w:r>
            <w:r>
              <w:rPr>
                <w:webHidden/>
              </w:rPr>
              <w:fldChar w:fldCharType="separate"/>
            </w:r>
            <w:r w:rsidR="00717E31">
              <w:rPr>
                <w:webHidden/>
              </w:rPr>
              <w:t>59</w:t>
            </w:r>
            <w:r>
              <w:rPr>
                <w:webHidden/>
              </w:rPr>
              <w:fldChar w:fldCharType="end"/>
            </w:r>
          </w:hyperlink>
        </w:p>
        <w:p w14:paraId="4545CA7A" w14:textId="6D5D3EAA" w:rsidR="00FC34E5" w:rsidRDefault="00FC34E5" w:rsidP="00FC34E5">
          <w:pPr>
            <w:pStyle w:val="TOC2"/>
            <w:rPr>
              <w:rFonts w:asciiTheme="minorHAnsi" w:eastAsiaTheme="minorEastAsia" w:hAnsiTheme="minorHAnsi"/>
              <w:kern w:val="2"/>
              <w:szCs w:val="24"/>
              <w:lang w:val="en-US"/>
              <w14:ligatures w14:val="standardContextual"/>
            </w:rPr>
          </w:pPr>
          <w:hyperlink w:anchor="_Toc202197614" w:history="1">
            <w:r w:rsidRPr="0082490E">
              <w:rPr>
                <w:rStyle w:val="Hyperlink"/>
              </w:rPr>
              <w:t>Typologies of co-management</w:t>
            </w:r>
            <w:r>
              <w:rPr>
                <w:webHidden/>
              </w:rPr>
              <w:tab/>
            </w:r>
            <w:r>
              <w:rPr>
                <w:webHidden/>
              </w:rPr>
              <w:fldChar w:fldCharType="begin"/>
            </w:r>
            <w:r>
              <w:rPr>
                <w:webHidden/>
              </w:rPr>
              <w:instrText xml:space="preserve"> PAGEREF _Toc202197614 \h </w:instrText>
            </w:r>
            <w:r>
              <w:rPr>
                <w:webHidden/>
              </w:rPr>
            </w:r>
            <w:r>
              <w:rPr>
                <w:webHidden/>
              </w:rPr>
              <w:fldChar w:fldCharType="separate"/>
            </w:r>
            <w:r w:rsidR="00717E31">
              <w:rPr>
                <w:webHidden/>
              </w:rPr>
              <w:t>61</w:t>
            </w:r>
            <w:r>
              <w:rPr>
                <w:webHidden/>
              </w:rPr>
              <w:fldChar w:fldCharType="end"/>
            </w:r>
          </w:hyperlink>
        </w:p>
        <w:p w14:paraId="217580B7" w14:textId="219F5A43" w:rsidR="00FC34E5" w:rsidRDefault="00FC34E5" w:rsidP="00FC34E5">
          <w:pPr>
            <w:pStyle w:val="TOC2"/>
            <w:rPr>
              <w:rFonts w:asciiTheme="minorHAnsi" w:eastAsiaTheme="minorEastAsia" w:hAnsiTheme="minorHAnsi"/>
              <w:kern w:val="2"/>
              <w:szCs w:val="24"/>
              <w:lang w:val="en-US"/>
              <w14:ligatures w14:val="standardContextual"/>
            </w:rPr>
          </w:pPr>
          <w:hyperlink w:anchor="_Toc202197615" w:history="1">
            <w:r w:rsidRPr="0082490E">
              <w:rPr>
                <w:rStyle w:val="Hyperlink"/>
              </w:rPr>
              <w:t>The Taungya System in Ghana</w:t>
            </w:r>
            <w:r>
              <w:rPr>
                <w:webHidden/>
              </w:rPr>
              <w:tab/>
            </w:r>
            <w:r>
              <w:rPr>
                <w:webHidden/>
              </w:rPr>
              <w:fldChar w:fldCharType="begin"/>
            </w:r>
            <w:r>
              <w:rPr>
                <w:webHidden/>
              </w:rPr>
              <w:instrText xml:space="preserve"> PAGEREF _Toc202197615 \h </w:instrText>
            </w:r>
            <w:r>
              <w:rPr>
                <w:webHidden/>
              </w:rPr>
            </w:r>
            <w:r>
              <w:rPr>
                <w:webHidden/>
              </w:rPr>
              <w:fldChar w:fldCharType="separate"/>
            </w:r>
            <w:r w:rsidR="00717E31">
              <w:rPr>
                <w:webHidden/>
              </w:rPr>
              <w:t>64</w:t>
            </w:r>
            <w:r>
              <w:rPr>
                <w:webHidden/>
              </w:rPr>
              <w:fldChar w:fldCharType="end"/>
            </w:r>
          </w:hyperlink>
        </w:p>
        <w:p w14:paraId="33D7B084" w14:textId="0653FC59" w:rsidR="00FC34E5" w:rsidRDefault="00FC34E5" w:rsidP="00FC34E5">
          <w:pPr>
            <w:pStyle w:val="TOC2"/>
            <w:rPr>
              <w:rFonts w:asciiTheme="minorHAnsi" w:eastAsiaTheme="minorEastAsia" w:hAnsiTheme="minorHAnsi"/>
              <w:kern w:val="2"/>
              <w:szCs w:val="24"/>
              <w:lang w:val="en-US"/>
              <w14:ligatures w14:val="standardContextual"/>
            </w:rPr>
          </w:pPr>
          <w:hyperlink w:anchor="_Toc202197616" w:history="1">
            <w:r w:rsidRPr="0082490E">
              <w:rPr>
                <w:rStyle w:val="Hyperlink"/>
              </w:rPr>
              <w:t>Key actors of forest co-management</w:t>
            </w:r>
            <w:r>
              <w:rPr>
                <w:webHidden/>
              </w:rPr>
              <w:tab/>
            </w:r>
            <w:r>
              <w:rPr>
                <w:webHidden/>
              </w:rPr>
              <w:fldChar w:fldCharType="begin"/>
            </w:r>
            <w:r>
              <w:rPr>
                <w:webHidden/>
              </w:rPr>
              <w:instrText xml:space="preserve"> PAGEREF _Toc202197616 \h </w:instrText>
            </w:r>
            <w:r>
              <w:rPr>
                <w:webHidden/>
              </w:rPr>
            </w:r>
            <w:r>
              <w:rPr>
                <w:webHidden/>
              </w:rPr>
              <w:fldChar w:fldCharType="separate"/>
            </w:r>
            <w:r w:rsidR="00717E31">
              <w:rPr>
                <w:webHidden/>
              </w:rPr>
              <w:t>66</w:t>
            </w:r>
            <w:r>
              <w:rPr>
                <w:webHidden/>
              </w:rPr>
              <w:fldChar w:fldCharType="end"/>
            </w:r>
          </w:hyperlink>
        </w:p>
        <w:p w14:paraId="749B8F18" w14:textId="4F022BB7" w:rsidR="00FC34E5" w:rsidRDefault="00FC34E5" w:rsidP="00FC34E5">
          <w:pPr>
            <w:pStyle w:val="TOC2"/>
            <w:rPr>
              <w:rFonts w:asciiTheme="minorHAnsi" w:eastAsiaTheme="minorEastAsia" w:hAnsiTheme="minorHAnsi"/>
              <w:kern w:val="2"/>
              <w:szCs w:val="24"/>
              <w:lang w:val="en-US"/>
              <w14:ligatures w14:val="standardContextual"/>
            </w:rPr>
          </w:pPr>
          <w:hyperlink w:anchor="_Toc202197617" w:history="1">
            <w:r w:rsidRPr="0082490E">
              <w:rPr>
                <w:rStyle w:val="Hyperlink"/>
              </w:rPr>
              <w:t>Roles/responsibilities of the key actors of forest co-management in Ghana</w:t>
            </w:r>
            <w:r>
              <w:rPr>
                <w:webHidden/>
              </w:rPr>
              <w:tab/>
            </w:r>
            <w:r>
              <w:rPr>
                <w:webHidden/>
              </w:rPr>
              <w:fldChar w:fldCharType="begin"/>
            </w:r>
            <w:r>
              <w:rPr>
                <w:webHidden/>
              </w:rPr>
              <w:instrText xml:space="preserve"> PAGEREF _Toc202197617 \h </w:instrText>
            </w:r>
            <w:r>
              <w:rPr>
                <w:webHidden/>
              </w:rPr>
            </w:r>
            <w:r>
              <w:rPr>
                <w:webHidden/>
              </w:rPr>
              <w:fldChar w:fldCharType="separate"/>
            </w:r>
            <w:r w:rsidR="00717E31">
              <w:rPr>
                <w:webHidden/>
              </w:rPr>
              <w:t>67</w:t>
            </w:r>
            <w:r>
              <w:rPr>
                <w:webHidden/>
              </w:rPr>
              <w:fldChar w:fldCharType="end"/>
            </w:r>
          </w:hyperlink>
        </w:p>
        <w:p w14:paraId="0ECD6F14" w14:textId="29F053B4" w:rsidR="00FC34E5" w:rsidRDefault="00FC34E5" w:rsidP="00FC34E5">
          <w:pPr>
            <w:pStyle w:val="TOC2"/>
            <w:rPr>
              <w:rFonts w:asciiTheme="minorHAnsi" w:eastAsiaTheme="minorEastAsia" w:hAnsiTheme="minorHAnsi"/>
              <w:kern w:val="2"/>
              <w:szCs w:val="24"/>
              <w:lang w:val="en-US"/>
              <w14:ligatures w14:val="standardContextual"/>
            </w:rPr>
          </w:pPr>
          <w:hyperlink w:anchor="_Toc202197618" w:history="1">
            <w:r w:rsidRPr="0082490E">
              <w:rPr>
                <w:rStyle w:val="Hyperlink"/>
              </w:rPr>
              <w:t>Central Government</w:t>
            </w:r>
            <w:r>
              <w:rPr>
                <w:webHidden/>
              </w:rPr>
              <w:tab/>
            </w:r>
            <w:r>
              <w:rPr>
                <w:webHidden/>
              </w:rPr>
              <w:fldChar w:fldCharType="begin"/>
            </w:r>
            <w:r>
              <w:rPr>
                <w:webHidden/>
              </w:rPr>
              <w:instrText xml:space="preserve"> PAGEREF _Toc202197618 \h </w:instrText>
            </w:r>
            <w:r>
              <w:rPr>
                <w:webHidden/>
              </w:rPr>
            </w:r>
            <w:r>
              <w:rPr>
                <w:webHidden/>
              </w:rPr>
              <w:fldChar w:fldCharType="separate"/>
            </w:r>
            <w:r w:rsidR="00717E31">
              <w:rPr>
                <w:webHidden/>
              </w:rPr>
              <w:t>67</w:t>
            </w:r>
            <w:r>
              <w:rPr>
                <w:webHidden/>
              </w:rPr>
              <w:fldChar w:fldCharType="end"/>
            </w:r>
          </w:hyperlink>
        </w:p>
        <w:p w14:paraId="7A2B0058" w14:textId="29DD3AD9" w:rsidR="00FC34E5" w:rsidRDefault="00FC34E5" w:rsidP="00FC34E5">
          <w:pPr>
            <w:pStyle w:val="TOC2"/>
            <w:rPr>
              <w:rFonts w:asciiTheme="minorHAnsi" w:eastAsiaTheme="minorEastAsia" w:hAnsiTheme="minorHAnsi"/>
              <w:kern w:val="2"/>
              <w:szCs w:val="24"/>
              <w:lang w:val="en-US"/>
              <w14:ligatures w14:val="standardContextual"/>
            </w:rPr>
          </w:pPr>
          <w:hyperlink w:anchor="_Toc202197619" w:history="1">
            <w:r w:rsidRPr="0082490E">
              <w:rPr>
                <w:rStyle w:val="Hyperlink"/>
                <w:bCs/>
              </w:rPr>
              <w:t>Local Government</w:t>
            </w:r>
            <w:r>
              <w:rPr>
                <w:webHidden/>
              </w:rPr>
              <w:tab/>
            </w:r>
            <w:r>
              <w:rPr>
                <w:webHidden/>
              </w:rPr>
              <w:fldChar w:fldCharType="begin"/>
            </w:r>
            <w:r>
              <w:rPr>
                <w:webHidden/>
              </w:rPr>
              <w:instrText xml:space="preserve"> PAGEREF _Toc202197619 \h </w:instrText>
            </w:r>
            <w:r>
              <w:rPr>
                <w:webHidden/>
              </w:rPr>
            </w:r>
            <w:r>
              <w:rPr>
                <w:webHidden/>
              </w:rPr>
              <w:fldChar w:fldCharType="separate"/>
            </w:r>
            <w:r w:rsidR="00717E31">
              <w:rPr>
                <w:webHidden/>
              </w:rPr>
              <w:t>68</w:t>
            </w:r>
            <w:r>
              <w:rPr>
                <w:webHidden/>
              </w:rPr>
              <w:fldChar w:fldCharType="end"/>
            </w:r>
          </w:hyperlink>
        </w:p>
        <w:p w14:paraId="5EB92501" w14:textId="2DCCD729" w:rsidR="00FC34E5" w:rsidRDefault="00FC34E5" w:rsidP="00FC34E5">
          <w:pPr>
            <w:pStyle w:val="TOC2"/>
            <w:rPr>
              <w:rFonts w:asciiTheme="minorHAnsi" w:eastAsiaTheme="minorEastAsia" w:hAnsiTheme="minorHAnsi"/>
              <w:kern w:val="2"/>
              <w:szCs w:val="24"/>
              <w:lang w:val="en-US"/>
              <w14:ligatures w14:val="standardContextual"/>
            </w:rPr>
          </w:pPr>
          <w:hyperlink w:anchor="_Toc202197620" w:history="1">
            <w:r w:rsidRPr="0082490E">
              <w:rPr>
                <w:rStyle w:val="Hyperlink"/>
                <w:bCs/>
              </w:rPr>
              <w:t>Civil Society/NGO</w:t>
            </w:r>
            <w:r>
              <w:rPr>
                <w:webHidden/>
              </w:rPr>
              <w:tab/>
            </w:r>
            <w:r>
              <w:rPr>
                <w:webHidden/>
              </w:rPr>
              <w:fldChar w:fldCharType="begin"/>
            </w:r>
            <w:r>
              <w:rPr>
                <w:webHidden/>
              </w:rPr>
              <w:instrText xml:space="preserve"> PAGEREF _Toc202197620 \h </w:instrText>
            </w:r>
            <w:r>
              <w:rPr>
                <w:webHidden/>
              </w:rPr>
            </w:r>
            <w:r>
              <w:rPr>
                <w:webHidden/>
              </w:rPr>
              <w:fldChar w:fldCharType="separate"/>
            </w:r>
            <w:r w:rsidR="00717E31">
              <w:rPr>
                <w:webHidden/>
              </w:rPr>
              <w:t>69</w:t>
            </w:r>
            <w:r>
              <w:rPr>
                <w:webHidden/>
              </w:rPr>
              <w:fldChar w:fldCharType="end"/>
            </w:r>
          </w:hyperlink>
        </w:p>
        <w:p w14:paraId="7FCD8D12" w14:textId="59287770" w:rsidR="00FC34E5" w:rsidRDefault="00FC34E5" w:rsidP="00FC34E5">
          <w:pPr>
            <w:pStyle w:val="TOC2"/>
            <w:rPr>
              <w:rFonts w:asciiTheme="minorHAnsi" w:eastAsiaTheme="minorEastAsia" w:hAnsiTheme="minorHAnsi"/>
              <w:kern w:val="2"/>
              <w:szCs w:val="24"/>
              <w:lang w:val="en-US"/>
              <w14:ligatures w14:val="standardContextual"/>
            </w:rPr>
          </w:pPr>
          <w:hyperlink w:anchor="_Toc202197621" w:history="1">
            <w:r w:rsidRPr="0082490E">
              <w:rPr>
                <w:rStyle w:val="Hyperlink"/>
                <w:bCs/>
              </w:rPr>
              <w:t>Local Communities</w:t>
            </w:r>
            <w:r>
              <w:rPr>
                <w:webHidden/>
              </w:rPr>
              <w:tab/>
            </w:r>
            <w:r>
              <w:rPr>
                <w:webHidden/>
              </w:rPr>
              <w:fldChar w:fldCharType="begin"/>
            </w:r>
            <w:r>
              <w:rPr>
                <w:webHidden/>
              </w:rPr>
              <w:instrText xml:space="preserve"> PAGEREF _Toc202197621 \h </w:instrText>
            </w:r>
            <w:r>
              <w:rPr>
                <w:webHidden/>
              </w:rPr>
            </w:r>
            <w:r>
              <w:rPr>
                <w:webHidden/>
              </w:rPr>
              <w:fldChar w:fldCharType="separate"/>
            </w:r>
            <w:r w:rsidR="00717E31">
              <w:rPr>
                <w:webHidden/>
              </w:rPr>
              <w:t>69</w:t>
            </w:r>
            <w:r>
              <w:rPr>
                <w:webHidden/>
              </w:rPr>
              <w:fldChar w:fldCharType="end"/>
            </w:r>
          </w:hyperlink>
        </w:p>
        <w:p w14:paraId="0BA9F975" w14:textId="062F4319" w:rsidR="00FC34E5" w:rsidRDefault="00FC34E5" w:rsidP="00FC34E5">
          <w:pPr>
            <w:pStyle w:val="TOC2"/>
            <w:rPr>
              <w:rFonts w:asciiTheme="minorHAnsi" w:eastAsiaTheme="minorEastAsia" w:hAnsiTheme="minorHAnsi"/>
              <w:kern w:val="2"/>
              <w:szCs w:val="24"/>
              <w:lang w:val="en-US"/>
              <w14:ligatures w14:val="standardContextual"/>
            </w:rPr>
          </w:pPr>
          <w:hyperlink w:anchor="_Toc202197622" w:history="1">
            <w:r w:rsidRPr="0082490E">
              <w:rPr>
                <w:rStyle w:val="Hyperlink"/>
                <w:bCs/>
              </w:rPr>
              <w:t>Commercial/Private Sector</w:t>
            </w:r>
            <w:r>
              <w:rPr>
                <w:webHidden/>
              </w:rPr>
              <w:tab/>
            </w:r>
            <w:r>
              <w:rPr>
                <w:webHidden/>
              </w:rPr>
              <w:fldChar w:fldCharType="begin"/>
            </w:r>
            <w:r>
              <w:rPr>
                <w:webHidden/>
              </w:rPr>
              <w:instrText xml:space="preserve"> PAGEREF _Toc202197622 \h </w:instrText>
            </w:r>
            <w:r>
              <w:rPr>
                <w:webHidden/>
              </w:rPr>
            </w:r>
            <w:r>
              <w:rPr>
                <w:webHidden/>
              </w:rPr>
              <w:fldChar w:fldCharType="separate"/>
            </w:r>
            <w:r w:rsidR="00717E31">
              <w:rPr>
                <w:webHidden/>
              </w:rPr>
              <w:t>71</w:t>
            </w:r>
            <w:r>
              <w:rPr>
                <w:webHidden/>
              </w:rPr>
              <w:fldChar w:fldCharType="end"/>
            </w:r>
          </w:hyperlink>
        </w:p>
        <w:p w14:paraId="5E675CC9" w14:textId="1AD72FEF" w:rsidR="00FC34E5" w:rsidRDefault="00FC34E5" w:rsidP="00FC34E5">
          <w:pPr>
            <w:pStyle w:val="TOC2"/>
            <w:rPr>
              <w:rFonts w:asciiTheme="minorHAnsi" w:eastAsiaTheme="minorEastAsia" w:hAnsiTheme="minorHAnsi"/>
              <w:kern w:val="2"/>
              <w:szCs w:val="24"/>
              <w:lang w:val="en-US"/>
              <w14:ligatures w14:val="standardContextual"/>
            </w:rPr>
          </w:pPr>
          <w:hyperlink w:anchor="_Toc202197624" w:history="1">
            <w:r w:rsidRPr="0082490E">
              <w:rPr>
                <w:rStyle w:val="Hyperlink"/>
              </w:rPr>
              <w:t>Overview of Forest Policies in Ghana</w:t>
            </w:r>
            <w:r>
              <w:rPr>
                <w:webHidden/>
              </w:rPr>
              <w:tab/>
            </w:r>
            <w:r>
              <w:rPr>
                <w:webHidden/>
              </w:rPr>
              <w:fldChar w:fldCharType="begin"/>
            </w:r>
            <w:r>
              <w:rPr>
                <w:webHidden/>
              </w:rPr>
              <w:instrText xml:space="preserve"> PAGEREF _Toc202197624 \h </w:instrText>
            </w:r>
            <w:r>
              <w:rPr>
                <w:webHidden/>
              </w:rPr>
            </w:r>
            <w:r>
              <w:rPr>
                <w:webHidden/>
              </w:rPr>
              <w:fldChar w:fldCharType="separate"/>
            </w:r>
            <w:r w:rsidR="00717E31">
              <w:rPr>
                <w:webHidden/>
              </w:rPr>
              <w:t>74</w:t>
            </w:r>
            <w:r>
              <w:rPr>
                <w:webHidden/>
              </w:rPr>
              <w:fldChar w:fldCharType="end"/>
            </w:r>
          </w:hyperlink>
        </w:p>
        <w:p w14:paraId="3E5F6F33" w14:textId="3466CF12" w:rsidR="00FC34E5" w:rsidRDefault="00FC34E5" w:rsidP="00FC34E5">
          <w:pPr>
            <w:pStyle w:val="TOC2"/>
            <w:rPr>
              <w:rFonts w:asciiTheme="minorHAnsi" w:eastAsiaTheme="minorEastAsia" w:hAnsiTheme="minorHAnsi"/>
              <w:kern w:val="2"/>
              <w:szCs w:val="24"/>
              <w:lang w:val="en-US"/>
              <w14:ligatures w14:val="standardContextual"/>
            </w:rPr>
          </w:pPr>
          <w:hyperlink w:anchor="_Toc202197625" w:history="1">
            <w:r w:rsidRPr="0082490E">
              <w:rPr>
                <w:rStyle w:val="Hyperlink"/>
              </w:rPr>
              <w:t>Challenges of forest co-management</w:t>
            </w:r>
            <w:r>
              <w:rPr>
                <w:webHidden/>
              </w:rPr>
              <w:tab/>
            </w:r>
            <w:r>
              <w:rPr>
                <w:webHidden/>
              </w:rPr>
              <w:fldChar w:fldCharType="begin"/>
            </w:r>
            <w:r>
              <w:rPr>
                <w:webHidden/>
              </w:rPr>
              <w:instrText xml:space="preserve"> PAGEREF _Toc202197625 \h </w:instrText>
            </w:r>
            <w:r>
              <w:rPr>
                <w:webHidden/>
              </w:rPr>
            </w:r>
            <w:r>
              <w:rPr>
                <w:webHidden/>
              </w:rPr>
              <w:fldChar w:fldCharType="separate"/>
            </w:r>
            <w:r w:rsidR="00717E31">
              <w:rPr>
                <w:webHidden/>
              </w:rPr>
              <w:t>77</w:t>
            </w:r>
            <w:r>
              <w:rPr>
                <w:webHidden/>
              </w:rPr>
              <w:fldChar w:fldCharType="end"/>
            </w:r>
          </w:hyperlink>
        </w:p>
        <w:p w14:paraId="6E39CBBF" w14:textId="3BC13627" w:rsidR="00FC34E5" w:rsidRDefault="00FC34E5" w:rsidP="00FC34E5">
          <w:pPr>
            <w:pStyle w:val="TOC2"/>
            <w:rPr>
              <w:rFonts w:asciiTheme="minorHAnsi" w:eastAsiaTheme="minorEastAsia" w:hAnsiTheme="minorHAnsi"/>
              <w:kern w:val="2"/>
              <w:szCs w:val="24"/>
              <w:lang w:val="en-US"/>
              <w14:ligatures w14:val="standardContextual"/>
            </w:rPr>
          </w:pPr>
          <w:hyperlink w:anchor="_Toc202197626" w:history="1">
            <w:r w:rsidRPr="0082490E">
              <w:rPr>
                <w:rStyle w:val="Hyperlink"/>
              </w:rPr>
              <w:t>Chapter Summary</w:t>
            </w:r>
            <w:r>
              <w:rPr>
                <w:webHidden/>
              </w:rPr>
              <w:tab/>
            </w:r>
            <w:r>
              <w:rPr>
                <w:webHidden/>
              </w:rPr>
              <w:fldChar w:fldCharType="begin"/>
            </w:r>
            <w:r>
              <w:rPr>
                <w:webHidden/>
              </w:rPr>
              <w:instrText xml:space="preserve"> PAGEREF _Toc202197626 \h </w:instrText>
            </w:r>
            <w:r>
              <w:rPr>
                <w:webHidden/>
              </w:rPr>
            </w:r>
            <w:r>
              <w:rPr>
                <w:webHidden/>
              </w:rPr>
              <w:fldChar w:fldCharType="separate"/>
            </w:r>
            <w:r w:rsidR="00717E31">
              <w:rPr>
                <w:webHidden/>
              </w:rPr>
              <w:t>80</w:t>
            </w:r>
            <w:r>
              <w:rPr>
                <w:webHidden/>
              </w:rPr>
              <w:fldChar w:fldCharType="end"/>
            </w:r>
          </w:hyperlink>
        </w:p>
        <w:p w14:paraId="4D4D4FF4" w14:textId="6CEC8BB3" w:rsidR="00FC34E5" w:rsidRDefault="00FC34E5">
          <w:pPr>
            <w:pStyle w:val="TOC1"/>
            <w:rPr>
              <w:rFonts w:asciiTheme="minorHAnsi" w:eastAsiaTheme="minorEastAsia" w:hAnsiTheme="minorHAnsi"/>
              <w:noProof/>
              <w:kern w:val="2"/>
              <w:szCs w:val="24"/>
              <w:lang w:val="en-US"/>
              <w14:ligatures w14:val="standardContextual"/>
            </w:rPr>
          </w:pPr>
          <w:hyperlink w:anchor="_Toc202197627" w:history="1">
            <w:r w:rsidRPr="0082490E">
              <w:rPr>
                <w:rStyle w:val="Hyperlink"/>
                <w:noProof/>
              </w:rPr>
              <w:t>CHAPTER THREE</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28" w:history="1">
            <w:r w:rsidRPr="0082490E">
              <w:rPr>
                <w:rStyle w:val="Hyperlink"/>
                <w:noProof/>
              </w:rPr>
              <w:t>EMPIRICAL REVIEW AND CONCEPTUAL FRAMEWORK</w:t>
            </w:r>
          </w:hyperlink>
        </w:p>
        <w:p w14:paraId="2A01231A" w14:textId="0E348CAA" w:rsidR="00FC34E5" w:rsidRDefault="00FC34E5" w:rsidP="00FC34E5">
          <w:pPr>
            <w:pStyle w:val="TOC2"/>
            <w:rPr>
              <w:rFonts w:asciiTheme="minorHAnsi" w:eastAsiaTheme="minorEastAsia" w:hAnsiTheme="minorHAnsi"/>
              <w:kern w:val="2"/>
              <w:szCs w:val="24"/>
              <w:lang w:val="en-US"/>
              <w14:ligatures w14:val="standardContextual"/>
            </w:rPr>
          </w:pPr>
          <w:hyperlink w:anchor="_Toc202197629" w:history="1">
            <w:r w:rsidRPr="0082490E">
              <w:rPr>
                <w:rStyle w:val="Hyperlink"/>
              </w:rPr>
              <w:t>Introduction</w:t>
            </w:r>
            <w:r>
              <w:rPr>
                <w:webHidden/>
              </w:rPr>
              <w:tab/>
            </w:r>
            <w:r>
              <w:rPr>
                <w:webHidden/>
              </w:rPr>
              <w:fldChar w:fldCharType="begin"/>
            </w:r>
            <w:r>
              <w:rPr>
                <w:webHidden/>
              </w:rPr>
              <w:instrText xml:space="preserve"> PAGEREF _Toc202197629 \h </w:instrText>
            </w:r>
            <w:r>
              <w:rPr>
                <w:webHidden/>
              </w:rPr>
            </w:r>
            <w:r>
              <w:rPr>
                <w:webHidden/>
              </w:rPr>
              <w:fldChar w:fldCharType="separate"/>
            </w:r>
            <w:r w:rsidR="00717E31">
              <w:rPr>
                <w:webHidden/>
              </w:rPr>
              <w:t>83</w:t>
            </w:r>
            <w:r>
              <w:rPr>
                <w:webHidden/>
              </w:rPr>
              <w:fldChar w:fldCharType="end"/>
            </w:r>
          </w:hyperlink>
        </w:p>
        <w:p w14:paraId="08AC5FA9" w14:textId="09F80C32" w:rsidR="00FC34E5" w:rsidRDefault="00FC34E5" w:rsidP="00FC34E5">
          <w:pPr>
            <w:pStyle w:val="TOC2"/>
            <w:rPr>
              <w:rFonts w:asciiTheme="minorHAnsi" w:eastAsiaTheme="minorEastAsia" w:hAnsiTheme="minorHAnsi"/>
              <w:kern w:val="2"/>
              <w:szCs w:val="24"/>
              <w:lang w:val="en-US"/>
              <w14:ligatures w14:val="standardContextual"/>
            </w:rPr>
          </w:pPr>
          <w:hyperlink w:anchor="_Toc202197630" w:history="1">
            <w:r w:rsidRPr="0082490E">
              <w:rPr>
                <w:rStyle w:val="Hyperlink"/>
              </w:rPr>
              <w:t>Empirical Review</w:t>
            </w:r>
            <w:r>
              <w:rPr>
                <w:webHidden/>
              </w:rPr>
              <w:tab/>
            </w:r>
            <w:r>
              <w:rPr>
                <w:webHidden/>
              </w:rPr>
              <w:fldChar w:fldCharType="begin"/>
            </w:r>
            <w:r>
              <w:rPr>
                <w:webHidden/>
              </w:rPr>
              <w:instrText xml:space="preserve"> PAGEREF _Toc202197630 \h </w:instrText>
            </w:r>
            <w:r>
              <w:rPr>
                <w:webHidden/>
              </w:rPr>
            </w:r>
            <w:r>
              <w:rPr>
                <w:webHidden/>
              </w:rPr>
              <w:fldChar w:fldCharType="separate"/>
            </w:r>
            <w:r w:rsidR="00717E31">
              <w:rPr>
                <w:webHidden/>
              </w:rPr>
              <w:t>83</w:t>
            </w:r>
            <w:r>
              <w:rPr>
                <w:webHidden/>
              </w:rPr>
              <w:fldChar w:fldCharType="end"/>
            </w:r>
          </w:hyperlink>
        </w:p>
        <w:p w14:paraId="57DE873F" w14:textId="5A0556BF" w:rsidR="00FC34E5" w:rsidRDefault="00FC34E5" w:rsidP="00FC34E5">
          <w:pPr>
            <w:pStyle w:val="TOC2"/>
            <w:rPr>
              <w:rFonts w:asciiTheme="minorHAnsi" w:eastAsiaTheme="minorEastAsia" w:hAnsiTheme="minorHAnsi"/>
              <w:kern w:val="2"/>
              <w:szCs w:val="24"/>
              <w:lang w:val="en-US"/>
              <w14:ligatures w14:val="standardContextual"/>
            </w:rPr>
          </w:pPr>
          <w:hyperlink w:anchor="_Toc202197631" w:history="1">
            <w:r w:rsidRPr="0082490E">
              <w:rPr>
                <w:rStyle w:val="Hyperlink"/>
              </w:rPr>
              <w:t>Lessons learnt</w:t>
            </w:r>
            <w:r>
              <w:rPr>
                <w:webHidden/>
              </w:rPr>
              <w:tab/>
            </w:r>
            <w:r>
              <w:rPr>
                <w:webHidden/>
              </w:rPr>
              <w:fldChar w:fldCharType="begin"/>
            </w:r>
            <w:r>
              <w:rPr>
                <w:webHidden/>
              </w:rPr>
              <w:instrText xml:space="preserve"> PAGEREF _Toc202197631 \h </w:instrText>
            </w:r>
            <w:r>
              <w:rPr>
                <w:webHidden/>
              </w:rPr>
            </w:r>
            <w:r>
              <w:rPr>
                <w:webHidden/>
              </w:rPr>
              <w:fldChar w:fldCharType="separate"/>
            </w:r>
            <w:r w:rsidR="00717E31">
              <w:rPr>
                <w:webHidden/>
              </w:rPr>
              <w:t>95</w:t>
            </w:r>
            <w:r>
              <w:rPr>
                <w:webHidden/>
              </w:rPr>
              <w:fldChar w:fldCharType="end"/>
            </w:r>
          </w:hyperlink>
        </w:p>
        <w:p w14:paraId="0EF76637" w14:textId="6E264B90" w:rsidR="00FC34E5" w:rsidRDefault="00FC34E5" w:rsidP="00FC34E5">
          <w:pPr>
            <w:pStyle w:val="TOC2"/>
            <w:rPr>
              <w:rFonts w:asciiTheme="minorHAnsi" w:eastAsiaTheme="minorEastAsia" w:hAnsiTheme="minorHAnsi"/>
              <w:kern w:val="2"/>
              <w:szCs w:val="24"/>
              <w:lang w:val="en-US"/>
              <w14:ligatures w14:val="standardContextual"/>
            </w:rPr>
          </w:pPr>
          <w:hyperlink w:anchor="_Toc202197632" w:history="1">
            <w:r w:rsidRPr="0082490E">
              <w:rPr>
                <w:rStyle w:val="Hyperlink"/>
              </w:rPr>
              <w:t>Conceptual Framework</w:t>
            </w:r>
            <w:r>
              <w:rPr>
                <w:webHidden/>
              </w:rPr>
              <w:tab/>
            </w:r>
            <w:r>
              <w:rPr>
                <w:webHidden/>
              </w:rPr>
              <w:fldChar w:fldCharType="begin"/>
            </w:r>
            <w:r>
              <w:rPr>
                <w:webHidden/>
              </w:rPr>
              <w:instrText xml:space="preserve"> PAGEREF _Toc202197632 \h </w:instrText>
            </w:r>
            <w:r>
              <w:rPr>
                <w:webHidden/>
              </w:rPr>
            </w:r>
            <w:r>
              <w:rPr>
                <w:webHidden/>
              </w:rPr>
              <w:fldChar w:fldCharType="separate"/>
            </w:r>
            <w:r w:rsidR="00717E31">
              <w:rPr>
                <w:webHidden/>
              </w:rPr>
              <w:t>96</w:t>
            </w:r>
            <w:r>
              <w:rPr>
                <w:webHidden/>
              </w:rPr>
              <w:fldChar w:fldCharType="end"/>
            </w:r>
          </w:hyperlink>
        </w:p>
        <w:p w14:paraId="4418F5CA" w14:textId="4B1EAE7B" w:rsidR="00FC34E5" w:rsidRDefault="00FC34E5" w:rsidP="00FC34E5">
          <w:pPr>
            <w:pStyle w:val="TOC2"/>
            <w:rPr>
              <w:rFonts w:asciiTheme="minorHAnsi" w:eastAsiaTheme="minorEastAsia" w:hAnsiTheme="minorHAnsi"/>
              <w:kern w:val="2"/>
              <w:szCs w:val="24"/>
              <w:lang w:val="en-US"/>
              <w14:ligatures w14:val="standardContextual"/>
            </w:rPr>
          </w:pPr>
          <w:hyperlink w:anchor="_Toc202197633" w:history="1">
            <w:r w:rsidRPr="0082490E">
              <w:rPr>
                <w:rStyle w:val="Hyperlink"/>
              </w:rPr>
              <w:t>Institutional Analysis Development Framework (IAD)</w:t>
            </w:r>
            <w:r>
              <w:rPr>
                <w:webHidden/>
              </w:rPr>
              <w:tab/>
            </w:r>
            <w:r>
              <w:rPr>
                <w:webHidden/>
              </w:rPr>
              <w:fldChar w:fldCharType="begin"/>
            </w:r>
            <w:r>
              <w:rPr>
                <w:webHidden/>
              </w:rPr>
              <w:instrText xml:space="preserve"> PAGEREF _Toc202197633 \h </w:instrText>
            </w:r>
            <w:r>
              <w:rPr>
                <w:webHidden/>
              </w:rPr>
            </w:r>
            <w:r>
              <w:rPr>
                <w:webHidden/>
              </w:rPr>
              <w:fldChar w:fldCharType="separate"/>
            </w:r>
            <w:r w:rsidR="00717E31">
              <w:rPr>
                <w:webHidden/>
              </w:rPr>
              <w:t>97</w:t>
            </w:r>
            <w:r>
              <w:rPr>
                <w:webHidden/>
              </w:rPr>
              <w:fldChar w:fldCharType="end"/>
            </w:r>
          </w:hyperlink>
        </w:p>
        <w:p w14:paraId="1F18A964" w14:textId="3F330FA5" w:rsidR="00FC34E5" w:rsidRDefault="00FC34E5">
          <w:pPr>
            <w:pStyle w:val="TOC1"/>
            <w:rPr>
              <w:rFonts w:asciiTheme="minorHAnsi" w:eastAsiaTheme="minorEastAsia" w:hAnsiTheme="minorHAnsi"/>
              <w:noProof/>
              <w:kern w:val="2"/>
              <w:szCs w:val="24"/>
              <w:lang w:val="en-US"/>
              <w14:ligatures w14:val="standardContextual"/>
            </w:rPr>
          </w:pPr>
          <w:hyperlink w:anchor="_Toc202197637" w:history="1">
            <w:r w:rsidRPr="0082490E">
              <w:rPr>
                <w:rStyle w:val="Hyperlink"/>
                <w:noProof/>
              </w:rPr>
              <w:t>CHAPTER FOUR</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38" w:history="1">
            <w:r w:rsidRPr="0082490E">
              <w:rPr>
                <w:rStyle w:val="Hyperlink"/>
                <w:noProof/>
              </w:rPr>
              <w:t>METHODOLOGY</w:t>
            </w:r>
          </w:hyperlink>
        </w:p>
        <w:p w14:paraId="102736C0" w14:textId="0EDCFF4B" w:rsidR="00FC34E5" w:rsidRDefault="00FC34E5" w:rsidP="00FC34E5">
          <w:pPr>
            <w:pStyle w:val="TOC2"/>
            <w:rPr>
              <w:rFonts w:asciiTheme="minorHAnsi" w:eastAsiaTheme="minorEastAsia" w:hAnsiTheme="minorHAnsi"/>
              <w:kern w:val="2"/>
              <w:szCs w:val="24"/>
              <w:lang w:val="en-US"/>
              <w14:ligatures w14:val="standardContextual"/>
            </w:rPr>
          </w:pPr>
          <w:hyperlink w:anchor="_Toc202197639" w:history="1">
            <w:r w:rsidRPr="0082490E">
              <w:rPr>
                <w:rStyle w:val="Hyperlink"/>
              </w:rPr>
              <w:t>Introduction</w:t>
            </w:r>
            <w:r>
              <w:rPr>
                <w:webHidden/>
              </w:rPr>
              <w:tab/>
            </w:r>
            <w:r>
              <w:rPr>
                <w:webHidden/>
              </w:rPr>
              <w:fldChar w:fldCharType="begin"/>
            </w:r>
            <w:r>
              <w:rPr>
                <w:webHidden/>
              </w:rPr>
              <w:instrText xml:space="preserve"> PAGEREF _Toc202197639 \h </w:instrText>
            </w:r>
            <w:r>
              <w:rPr>
                <w:webHidden/>
              </w:rPr>
            </w:r>
            <w:r>
              <w:rPr>
                <w:webHidden/>
              </w:rPr>
              <w:fldChar w:fldCharType="separate"/>
            </w:r>
            <w:r w:rsidR="00717E31">
              <w:rPr>
                <w:webHidden/>
              </w:rPr>
              <w:t>104</w:t>
            </w:r>
            <w:r>
              <w:rPr>
                <w:webHidden/>
              </w:rPr>
              <w:fldChar w:fldCharType="end"/>
            </w:r>
          </w:hyperlink>
        </w:p>
        <w:p w14:paraId="4B6C19EC" w14:textId="1610E892" w:rsidR="00FC34E5" w:rsidRDefault="00FC34E5" w:rsidP="00FC34E5">
          <w:pPr>
            <w:pStyle w:val="TOC2"/>
            <w:rPr>
              <w:rFonts w:asciiTheme="minorHAnsi" w:eastAsiaTheme="minorEastAsia" w:hAnsiTheme="minorHAnsi"/>
              <w:kern w:val="2"/>
              <w:szCs w:val="24"/>
              <w:lang w:val="en-US"/>
              <w14:ligatures w14:val="standardContextual"/>
            </w:rPr>
          </w:pPr>
          <w:hyperlink w:anchor="_Toc202197640" w:history="1">
            <w:r w:rsidRPr="0082490E">
              <w:rPr>
                <w:rStyle w:val="Hyperlink"/>
              </w:rPr>
              <w:t>Study Area</w:t>
            </w:r>
            <w:r>
              <w:rPr>
                <w:webHidden/>
              </w:rPr>
              <w:tab/>
            </w:r>
            <w:r>
              <w:rPr>
                <w:webHidden/>
              </w:rPr>
              <w:fldChar w:fldCharType="begin"/>
            </w:r>
            <w:r>
              <w:rPr>
                <w:webHidden/>
              </w:rPr>
              <w:instrText xml:space="preserve"> PAGEREF _Toc202197640 \h </w:instrText>
            </w:r>
            <w:r>
              <w:rPr>
                <w:webHidden/>
              </w:rPr>
            </w:r>
            <w:r>
              <w:rPr>
                <w:webHidden/>
              </w:rPr>
              <w:fldChar w:fldCharType="separate"/>
            </w:r>
            <w:r w:rsidR="00717E31">
              <w:rPr>
                <w:webHidden/>
              </w:rPr>
              <w:t>104</w:t>
            </w:r>
            <w:r>
              <w:rPr>
                <w:webHidden/>
              </w:rPr>
              <w:fldChar w:fldCharType="end"/>
            </w:r>
          </w:hyperlink>
        </w:p>
        <w:p w14:paraId="0D2B5917" w14:textId="00AC34D1" w:rsidR="00FC34E5" w:rsidRDefault="00FC34E5" w:rsidP="00FC34E5">
          <w:pPr>
            <w:pStyle w:val="TOC2"/>
            <w:rPr>
              <w:rFonts w:asciiTheme="minorHAnsi" w:eastAsiaTheme="minorEastAsia" w:hAnsiTheme="minorHAnsi"/>
              <w:kern w:val="2"/>
              <w:szCs w:val="24"/>
              <w:lang w:val="en-US"/>
              <w14:ligatures w14:val="standardContextual"/>
            </w:rPr>
          </w:pPr>
          <w:hyperlink w:anchor="_Toc202197641" w:history="1">
            <w:r w:rsidRPr="0082490E">
              <w:rPr>
                <w:rStyle w:val="Hyperlink"/>
              </w:rPr>
              <w:t>Bobiri Forest Reserve</w:t>
            </w:r>
            <w:r>
              <w:rPr>
                <w:webHidden/>
              </w:rPr>
              <w:tab/>
            </w:r>
            <w:r>
              <w:rPr>
                <w:webHidden/>
              </w:rPr>
              <w:fldChar w:fldCharType="begin"/>
            </w:r>
            <w:r>
              <w:rPr>
                <w:webHidden/>
              </w:rPr>
              <w:instrText xml:space="preserve"> PAGEREF _Toc202197641 \h </w:instrText>
            </w:r>
            <w:r>
              <w:rPr>
                <w:webHidden/>
              </w:rPr>
            </w:r>
            <w:r>
              <w:rPr>
                <w:webHidden/>
              </w:rPr>
              <w:fldChar w:fldCharType="separate"/>
            </w:r>
            <w:r w:rsidR="00717E31">
              <w:rPr>
                <w:webHidden/>
              </w:rPr>
              <w:t>104</w:t>
            </w:r>
            <w:r>
              <w:rPr>
                <w:webHidden/>
              </w:rPr>
              <w:fldChar w:fldCharType="end"/>
            </w:r>
          </w:hyperlink>
        </w:p>
        <w:p w14:paraId="14F84709" w14:textId="78936489" w:rsidR="00FC34E5" w:rsidRDefault="00FC34E5" w:rsidP="00FC34E5">
          <w:pPr>
            <w:pStyle w:val="TOC2"/>
            <w:rPr>
              <w:rFonts w:asciiTheme="minorHAnsi" w:eastAsiaTheme="minorEastAsia" w:hAnsiTheme="minorHAnsi"/>
              <w:kern w:val="2"/>
              <w:szCs w:val="24"/>
              <w:lang w:val="en-US"/>
              <w14:ligatures w14:val="standardContextual"/>
            </w:rPr>
          </w:pPr>
          <w:hyperlink w:anchor="_Toc202197643" w:history="1">
            <w:r w:rsidRPr="0082490E">
              <w:rPr>
                <w:rStyle w:val="Hyperlink"/>
              </w:rPr>
              <w:t>Southern Scarp Forest Reserve</w:t>
            </w:r>
            <w:r>
              <w:rPr>
                <w:webHidden/>
              </w:rPr>
              <w:tab/>
            </w:r>
            <w:r>
              <w:rPr>
                <w:webHidden/>
              </w:rPr>
              <w:fldChar w:fldCharType="begin"/>
            </w:r>
            <w:r>
              <w:rPr>
                <w:webHidden/>
              </w:rPr>
              <w:instrText xml:space="preserve"> PAGEREF _Toc202197643 \h </w:instrText>
            </w:r>
            <w:r>
              <w:rPr>
                <w:webHidden/>
              </w:rPr>
            </w:r>
            <w:r>
              <w:rPr>
                <w:webHidden/>
              </w:rPr>
              <w:fldChar w:fldCharType="separate"/>
            </w:r>
            <w:r w:rsidR="00717E31">
              <w:rPr>
                <w:webHidden/>
              </w:rPr>
              <w:t>108</w:t>
            </w:r>
            <w:r>
              <w:rPr>
                <w:webHidden/>
              </w:rPr>
              <w:fldChar w:fldCharType="end"/>
            </w:r>
          </w:hyperlink>
        </w:p>
        <w:p w14:paraId="43497655" w14:textId="08F4D169" w:rsidR="00FC34E5" w:rsidRDefault="00FC34E5" w:rsidP="00FC34E5">
          <w:pPr>
            <w:pStyle w:val="TOC2"/>
            <w:rPr>
              <w:rFonts w:asciiTheme="minorHAnsi" w:eastAsiaTheme="minorEastAsia" w:hAnsiTheme="minorHAnsi"/>
              <w:kern w:val="2"/>
              <w:szCs w:val="24"/>
              <w:lang w:val="en-US"/>
              <w14:ligatures w14:val="standardContextual"/>
            </w:rPr>
          </w:pPr>
          <w:hyperlink w:anchor="_Toc202197645" w:history="1">
            <w:r w:rsidRPr="0082490E">
              <w:rPr>
                <w:rStyle w:val="Hyperlink"/>
              </w:rPr>
              <w:t>Household Characteristics</w:t>
            </w:r>
            <w:r>
              <w:rPr>
                <w:webHidden/>
              </w:rPr>
              <w:tab/>
            </w:r>
            <w:r>
              <w:rPr>
                <w:webHidden/>
              </w:rPr>
              <w:fldChar w:fldCharType="begin"/>
            </w:r>
            <w:r>
              <w:rPr>
                <w:webHidden/>
              </w:rPr>
              <w:instrText xml:space="preserve"> PAGEREF _Toc202197645 \h </w:instrText>
            </w:r>
            <w:r>
              <w:rPr>
                <w:webHidden/>
              </w:rPr>
            </w:r>
            <w:r>
              <w:rPr>
                <w:webHidden/>
              </w:rPr>
              <w:fldChar w:fldCharType="separate"/>
            </w:r>
            <w:r w:rsidR="00717E31">
              <w:rPr>
                <w:webHidden/>
              </w:rPr>
              <w:t>111</w:t>
            </w:r>
            <w:r>
              <w:rPr>
                <w:webHidden/>
              </w:rPr>
              <w:fldChar w:fldCharType="end"/>
            </w:r>
          </w:hyperlink>
        </w:p>
        <w:p w14:paraId="744D7278" w14:textId="651B930A" w:rsidR="00FC34E5" w:rsidRDefault="00FC34E5" w:rsidP="00FC34E5">
          <w:pPr>
            <w:pStyle w:val="TOC2"/>
            <w:rPr>
              <w:rFonts w:asciiTheme="minorHAnsi" w:eastAsiaTheme="minorEastAsia" w:hAnsiTheme="minorHAnsi"/>
              <w:kern w:val="2"/>
              <w:szCs w:val="24"/>
              <w:lang w:val="en-US"/>
              <w14:ligatures w14:val="standardContextual"/>
            </w:rPr>
          </w:pPr>
          <w:hyperlink w:anchor="_Toc202197646" w:history="1">
            <w:r w:rsidRPr="0082490E">
              <w:rPr>
                <w:rStyle w:val="Hyperlink"/>
              </w:rPr>
              <w:t>Economic Activity Status</w:t>
            </w:r>
            <w:r>
              <w:rPr>
                <w:webHidden/>
              </w:rPr>
              <w:tab/>
            </w:r>
            <w:r>
              <w:rPr>
                <w:webHidden/>
              </w:rPr>
              <w:fldChar w:fldCharType="begin"/>
            </w:r>
            <w:r>
              <w:rPr>
                <w:webHidden/>
              </w:rPr>
              <w:instrText xml:space="preserve"> PAGEREF _Toc202197646 \h </w:instrText>
            </w:r>
            <w:r>
              <w:rPr>
                <w:webHidden/>
              </w:rPr>
            </w:r>
            <w:r>
              <w:rPr>
                <w:webHidden/>
              </w:rPr>
              <w:fldChar w:fldCharType="separate"/>
            </w:r>
            <w:r w:rsidR="00717E31">
              <w:rPr>
                <w:webHidden/>
              </w:rPr>
              <w:t>111</w:t>
            </w:r>
            <w:r>
              <w:rPr>
                <w:webHidden/>
              </w:rPr>
              <w:fldChar w:fldCharType="end"/>
            </w:r>
          </w:hyperlink>
        </w:p>
        <w:p w14:paraId="5A2D4C65" w14:textId="7FFFE25A" w:rsidR="00FC34E5" w:rsidRDefault="00FC34E5" w:rsidP="00FC34E5">
          <w:pPr>
            <w:pStyle w:val="TOC2"/>
            <w:rPr>
              <w:rFonts w:asciiTheme="minorHAnsi" w:eastAsiaTheme="minorEastAsia" w:hAnsiTheme="minorHAnsi"/>
              <w:kern w:val="2"/>
              <w:szCs w:val="24"/>
              <w:lang w:val="en-US"/>
              <w14:ligatures w14:val="standardContextual"/>
            </w:rPr>
          </w:pPr>
          <w:hyperlink w:anchor="_Toc202197647" w:history="1">
            <w:r w:rsidRPr="0082490E">
              <w:rPr>
                <w:rStyle w:val="Hyperlink"/>
              </w:rPr>
              <w:t>Pragmatism</w:t>
            </w:r>
            <w:r>
              <w:rPr>
                <w:webHidden/>
              </w:rPr>
              <w:tab/>
            </w:r>
            <w:r>
              <w:rPr>
                <w:webHidden/>
              </w:rPr>
              <w:fldChar w:fldCharType="begin"/>
            </w:r>
            <w:r>
              <w:rPr>
                <w:webHidden/>
              </w:rPr>
              <w:instrText xml:space="preserve"> PAGEREF _Toc202197647 \h </w:instrText>
            </w:r>
            <w:r>
              <w:rPr>
                <w:webHidden/>
              </w:rPr>
            </w:r>
            <w:r>
              <w:rPr>
                <w:webHidden/>
              </w:rPr>
              <w:fldChar w:fldCharType="separate"/>
            </w:r>
            <w:r w:rsidR="00717E31">
              <w:rPr>
                <w:webHidden/>
              </w:rPr>
              <w:t>112</w:t>
            </w:r>
            <w:r>
              <w:rPr>
                <w:webHidden/>
              </w:rPr>
              <w:fldChar w:fldCharType="end"/>
            </w:r>
          </w:hyperlink>
        </w:p>
        <w:p w14:paraId="16D8A0A0" w14:textId="6A54C329" w:rsidR="00FC34E5" w:rsidRDefault="00FC34E5" w:rsidP="00FC34E5">
          <w:pPr>
            <w:pStyle w:val="TOC2"/>
            <w:rPr>
              <w:rFonts w:asciiTheme="minorHAnsi" w:eastAsiaTheme="minorEastAsia" w:hAnsiTheme="minorHAnsi"/>
              <w:kern w:val="2"/>
              <w:szCs w:val="24"/>
              <w:lang w:val="en-US"/>
              <w14:ligatures w14:val="standardContextual"/>
            </w:rPr>
          </w:pPr>
          <w:hyperlink w:anchor="_Toc202197648" w:history="1">
            <w:r w:rsidRPr="0082490E">
              <w:rPr>
                <w:rStyle w:val="Hyperlink"/>
              </w:rPr>
              <w:t>Research Approach</w:t>
            </w:r>
            <w:r>
              <w:rPr>
                <w:webHidden/>
              </w:rPr>
              <w:tab/>
            </w:r>
            <w:r>
              <w:rPr>
                <w:webHidden/>
              </w:rPr>
              <w:fldChar w:fldCharType="begin"/>
            </w:r>
            <w:r>
              <w:rPr>
                <w:webHidden/>
              </w:rPr>
              <w:instrText xml:space="preserve"> PAGEREF _Toc202197648 \h </w:instrText>
            </w:r>
            <w:r>
              <w:rPr>
                <w:webHidden/>
              </w:rPr>
            </w:r>
            <w:r>
              <w:rPr>
                <w:webHidden/>
              </w:rPr>
              <w:fldChar w:fldCharType="separate"/>
            </w:r>
            <w:r w:rsidR="00717E31">
              <w:rPr>
                <w:webHidden/>
              </w:rPr>
              <w:t>113</w:t>
            </w:r>
            <w:r>
              <w:rPr>
                <w:webHidden/>
              </w:rPr>
              <w:fldChar w:fldCharType="end"/>
            </w:r>
          </w:hyperlink>
        </w:p>
        <w:p w14:paraId="0F96DD1D" w14:textId="547D4E78" w:rsidR="00FC34E5" w:rsidRDefault="00FC34E5" w:rsidP="00FC34E5">
          <w:pPr>
            <w:pStyle w:val="TOC2"/>
            <w:rPr>
              <w:rFonts w:asciiTheme="minorHAnsi" w:eastAsiaTheme="minorEastAsia" w:hAnsiTheme="minorHAnsi"/>
              <w:kern w:val="2"/>
              <w:szCs w:val="24"/>
              <w:lang w:val="en-US"/>
              <w14:ligatures w14:val="standardContextual"/>
            </w:rPr>
          </w:pPr>
          <w:hyperlink w:anchor="_Toc202197649" w:history="1">
            <w:r w:rsidRPr="0082490E">
              <w:rPr>
                <w:rStyle w:val="Hyperlink"/>
              </w:rPr>
              <w:t>Study Design</w:t>
            </w:r>
            <w:r>
              <w:rPr>
                <w:webHidden/>
              </w:rPr>
              <w:tab/>
            </w:r>
            <w:r>
              <w:rPr>
                <w:webHidden/>
              </w:rPr>
              <w:fldChar w:fldCharType="begin"/>
            </w:r>
            <w:r>
              <w:rPr>
                <w:webHidden/>
              </w:rPr>
              <w:instrText xml:space="preserve"> PAGEREF _Toc202197649 \h </w:instrText>
            </w:r>
            <w:r>
              <w:rPr>
                <w:webHidden/>
              </w:rPr>
            </w:r>
            <w:r>
              <w:rPr>
                <w:webHidden/>
              </w:rPr>
              <w:fldChar w:fldCharType="separate"/>
            </w:r>
            <w:r w:rsidR="00717E31">
              <w:rPr>
                <w:webHidden/>
              </w:rPr>
              <w:t>115</w:t>
            </w:r>
            <w:r>
              <w:rPr>
                <w:webHidden/>
              </w:rPr>
              <w:fldChar w:fldCharType="end"/>
            </w:r>
          </w:hyperlink>
        </w:p>
        <w:p w14:paraId="29AD63D9" w14:textId="17F4C450" w:rsidR="00FC34E5" w:rsidRDefault="00FC34E5" w:rsidP="00FC34E5">
          <w:pPr>
            <w:pStyle w:val="TOC2"/>
            <w:rPr>
              <w:rFonts w:asciiTheme="minorHAnsi" w:eastAsiaTheme="minorEastAsia" w:hAnsiTheme="minorHAnsi"/>
              <w:kern w:val="2"/>
              <w:szCs w:val="24"/>
              <w:lang w:val="en-US"/>
              <w14:ligatures w14:val="standardContextual"/>
            </w:rPr>
          </w:pPr>
          <w:hyperlink w:anchor="_Toc202197650" w:history="1">
            <w:r w:rsidRPr="0082490E">
              <w:rPr>
                <w:rStyle w:val="Hyperlink"/>
              </w:rPr>
              <w:t>Study Population</w:t>
            </w:r>
            <w:r>
              <w:rPr>
                <w:webHidden/>
              </w:rPr>
              <w:tab/>
            </w:r>
            <w:r>
              <w:rPr>
                <w:webHidden/>
              </w:rPr>
              <w:fldChar w:fldCharType="begin"/>
            </w:r>
            <w:r>
              <w:rPr>
                <w:webHidden/>
              </w:rPr>
              <w:instrText xml:space="preserve"> PAGEREF _Toc202197650 \h </w:instrText>
            </w:r>
            <w:r>
              <w:rPr>
                <w:webHidden/>
              </w:rPr>
            </w:r>
            <w:r>
              <w:rPr>
                <w:webHidden/>
              </w:rPr>
              <w:fldChar w:fldCharType="separate"/>
            </w:r>
            <w:r w:rsidR="00717E31">
              <w:rPr>
                <w:webHidden/>
              </w:rPr>
              <w:t>116</w:t>
            </w:r>
            <w:r>
              <w:rPr>
                <w:webHidden/>
              </w:rPr>
              <w:fldChar w:fldCharType="end"/>
            </w:r>
          </w:hyperlink>
        </w:p>
        <w:p w14:paraId="7BDC4C27" w14:textId="5E4EE5F7" w:rsidR="00FC34E5" w:rsidRDefault="00FC34E5" w:rsidP="00FC34E5">
          <w:pPr>
            <w:pStyle w:val="TOC2"/>
            <w:rPr>
              <w:rFonts w:asciiTheme="minorHAnsi" w:eastAsiaTheme="minorEastAsia" w:hAnsiTheme="minorHAnsi"/>
              <w:kern w:val="2"/>
              <w:szCs w:val="24"/>
              <w:lang w:val="en-US"/>
              <w14:ligatures w14:val="standardContextual"/>
            </w:rPr>
          </w:pPr>
          <w:hyperlink w:anchor="_Toc202197651" w:history="1">
            <w:r w:rsidRPr="0082490E">
              <w:rPr>
                <w:rStyle w:val="Hyperlink"/>
              </w:rPr>
              <w:t>Sampling Procedure and Sample Size</w:t>
            </w:r>
            <w:r>
              <w:rPr>
                <w:webHidden/>
              </w:rPr>
              <w:tab/>
            </w:r>
            <w:r>
              <w:rPr>
                <w:webHidden/>
              </w:rPr>
              <w:fldChar w:fldCharType="begin"/>
            </w:r>
            <w:r>
              <w:rPr>
                <w:webHidden/>
              </w:rPr>
              <w:instrText xml:space="preserve"> PAGEREF _Toc202197651 \h </w:instrText>
            </w:r>
            <w:r>
              <w:rPr>
                <w:webHidden/>
              </w:rPr>
            </w:r>
            <w:r>
              <w:rPr>
                <w:webHidden/>
              </w:rPr>
              <w:fldChar w:fldCharType="separate"/>
            </w:r>
            <w:r w:rsidR="00717E31">
              <w:rPr>
                <w:webHidden/>
              </w:rPr>
              <w:t>116</w:t>
            </w:r>
            <w:r>
              <w:rPr>
                <w:webHidden/>
              </w:rPr>
              <w:fldChar w:fldCharType="end"/>
            </w:r>
          </w:hyperlink>
        </w:p>
        <w:p w14:paraId="4D626995" w14:textId="0BE807FF" w:rsidR="00FC34E5" w:rsidRDefault="00FC34E5" w:rsidP="00FC34E5">
          <w:pPr>
            <w:pStyle w:val="TOC2"/>
            <w:rPr>
              <w:rFonts w:asciiTheme="minorHAnsi" w:eastAsiaTheme="minorEastAsia" w:hAnsiTheme="minorHAnsi"/>
              <w:kern w:val="2"/>
              <w:szCs w:val="24"/>
              <w:lang w:val="en-US"/>
              <w14:ligatures w14:val="standardContextual"/>
            </w:rPr>
          </w:pPr>
          <w:hyperlink w:anchor="_Toc202197652" w:history="1">
            <w:r w:rsidRPr="0082490E">
              <w:rPr>
                <w:rStyle w:val="Hyperlink"/>
              </w:rPr>
              <w:t>Fieldwork</w:t>
            </w:r>
            <w:r>
              <w:rPr>
                <w:webHidden/>
              </w:rPr>
              <w:tab/>
            </w:r>
            <w:r>
              <w:rPr>
                <w:webHidden/>
              </w:rPr>
              <w:fldChar w:fldCharType="begin"/>
            </w:r>
            <w:r>
              <w:rPr>
                <w:webHidden/>
              </w:rPr>
              <w:instrText xml:space="preserve"> PAGEREF _Toc202197652 \h </w:instrText>
            </w:r>
            <w:r>
              <w:rPr>
                <w:webHidden/>
              </w:rPr>
            </w:r>
            <w:r>
              <w:rPr>
                <w:webHidden/>
              </w:rPr>
              <w:fldChar w:fldCharType="separate"/>
            </w:r>
            <w:r w:rsidR="00717E31">
              <w:rPr>
                <w:webHidden/>
              </w:rPr>
              <w:t>121</w:t>
            </w:r>
            <w:r>
              <w:rPr>
                <w:webHidden/>
              </w:rPr>
              <w:fldChar w:fldCharType="end"/>
            </w:r>
          </w:hyperlink>
        </w:p>
        <w:p w14:paraId="537944E1" w14:textId="698DD7C0" w:rsidR="00FC34E5" w:rsidRDefault="00FC34E5" w:rsidP="00FC34E5">
          <w:pPr>
            <w:pStyle w:val="TOC2"/>
            <w:rPr>
              <w:rFonts w:asciiTheme="minorHAnsi" w:eastAsiaTheme="minorEastAsia" w:hAnsiTheme="minorHAnsi"/>
              <w:kern w:val="2"/>
              <w:szCs w:val="24"/>
              <w:lang w:val="en-US"/>
              <w14:ligatures w14:val="standardContextual"/>
            </w:rPr>
          </w:pPr>
          <w:hyperlink w:anchor="_Toc202197653" w:history="1">
            <w:r w:rsidRPr="0082490E">
              <w:rPr>
                <w:rStyle w:val="Hyperlink"/>
              </w:rPr>
              <w:t>Sources of Data</w:t>
            </w:r>
            <w:r>
              <w:rPr>
                <w:webHidden/>
              </w:rPr>
              <w:tab/>
            </w:r>
            <w:r>
              <w:rPr>
                <w:webHidden/>
              </w:rPr>
              <w:fldChar w:fldCharType="begin"/>
            </w:r>
            <w:r>
              <w:rPr>
                <w:webHidden/>
              </w:rPr>
              <w:instrText xml:space="preserve"> PAGEREF _Toc202197653 \h </w:instrText>
            </w:r>
            <w:r>
              <w:rPr>
                <w:webHidden/>
              </w:rPr>
            </w:r>
            <w:r>
              <w:rPr>
                <w:webHidden/>
              </w:rPr>
              <w:fldChar w:fldCharType="separate"/>
            </w:r>
            <w:r w:rsidR="00717E31">
              <w:rPr>
                <w:webHidden/>
              </w:rPr>
              <w:t>123</w:t>
            </w:r>
            <w:r>
              <w:rPr>
                <w:webHidden/>
              </w:rPr>
              <w:fldChar w:fldCharType="end"/>
            </w:r>
          </w:hyperlink>
        </w:p>
        <w:p w14:paraId="6E545E14" w14:textId="2A4DC980" w:rsidR="00FC34E5" w:rsidRDefault="00FC34E5" w:rsidP="00FC34E5">
          <w:pPr>
            <w:pStyle w:val="TOC2"/>
            <w:rPr>
              <w:rFonts w:asciiTheme="minorHAnsi" w:eastAsiaTheme="minorEastAsia" w:hAnsiTheme="minorHAnsi"/>
              <w:kern w:val="2"/>
              <w:szCs w:val="24"/>
              <w:lang w:val="en-US"/>
              <w14:ligatures w14:val="standardContextual"/>
            </w:rPr>
          </w:pPr>
          <w:hyperlink w:anchor="_Toc202197654" w:history="1">
            <w:r w:rsidRPr="0082490E">
              <w:rPr>
                <w:rStyle w:val="Hyperlink"/>
              </w:rPr>
              <w:t>Data Collection Methods</w:t>
            </w:r>
            <w:r>
              <w:rPr>
                <w:webHidden/>
              </w:rPr>
              <w:tab/>
            </w:r>
            <w:r>
              <w:rPr>
                <w:webHidden/>
              </w:rPr>
              <w:fldChar w:fldCharType="begin"/>
            </w:r>
            <w:r>
              <w:rPr>
                <w:webHidden/>
              </w:rPr>
              <w:instrText xml:space="preserve"> PAGEREF _Toc202197654 \h </w:instrText>
            </w:r>
            <w:r>
              <w:rPr>
                <w:webHidden/>
              </w:rPr>
            </w:r>
            <w:r>
              <w:rPr>
                <w:webHidden/>
              </w:rPr>
              <w:fldChar w:fldCharType="separate"/>
            </w:r>
            <w:r w:rsidR="00717E31">
              <w:rPr>
                <w:webHidden/>
              </w:rPr>
              <w:t>123</w:t>
            </w:r>
            <w:r>
              <w:rPr>
                <w:webHidden/>
              </w:rPr>
              <w:fldChar w:fldCharType="end"/>
            </w:r>
          </w:hyperlink>
        </w:p>
        <w:p w14:paraId="35AA0626" w14:textId="4FBB5E6E" w:rsidR="00FC34E5" w:rsidRDefault="00FC34E5" w:rsidP="00FC34E5">
          <w:pPr>
            <w:pStyle w:val="TOC2"/>
            <w:rPr>
              <w:rFonts w:asciiTheme="minorHAnsi" w:eastAsiaTheme="minorEastAsia" w:hAnsiTheme="minorHAnsi"/>
              <w:kern w:val="2"/>
              <w:szCs w:val="24"/>
              <w:lang w:val="en-US"/>
              <w14:ligatures w14:val="standardContextual"/>
            </w:rPr>
          </w:pPr>
          <w:hyperlink w:anchor="_Toc202197655" w:history="1">
            <w:r w:rsidRPr="0082490E">
              <w:rPr>
                <w:rStyle w:val="Hyperlink"/>
              </w:rPr>
              <w:t>Data Collection Tools</w:t>
            </w:r>
            <w:r>
              <w:rPr>
                <w:webHidden/>
              </w:rPr>
              <w:tab/>
            </w:r>
            <w:r>
              <w:rPr>
                <w:webHidden/>
              </w:rPr>
              <w:fldChar w:fldCharType="begin"/>
            </w:r>
            <w:r>
              <w:rPr>
                <w:webHidden/>
              </w:rPr>
              <w:instrText xml:space="preserve"> PAGEREF _Toc202197655 \h </w:instrText>
            </w:r>
            <w:r>
              <w:rPr>
                <w:webHidden/>
              </w:rPr>
            </w:r>
            <w:r>
              <w:rPr>
                <w:webHidden/>
              </w:rPr>
              <w:fldChar w:fldCharType="separate"/>
            </w:r>
            <w:r w:rsidR="00717E31">
              <w:rPr>
                <w:webHidden/>
              </w:rPr>
              <w:t>124</w:t>
            </w:r>
            <w:r>
              <w:rPr>
                <w:webHidden/>
              </w:rPr>
              <w:fldChar w:fldCharType="end"/>
            </w:r>
          </w:hyperlink>
        </w:p>
        <w:p w14:paraId="56BAB466" w14:textId="5EF8B46C" w:rsidR="00FC34E5" w:rsidRDefault="00FC34E5" w:rsidP="00FC34E5">
          <w:pPr>
            <w:pStyle w:val="TOC2"/>
            <w:rPr>
              <w:rFonts w:asciiTheme="minorHAnsi" w:eastAsiaTheme="minorEastAsia" w:hAnsiTheme="minorHAnsi"/>
              <w:kern w:val="2"/>
              <w:szCs w:val="24"/>
              <w:lang w:val="en-US"/>
              <w14:ligatures w14:val="standardContextual"/>
            </w:rPr>
          </w:pPr>
          <w:hyperlink w:anchor="_Toc202197656" w:history="1">
            <w:r w:rsidRPr="0082490E">
              <w:rPr>
                <w:rStyle w:val="Hyperlink"/>
              </w:rPr>
              <w:t>Interview Guide</w:t>
            </w:r>
            <w:r>
              <w:rPr>
                <w:webHidden/>
              </w:rPr>
              <w:tab/>
            </w:r>
            <w:r>
              <w:rPr>
                <w:webHidden/>
              </w:rPr>
              <w:fldChar w:fldCharType="begin"/>
            </w:r>
            <w:r>
              <w:rPr>
                <w:webHidden/>
              </w:rPr>
              <w:instrText xml:space="preserve"> PAGEREF _Toc202197656 \h </w:instrText>
            </w:r>
            <w:r>
              <w:rPr>
                <w:webHidden/>
              </w:rPr>
            </w:r>
            <w:r>
              <w:rPr>
                <w:webHidden/>
              </w:rPr>
              <w:fldChar w:fldCharType="separate"/>
            </w:r>
            <w:r w:rsidR="00717E31">
              <w:rPr>
                <w:webHidden/>
              </w:rPr>
              <w:t>124</w:t>
            </w:r>
            <w:r>
              <w:rPr>
                <w:webHidden/>
              </w:rPr>
              <w:fldChar w:fldCharType="end"/>
            </w:r>
          </w:hyperlink>
        </w:p>
        <w:p w14:paraId="53A789AA" w14:textId="3FD02FEB" w:rsidR="00FC34E5" w:rsidRDefault="00FC34E5" w:rsidP="00FC34E5">
          <w:pPr>
            <w:pStyle w:val="TOC2"/>
            <w:rPr>
              <w:rFonts w:asciiTheme="minorHAnsi" w:eastAsiaTheme="minorEastAsia" w:hAnsiTheme="minorHAnsi"/>
              <w:kern w:val="2"/>
              <w:szCs w:val="24"/>
              <w:lang w:val="en-US"/>
              <w14:ligatures w14:val="standardContextual"/>
            </w:rPr>
          </w:pPr>
          <w:hyperlink w:anchor="_Toc202197657" w:history="1">
            <w:r w:rsidRPr="0082490E">
              <w:rPr>
                <w:rStyle w:val="Hyperlink"/>
              </w:rPr>
              <w:t>Focus Group Discussion Guide</w:t>
            </w:r>
            <w:r>
              <w:rPr>
                <w:webHidden/>
              </w:rPr>
              <w:tab/>
            </w:r>
            <w:r>
              <w:rPr>
                <w:webHidden/>
              </w:rPr>
              <w:fldChar w:fldCharType="begin"/>
            </w:r>
            <w:r>
              <w:rPr>
                <w:webHidden/>
              </w:rPr>
              <w:instrText xml:space="preserve"> PAGEREF _Toc202197657 \h </w:instrText>
            </w:r>
            <w:r>
              <w:rPr>
                <w:webHidden/>
              </w:rPr>
            </w:r>
            <w:r>
              <w:rPr>
                <w:webHidden/>
              </w:rPr>
              <w:fldChar w:fldCharType="separate"/>
            </w:r>
            <w:r w:rsidR="00717E31">
              <w:rPr>
                <w:webHidden/>
              </w:rPr>
              <w:t>125</w:t>
            </w:r>
            <w:r>
              <w:rPr>
                <w:webHidden/>
              </w:rPr>
              <w:fldChar w:fldCharType="end"/>
            </w:r>
          </w:hyperlink>
        </w:p>
        <w:p w14:paraId="5D592C14" w14:textId="7A44D3CA" w:rsidR="00FC34E5" w:rsidRDefault="00FC34E5" w:rsidP="00FC34E5">
          <w:pPr>
            <w:pStyle w:val="TOC2"/>
            <w:rPr>
              <w:rFonts w:asciiTheme="minorHAnsi" w:eastAsiaTheme="minorEastAsia" w:hAnsiTheme="minorHAnsi"/>
              <w:kern w:val="2"/>
              <w:szCs w:val="24"/>
              <w:lang w:val="en-US"/>
              <w14:ligatures w14:val="standardContextual"/>
            </w:rPr>
          </w:pPr>
          <w:hyperlink w:anchor="_Toc202197658" w:history="1">
            <w:r w:rsidRPr="0082490E">
              <w:rPr>
                <w:rStyle w:val="Hyperlink"/>
              </w:rPr>
              <w:t>Observation Guide</w:t>
            </w:r>
            <w:r>
              <w:rPr>
                <w:webHidden/>
              </w:rPr>
              <w:tab/>
            </w:r>
            <w:r>
              <w:rPr>
                <w:webHidden/>
              </w:rPr>
              <w:fldChar w:fldCharType="begin"/>
            </w:r>
            <w:r>
              <w:rPr>
                <w:webHidden/>
              </w:rPr>
              <w:instrText xml:space="preserve"> PAGEREF _Toc202197658 \h </w:instrText>
            </w:r>
            <w:r>
              <w:rPr>
                <w:webHidden/>
              </w:rPr>
            </w:r>
            <w:r>
              <w:rPr>
                <w:webHidden/>
              </w:rPr>
              <w:fldChar w:fldCharType="separate"/>
            </w:r>
            <w:r w:rsidR="00717E31">
              <w:rPr>
                <w:webHidden/>
              </w:rPr>
              <w:t>126</w:t>
            </w:r>
            <w:r>
              <w:rPr>
                <w:webHidden/>
              </w:rPr>
              <w:fldChar w:fldCharType="end"/>
            </w:r>
          </w:hyperlink>
        </w:p>
        <w:p w14:paraId="40FCD5A1" w14:textId="21129D73" w:rsidR="00FC34E5" w:rsidRDefault="00FC34E5" w:rsidP="00FC34E5">
          <w:pPr>
            <w:pStyle w:val="TOC2"/>
            <w:rPr>
              <w:rFonts w:asciiTheme="minorHAnsi" w:eastAsiaTheme="minorEastAsia" w:hAnsiTheme="minorHAnsi"/>
              <w:kern w:val="2"/>
              <w:szCs w:val="24"/>
              <w:lang w:val="en-US"/>
              <w14:ligatures w14:val="standardContextual"/>
            </w:rPr>
          </w:pPr>
          <w:hyperlink w:anchor="_Toc202197659" w:history="1">
            <w:r w:rsidRPr="0082490E">
              <w:rPr>
                <w:rStyle w:val="Hyperlink"/>
              </w:rPr>
              <w:t>Interview Schedule</w:t>
            </w:r>
            <w:r>
              <w:rPr>
                <w:webHidden/>
              </w:rPr>
              <w:tab/>
            </w:r>
            <w:r>
              <w:rPr>
                <w:webHidden/>
              </w:rPr>
              <w:fldChar w:fldCharType="begin"/>
            </w:r>
            <w:r>
              <w:rPr>
                <w:webHidden/>
              </w:rPr>
              <w:instrText xml:space="preserve"> PAGEREF _Toc202197659 \h </w:instrText>
            </w:r>
            <w:r>
              <w:rPr>
                <w:webHidden/>
              </w:rPr>
            </w:r>
            <w:r>
              <w:rPr>
                <w:webHidden/>
              </w:rPr>
              <w:fldChar w:fldCharType="separate"/>
            </w:r>
            <w:r w:rsidR="00717E31">
              <w:rPr>
                <w:webHidden/>
              </w:rPr>
              <w:t>126</w:t>
            </w:r>
            <w:r>
              <w:rPr>
                <w:webHidden/>
              </w:rPr>
              <w:fldChar w:fldCharType="end"/>
            </w:r>
          </w:hyperlink>
        </w:p>
        <w:p w14:paraId="3E9C5D93" w14:textId="437D132B" w:rsidR="00FC34E5" w:rsidRDefault="00FC34E5" w:rsidP="00FC34E5">
          <w:pPr>
            <w:pStyle w:val="TOC2"/>
            <w:rPr>
              <w:rFonts w:asciiTheme="minorHAnsi" w:eastAsiaTheme="minorEastAsia" w:hAnsiTheme="minorHAnsi"/>
              <w:kern w:val="2"/>
              <w:szCs w:val="24"/>
              <w:lang w:val="en-US"/>
              <w14:ligatures w14:val="standardContextual"/>
            </w:rPr>
          </w:pPr>
          <w:hyperlink w:anchor="_Toc202197660" w:history="1">
            <w:r w:rsidRPr="0082490E">
              <w:rPr>
                <w:rStyle w:val="Hyperlink"/>
              </w:rPr>
              <w:t>Data Processing and Analysis</w:t>
            </w:r>
            <w:r>
              <w:rPr>
                <w:webHidden/>
              </w:rPr>
              <w:tab/>
            </w:r>
            <w:r>
              <w:rPr>
                <w:webHidden/>
              </w:rPr>
              <w:fldChar w:fldCharType="begin"/>
            </w:r>
            <w:r>
              <w:rPr>
                <w:webHidden/>
              </w:rPr>
              <w:instrText xml:space="preserve"> PAGEREF _Toc202197660 \h </w:instrText>
            </w:r>
            <w:r>
              <w:rPr>
                <w:webHidden/>
              </w:rPr>
            </w:r>
            <w:r>
              <w:rPr>
                <w:webHidden/>
              </w:rPr>
              <w:fldChar w:fldCharType="separate"/>
            </w:r>
            <w:r w:rsidR="00717E31">
              <w:rPr>
                <w:webHidden/>
              </w:rPr>
              <w:t>127</w:t>
            </w:r>
            <w:r>
              <w:rPr>
                <w:webHidden/>
              </w:rPr>
              <w:fldChar w:fldCharType="end"/>
            </w:r>
          </w:hyperlink>
        </w:p>
        <w:p w14:paraId="0FBEB350" w14:textId="4DC01E96" w:rsidR="00FC34E5" w:rsidRDefault="00FC34E5" w:rsidP="00FC34E5">
          <w:pPr>
            <w:pStyle w:val="TOC2"/>
            <w:rPr>
              <w:rFonts w:asciiTheme="minorHAnsi" w:eastAsiaTheme="minorEastAsia" w:hAnsiTheme="minorHAnsi"/>
              <w:kern w:val="2"/>
              <w:szCs w:val="24"/>
              <w:lang w:val="en-US"/>
              <w14:ligatures w14:val="standardContextual"/>
            </w:rPr>
          </w:pPr>
          <w:hyperlink w:anchor="_Toc202197661" w:history="1">
            <w:r w:rsidRPr="0082490E">
              <w:rPr>
                <w:rStyle w:val="Hyperlink"/>
              </w:rPr>
              <w:t>Pre-testing of Instruments</w:t>
            </w:r>
            <w:r>
              <w:rPr>
                <w:webHidden/>
              </w:rPr>
              <w:tab/>
            </w:r>
            <w:r>
              <w:rPr>
                <w:webHidden/>
              </w:rPr>
              <w:fldChar w:fldCharType="begin"/>
            </w:r>
            <w:r>
              <w:rPr>
                <w:webHidden/>
              </w:rPr>
              <w:instrText xml:space="preserve"> PAGEREF _Toc202197661 \h </w:instrText>
            </w:r>
            <w:r>
              <w:rPr>
                <w:webHidden/>
              </w:rPr>
            </w:r>
            <w:r>
              <w:rPr>
                <w:webHidden/>
              </w:rPr>
              <w:fldChar w:fldCharType="separate"/>
            </w:r>
            <w:r w:rsidR="00717E31">
              <w:rPr>
                <w:webHidden/>
              </w:rPr>
              <w:t>133</w:t>
            </w:r>
            <w:r>
              <w:rPr>
                <w:webHidden/>
              </w:rPr>
              <w:fldChar w:fldCharType="end"/>
            </w:r>
          </w:hyperlink>
        </w:p>
        <w:p w14:paraId="21F1AE8D" w14:textId="7750D879" w:rsidR="00FC34E5" w:rsidRDefault="00FC34E5" w:rsidP="00FC34E5">
          <w:pPr>
            <w:pStyle w:val="TOC2"/>
            <w:rPr>
              <w:rFonts w:asciiTheme="minorHAnsi" w:eastAsiaTheme="minorEastAsia" w:hAnsiTheme="minorHAnsi"/>
              <w:kern w:val="2"/>
              <w:szCs w:val="24"/>
              <w:lang w:val="en-US"/>
              <w14:ligatures w14:val="standardContextual"/>
            </w:rPr>
          </w:pPr>
          <w:hyperlink w:anchor="_Toc202197662" w:history="1">
            <w:r w:rsidRPr="0082490E">
              <w:rPr>
                <w:rStyle w:val="Hyperlink"/>
              </w:rPr>
              <w:t>Ethical Consideration</w:t>
            </w:r>
            <w:r>
              <w:rPr>
                <w:webHidden/>
              </w:rPr>
              <w:tab/>
            </w:r>
            <w:r>
              <w:rPr>
                <w:webHidden/>
              </w:rPr>
              <w:fldChar w:fldCharType="begin"/>
            </w:r>
            <w:r>
              <w:rPr>
                <w:webHidden/>
              </w:rPr>
              <w:instrText xml:space="preserve"> PAGEREF _Toc202197662 \h </w:instrText>
            </w:r>
            <w:r>
              <w:rPr>
                <w:webHidden/>
              </w:rPr>
            </w:r>
            <w:r>
              <w:rPr>
                <w:webHidden/>
              </w:rPr>
              <w:fldChar w:fldCharType="separate"/>
            </w:r>
            <w:r w:rsidR="00717E31">
              <w:rPr>
                <w:webHidden/>
              </w:rPr>
              <w:t>134</w:t>
            </w:r>
            <w:r>
              <w:rPr>
                <w:webHidden/>
              </w:rPr>
              <w:fldChar w:fldCharType="end"/>
            </w:r>
          </w:hyperlink>
        </w:p>
        <w:p w14:paraId="6212E758" w14:textId="0C848CBD" w:rsidR="00FC34E5" w:rsidRDefault="00FC34E5">
          <w:pPr>
            <w:pStyle w:val="TOC1"/>
            <w:rPr>
              <w:rFonts w:asciiTheme="minorHAnsi" w:eastAsiaTheme="minorEastAsia" w:hAnsiTheme="minorHAnsi"/>
              <w:noProof/>
              <w:kern w:val="2"/>
              <w:szCs w:val="24"/>
              <w:lang w:val="en-US"/>
              <w14:ligatures w14:val="standardContextual"/>
            </w:rPr>
          </w:pPr>
          <w:hyperlink w:anchor="_Toc202197663" w:history="1">
            <w:r w:rsidRPr="0082490E">
              <w:rPr>
                <w:rStyle w:val="Hyperlink"/>
                <w:noProof/>
              </w:rPr>
              <w:t>CHAPTER FIVE</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64" w:history="1">
            <w:r w:rsidRPr="0082490E">
              <w:rPr>
                <w:rStyle w:val="Hyperlink"/>
                <w:noProof/>
              </w:rPr>
              <w:t>EXAMINATION OF THE LOCAL INSTITUTIONS ENHANCING STAKEHOLDER PARTICIPATION IN THE SUSTAINABLE MANAGEMENT OF THE BOBIRI AND SOUTHERN SCARP FOREST RESERVES.</w:t>
            </w:r>
          </w:hyperlink>
          <w:r>
            <w:rPr>
              <w:rFonts w:asciiTheme="minorHAnsi" w:eastAsiaTheme="minorEastAsia" w:hAnsiTheme="minorHAnsi"/>
              <w:noProof/>
              <w:kern w:val="2"/>
              <w:szCs w:val="24"/>
              <w:lang w:val="en-US"/>
              <w14:ligatures w14:val="standardContextual"/>
            </w:rPr>
            <w:t xml:space="preserve"> </w:t>
          </w:r>
        </w:p>
        <w:p w14:paraId="0A4208F8" w14:textId="1993D1C0" w:rsidR="00FC34E5" w:rsidRDefault="00FC34E5" w:rsidP="00FC34E5">
          <w:pPr>
            <w:pStyle w:val="TOC2"/>
            <w:rPr>
              <w:rFonts w:asciiTheme="minorHAnsi" w:eastAsiaTheme="minorEastAsia" w:hAnsiTheme="minorHAnsi"/>
              <w:kern w:val="2"/>
              <w:szCs w:val="24"/>
              <w:lang w:val="en-US"/>
              <w14:ligatures w14:val="standardContextual"/>
            </w:rPr>
          </w:pPr>
          <w:hyperlink w:anchor="_Toc202197665" w:history="1">
            <w:r w:rsidRPr="0082490E">
              <w:rPr>
                <w:rStyle w:val="Hyperlink"/>
              </w:rPr>
              <w:t>Introduction</w:t>
            </w:r>
            <w:r>
              <w:rPr>
                <w:webHidden/>
              </w:rPr>
              <w:tab/>
            </w:r>
            <w:r>
              <w:rPr>
                <w:webHidden/>
              </w:rPr>
              <w:fldChar w:fldCharType="begin"/>
            </w:r>
            <w:r>
              <w:rPr>
                <w:webHidden/>
              </w:rPr>
              <w:instrText xml:space="preserve"> PAGEREF _Toc202197665 \h </w:instrText>
            </w:r>
            <w:r>
              <w:rPr>
                <w:webHidden/>
              </w:rPr>
            </w:r>
            <w:r>
              <w:rPr>
                <w:webHidden/>
              </w:rPr>
              <w:fldChar w:fldCharType="separate"/>
            </w:r>
            <w:r w:rsidR="00717E31">
              <w:rPr>
                <w:webHidden/>
              </w:rPr>
              <w:t>136</w:t>
            </w:r>
            <w:r>
              <w:rPr>
                <w:webHidden/>
              </w:rPr>
              <w:fldChar w:fldCharType="end"/>
            </w:r>
          </w:hyperlink>
        </w:p>
        <w:p w14:paraId="225EB816" w14:textId="4A04E7E0" w:rsidR="00FC34E5" w:rsidRDefault="00FC34E5" w:rsidP="00FC34E5">
          <w:pPr>
            <w:pStyle w:val="TOC2"/>
            <w:rPr>
              <w:rFonts w:asciiTheme="minorHAnsi" w:eastAsiaTheme="minorEastAsia" w:hAnsiTheme="minorHAnsi"/>
              <w:kern w:val="2"/>
              <w:szCs w:val="24"/>
              <w:lang w:val="en-US"/>
              <w14:ligatures w14:val="standardContextual"/>
            </w:rPr>
          </w:pPr>
          <w:hyperlink w:anchor="_Toc202197666" w:history="1">
            <w:r w:rsidRPr="0082490E">
              <w:rPr>
                <w:rStyle w:val="Hyperlink"/>
                <w:rFonts w:cs="Times New Roman"/>
              </w:rPr>
              <w:t>Forest Management Regime</w:t>
            </w:r>
            <w:r>
              <w:rPr>
                <w:webHidden/>
              </w:rPr>
              <w:tab/>
            </w:r>
            <w:r>
              <w:rPr>
                <w:webHidden/>
              </w:rPr>
              <w:fldChar w:fldCharType="begin"/>
            </w:r>
            <w:r>
              <w:rPr>
                <w:webHidden/>
              </w:rPr>
              <w:instrText xml:space="preserve"> PAGEREF _Toc202197666 \h </w:instrText>
            </w:r>
            <w:r>
              <w:rPr>
                <w:webHidden/>
              </w:rPr>
            </w:r>
            <w:r>
              <w:rPr>
                <w:webHidden/>
              </w:rPr>
              <w:fldChar w:fldCharType="separate"/>
            </w:r>
            <w:r w:rsidR="00717E31">
              <w:rPr>
                <w:webHidden/>
              </w:rPr>
              <w:t>136</w:t>
            </w:r>
            <w:r>
              <w:rPr>
                <w:webHidden/>
              </w:rPr>
              <w:fldChar w:fldCharType="end"/>
            </w:r>
          </w:hyperlink>
        </w:p>
        <w:p w14:paraId="26C8DAFE" w14:textId="74778ACE" w:rsidR="00FC34E5" w:rsidRDefault="00FC34E5" w:rsidP="00FC34E5">
          <w:pPr>
            <w:pStyle w:val="TOC2"/>
            <w:rPr>
              <w:rFonts w:asciiTheme="minorHAnsi" w:eastAsiaTheme="minorEastAsia" w:hAnsiTheme="minorHAnsi"/>
              <w:kern w:val="2"/>
              <w:szCs w:val="24"/>
              <w:lang w:val="en-US"/>
              <w14:ligatures w14:val="standardContextual"/>
            </w:rPr>
          </w:pPr>
          <w:hyperlink w:anchor="_Toc202197667" w:history="1">
            <w:r w:rsidRPr="0082490E">
              <w:rPr>
                <w:rStyle w:val="Hyperlink"/>
              </w:rPr>
              <w:t>Formality of rules</w:t>
            </w:r>
            <w:r>
              <w:rPr>
                <w:webHidden/>
              </w:rPr>
              <w:tab/>
            </w:r>
            <w:r>
              <w:rPr>
                <w:webHidden/>
              </w:rPr>
              <w:fldChar w:fldCharType="begin"/>
            </w:r>
            <w:r>
              <w:rPr>
                <w:webHidden/>
              </w:rPr>
              <w:instrText xml:space="preserve"> PAGEREF _Toc202197667 \h </w:instrText>
            </w:r>
            <w:r>
              <w:rPr>
                <w:webHidden/>
              </w:rPr>
            </w:r>
            <w:r>
              <w:rPr>
                <w:webHidden/>
              </w:rPr>
              <w:fldChar w:fldCharType="separate"/>
            </w:r>
            <w:r w:rsidR="00717E31">
              <w:rPr>
                <w:webHidden/>
              </w:rPr>
              <w:t>140</w:t>
            </w:r>
            <w:r>
              <w:rPr>
                <w:webHidden/>
              </w:rPr>
              <w:fldChar w:fldCharType="end"/>
            </w:r>
          </w:hyperlink>
        </w:p>
        <w:p w14:paraId="02860231" w14:textId="23ADC736" w:rsidR="00FC34E5" w:rsidRDefault="00FC34E5" w:rsidP="00FC34E5">
          <w:pPr>
            <w:pStyle w:val="TOC2"/>
            <w:rPr>
              <w:rFonts w:asciiTheme="minorHAnsi" w:eastAsiaTheme="minorEastAsia" w:hAnsiTheme="minorHAnsi"/>
              <w:kern w:val="2"/>
              <w:szCs w:val="24"/>
              <w:lang w:val="en-US"/>
              <w14:ligatures w14:val="standardContextual"/>
            </w:rPr>
          </w:pPr>
          <w:hyperlink w:anchor="_Toc202197668" w:history="1">
            <w:r w:rsidRPr="0082490E">
              <w:rPr>
                <w:rStyle w:val="Hyperlink"/>
              </w:rPr>
              <w:t>Stakeholder Analysis</w:t>
            </w:r>
            <w:r>
              <w:rPr>
                <w:webHidden/>
              </w:rPr>
              <w:tab/>
            </w:r>
            <w:r>
              <w:rPr>
                <w:webHidden/>
              </w:rPr>
              <w:fldChar w:fldCharType="begin"/>
            </w:r>
            <w:r>
              <w:rPr>
                <w:webHidden/>
              </w:rPr>
              <w:instrText xml:space="preserve"> PAGEREF _Toc202197668 \h </w:instrText>
            </w:r>
            <w:r>
              <w:rPr>
                <w:webHidden/>
              </w:rPr>
            </w:r>
            <w:r>
              <w:rPr>
                <w:webHidden/>
              </w:rPr>
              <w:fldChar w:fldCharType="separate"/>
            </w:r>
            <w:r w:rsidR="00717E31">
              <w:rPr>
                <w:webHidden/>
              </w:rPr>
              <w:t>146</w:t>
            </w:r>
            <w:r>
              <w:rPr>
                <w:webHidden/>
              </w:rPr>
              <w:fldChar w:fldCharType="end"/>
            </w:r>
          </w:hyperlink>
        </w:p>
        <w:p w14:paraId="6A0EC2F4" w14:textId="54AE53C1" w:rsidR="00FC34E5" w:rsidRDefault="00FC34E5" w:rsidP="00FC34E5">
          <w:pPr>
            <w:pStyle w:val="TOC2"/>
            <w:rPr>
              <w:rFonts w:asciiTheme="minorHAnsi" w:eastAsiaTheme="minorEastAsia" w:hAnsiTheme="minorHAnsi"/>
              <w:kern w:val="2"/>
              <w:szCs w:val="24"/>
              <w:lang w:val="en-US"/>
              <w14:ligatures w14:val="standardContextual"/>
            </w:rPr>
          </w:pPr>
          <w:hyperlink w:anchor="_Toc202197669" w:history="1">
            <w:r w:rsidRPr="0082490E">
              <w:rPr>
                <w:rStyle w:val="Hyperlink"/>
              </w:rPr>
              <w:t>Spaces, Levels and Forms of Power</w:t>
            </w:r>
            <w:r>
              <w:rPr>
                <w:webHidden/>
              </w:rPr>
              <w:tab/>
            </w:r>
            <w:r>
              <w:rPr>
                <w:webHidden/>
              </w:rPr>
              <w:fldChar w:fldCharType="begin"/>
            </w:r>
            <w:r>
              <w:rPr>
                <w:webHidden/>
              </w:rPr>
              <w:instrText xml:space="preserve"> PAGEREF _Toc202197669 \h </w:instrText>
            </w:r>
            <w:r>
              <w:rPr>
                <w:webHidden/>
              </w:rPr>
            </w:r>
            <w:r>
              <w:rPr>
                <w:webHidden/>
              </w:rPr>
              <w:fldChar w:fldCharType="separate"/>
            </w:r>
            <w:r w:rsidR="00717E31">
              <w:rPr>
                <w:webHidden/>
              </w:rPr>
              <w:t>148</w:t>
            </w:r>
            <w:r>
              <w:rPr>
                <w:webHidden/>
              </w:rPr>
              <w:fldChar w:fldCharType="end"/>
            </w:r>
          </w:hyperlink>
        </w:p>
        <w:p w14:paraId="5359EA7A" w14:textId="4B4BEC98" w:rsidR="00FC34E5" w:rsidRDefault="00FC34E5" w:rsidP="00FC34E5">
          <w:pPr>
            <w:pStyle w:val="TOC2"/>
            <w:rPr>
              <w:rFonts w:asciiTheme="minorHAnsi" w:eastAsiaTheme="minorEastAsia" w:hAnsiTheme="minorHAnsi"/>
              <w:kern w:val="2"/>
              <w:szCs w:val="24"/>
              <w:lang w:val="en-US"/>
              <w14:ligatures w14:val="standardContextual"/>
            </w:rPr>
          </w:pPr>
          <w:hyperlink w:anchor="_Toc202197670" w:history="1">
            <w:r w:rsidRPr="0082490E">
              <w:rPr>
                <w:rStyle w:val="Hyperlink"/>
              </w:rPr>
              <w:t>Management Process</w:t>
            </w:r>
            <w:r>
              <w:rPr>
                <w:webHidden/>
              </w:rPr>
              <w:tab/>
            </w:r>
            <w:r>
              <w:rPr>
                <w:webHidden/>
              </w:rPr>
              <w:fldChar w:fldCharType="begin"/>
            </w:r>
            <w:r>
              <w:rPr>
                <w:webHidden/>
              </w:rPr>
              <w:instrText xml:space="preserve"> PAGEREF _Toc202197670 \h </w:instrText>
            </w:r>
            <w:r>
              <w:rPr>
                <w:webHidden/>
              </w:rPr>
            </w:r>
            <w:r>
              <w:rPr>
                <w:webHidden/>
              </w:rPr>
              <w:fldChar w:fldCharType="separate"/>
            </w:r>
            <w:r w:rsidR="00717E31">
              <w:rPr>
                <w:webHidden/>
              </w:rPr>
              <w:t>155</w:t>
            </w:r>
            <w:r>
              <w:rPr>
                <w:webHidden/>
              </w:rPr>
              <w:fldChar w:fldCharType="end"/>
            </w:r>
          </w:hyperlink>
        </w:p>
        <w:p w14:paraId="3B852103" w14:textId="024E6826" w:rsidR="00FC34E5" w:rsidRDefault="00FC34E5" w:rsidP="00FC34E5">
          <w:pPr>
            <w:pStyle w:val="TOC2"/>
            <w:rPr>
              <w:rFonts w:asciiTheme="minorHAnsi" w:eastAsiaTheme="minorEastAsia" w:hAnsiTheme="minorHAnsi"/>
              <w:kern w:val="2"/>
              <w:szCs w:val="24"/>
              <w:lang w:val="en-US"/>
              <w14:ligatures w14:val="standardContextual"/>
            </w:rPr>
          </w:pPr>
          <w:hyperlink w:anchor="_Toc202197671" w:history="1">
            <w:r w:rsidRPr="0082490E">
              <w:rPr>
                <w:rStyle w:val="Hyperlink"/>
                <w:rFonts w:cs="Times New Roman"/>
                <w:lang w:val="fr-FR"/>
              </w:rPr>
              <w:t>Face-to-face dialogue</w:t>
            </w:r>
            <w:r>
              <w:rPr>
                <w:webHidden/>
              </w:rPr>
              <w:tab/>
            </w:r>
            <w:r>
              <w:rPr>
                <w:webHidden/>
              </w:rPr>
              <w:fldChar w:fldCharType="begin"/>
            </w:r>
            <w:r>
              <w:rPr>
                <w:webHidden/>
              </w:rPr>
              <w:instrText xml:space="preserve"> PAGEREF _Toc202197671 \h </w:instrText>
            </w:r>
            <w:r>
              <w:rPr>
                <w:webHidden/>
              </w:rPr>
            </w:r>
            <w:r>
              <w:rPr>
                <w:webHidden/>
              </w:rPr>
              <w:fldChar w:fldCharType="separate"/>
            </w:r>
            <w:r w:rsidR="00717E31">
              <w:rPr>
                <w:webHidden/>
              </w:rPr>
              <w:t>156</w:t>
            </w:r>
            <w:r>
              <w:rPr>
                <w:webHidden/>
              </w:rPr>
              <w:fldChar w:fldCharType="end"/>
            </w:r>
          </w:hyperlink>
        </w:p>
        <w:p w14:paraId="7D504FFF" w14:textId="766F5114" w:rsidR="00FC34E5" w:rsidRDefault="00FC34E5" w:rsidP="00FC34E5">
          <w:pPr>
            <w:pStyle w:val="TOC2"/>
            <w:rPr>
              <w:rFonts w:asciiTheme="minorHAnsi" w:eastAsiaTheme="minorEastAsia" w:hAnsiTheme="minorHAnsi"/>
              <w:kern w:val="2"/>
              <w:szCs w:val="24"/>
              <w:lang w:val="en-US"/>
              <w14:ligatures w14:val="standardContextual"/>
            </w:rPr>
          </w:pPr>
          <w:hyperlink w:anchor="_Toc202197672" w:history="1">
            <w:r w:rsidRPr="0082490E">
              <w:rPr>
                <w:rStyle w:val="Hyperlink"/>
                <w:rFonts w:cs="Times New Roman"/>
              </w:rPr>
              <w:t>Intermediate outcome (benefits)</w:t>
            </w:r>
            <w:r>
              <w:rPr>
                <w:webHidden/>
              </w:rPr>
              <w:tab/>
            </w:r>
            <w:r>
              <w:rPr>
                <w:webHidden/>
              </w:rPr>
              <w:fldChar w:fldCharType="begin"/>
            </w:r>
            <w:r>
              <w:rPr>
                <w:webHidden/>
              </w:rPr>
              <w:instrText xml:space="preserve"> PAGEREF _Toc202197672 \h </w:instrText>
            </w:r>
            <w:r>
              <w:rPr>
                <w:webHidden/>
              </w:rPr>
            </w:r>
            <w:r>
              <w:rPr>
                <w:webHidden/>
              </w:rPr>
              <w:fldChar w:fldCharType="separate"/>
            </w:r>
            <w:r w:rsidR="00717E31">
              <w:rPr>
                <w:webHidden/>
              </w:rPr>
              <w:t>161</w:t>
            </w:r>
            <w:r>
              <w:rPr>
                <w:webHidden/>
              </w:rPr>
              <w:fldChar w:fldCharType="end"/>
            </w:r>
          </w:hyperlink>
        </w:p>
        <w:p w14:paraId="0D19D6A9" w14:textId="67F3EC42" w:rsidR="00FC34E5" w:rsidRDefault="00FC34E5" w:rsidP="00FC34E5">
          <w:pPr>
            <w:pStyle w:val="TOC2"/>
            <w:rPr>
              <w:rFonts w:asciiTheme="minorHAnsi" w:eastAsiaTheme="minorEastAsia" w:hAnsiTheme="minorHAnsi"/>
              <w:kern w:val="2"/>
              <w:szCs w:val="24"/>
              <w:lang w:val="en-US"/>
              <w14:ligatures w14:val="standardContextual"/>
            </w:rPr>
          </w:pPr>
          <w:hyperlink w:anchor="_Toc202197673" w:history="1">
            <w:r w:rsidRPr="0082490E">
              <w:rPr>
                <w:rStyle w:val="Hyperlink"/>
                <w:bCs/>
              </w:rPr>
              <w:t>Forestry Commission</w:t>
            </w:r>
            <w:r>
              <w:rPr>
                <w:webHidden/>
              </w:rPr>
              <w:tab/>
            </w:r>
            <w:r>
              <w:rPr>
                <w:webHidden/>
              </w:rPr>
              <w:fldChar w:fldCharType="begin"/>
            </w:r>
            <w:r>
              <w:rPr>
                <w:webHidden/>
              </w:rPr>
              <w:instrText xml:space="preserve"> PAGEREF _Toc202197673 \h </w:instrText>
            </w:r>
            <w:r>
              <w:rPr>
                <w:webHidden/>
              </w:rPr>
            </w:r>
            <w:r>
              <w:rPr>
                <w:webHidden/>
              </w:rPr>
              <w:fldChar w:fldCharType="separate"/>
            </w:r>
            <w:r w:rsidR="00717E31">
              <w:rPr>
                <w:webHidden/>
              </w:rPr>
              <w:t>166</w:t>
            </w:r>
            <w:r>
              <w:rPr>
                <w:webHidden/>
              </w:rPr>
              <w:fldChar w:fldCharType="end"/>
            </w:r>
          </w:hyperlink>
        </w:p>
        <w:p w14:paraId="334CCFF6" w14:textId="1B3CED17" w:rsidR="00FC34E5" w:rsidRDefault="00FC34E5" w:rsidP="00FC34E5">
          <w:pPr>
            <w:pStyle w:val="TOC2"/>
            <w:rPr>
              <w:rFonts w:asciiTheme="minorHAnsi" w:eastAsiaTheme="minorEastAsia" w:hAnsiTheme="minorHAnsi"/>
              <w:kern w:val="2"/>
              <w:szCs w:val="24"/>
              <w:lang w:val="en-US"/>
              <w14:ligatures w14:val="standardContextual"/>
            </w:rPr>
          </w:pPr>
          <w:hyperlink w:anchor="_Toc202197674" w:history="1">
            <w:r w:rsidRPr="0082490E">
              <w:rPr>
                <w:rStyle w:val="Hyperlink"/>
                <w:bCs/>
              </w:rPr>
              <w:t>Community</w:t>
            </w:r>
            <w:r>
              <w:rPr>
                <w:webHidden/>
              </w:rPr>
              <w:tab/>
            </w:r>
            <w:r>
              <w:rPr>
                <w:webHidden/>
              </w:rPr>
              <w:fldChar w:fldCharType="begin"/>
            </w:r>
            <w:r>
              <w:rPr>
                <w:webHidden/>
              </w:rPr>
              <w:instrText xml:space="preserve"> PAGEREF _Toc202197674 \h </w:instrText>
            </w:r>
            <w:r>
              <w:rPr>
                <w:webHidden/>
              </w:rPr>
            </w:r>
            <w:r>
              <w:rPr>
                <w:webHidden/>
              </w:rPr>
              <w:fldChar w:fldCharType="separate"/>
            </w:r>
            <w:r w:rsidR="00717E31">
              <w:rPr>
                <w:webHidden/>
              </w:rPr>
              <w:t>168</w:t>
            </w:r>
            <w:r>
              <w:rPr>
                <w:webHidden/>
              </w:rPr>
              <w:fldChar w:fldCharType="end"/>
            </w:r>
          </w:hyperlink>
        </w:p>
        <w:p w14:paraId="4889FAC8" w14:textId="6C1E33C1" w:rsidR="00FC34E5" w:rsidRDefault="00FC34E5">
          <w:pPr>
            <w:pStyle w:val="TOC1"/>
            <w:rPr>
              <w:rFonts w:asciiTheme="minorHAnsi" w:eastAsiaTheme="minorEastAsia" w:hAnsiTheme="minorHAnsi"/>
              <w:noProof/>
              <w:kern w:val="2"/>
              <w:szCs w:val="24"/>
              <w:lang w:val="en-US"/>
              <w14:ligatures w14:val="standardContextual"/>
            </w:rPr>
          </w:pPr>
          <w:hyperlink w:anchor="_Toc202197675" w:history="1">
            <w:r w:rsidRPr="0082490E">
              <w:rPr>
                <w:rStyle w:val="Hyperlink"/>
                <w:noProof/>
              </w:rPr>
              <w:t>CHAPTER SIX</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76" w:history="1">
            <w:r w:rsidRPr="0082490E">
              <w:rPr>
                <w:rStyle w:val="Hyperlink"/>
                <w:noProof/>
              </w:rPr>
              <w:t xml:space="preserve">EXAMINATION OF THE PERCEIVED SUSTAINABILITY of THE MANAGEMENT OF THE BOBIRI </w:t>
            </w:r>
            <w:r w:rsidR="007A743B">
              <w:rPr>
                <w:rStyle w:val="Hyperlink"/>
                <w:noProof/>
              </w:rPr>
              <w:t xml:space="preserve">            </w:t>
            </w:r>
            <w:r w:rsidRPr="0082490E">
              <w:rPr>
                <w:rStyle w:val="Hyperlink"/>
                <w:noProof/>
              </w:rPr>
              <w:t>AND SOUTHERN SCARP FOREST RESERVE</w:t>
            </w:r>
          </w:hyperlink>
        </w:p>
        <w:p w14:paraId="7066A9F6" w14:textId="08CCC6BB" w:rsidR="00FC34E5" w:rsidRDefault="00FC34E5" w:rsidP="00FC34E5">
          <w:pPr>
            <w:pStyle w:val="TOC2"/>
            <w:rPr>
              <w:rFonts w:asciiTheme="minorHAnsi" w:eastAsiaTheme="minorEastAsia" w:hAnsiTheme="minorHAnsi"/>
              <w:kern w:val="2"/>
              <w:szCs w:val="24"/>
              <w:lang w:val="en-US"/>
              <w14:ligatures w14:val="standardContextual"/>
            </w:rPr>
          </w:pPr>
          <w:hyperlink w:anchor="_Toc202197677" w:history="1">
            <w:r w:rsidRPr="0082490E">
              <w:rPr>
                <w:rStyle w:val="Hyperlink"/>
                <w:rFonts w:cs="Times New Roman"/>
              </w:rPr>
              <w:t>Introduction</w:t>
            </w:r>
            <w:r>
              <w:rPr>
                <w:webHidden/>
              </w:rPr>
              <w:tab/>
            </w:r>
            <w:r>
              <w:rPr>
                <w:webHidden/>
              </w:rPr>
              <w:fldChar w:fldCharType="begin"/>
            </w:r>
            <w:r>
              <w:rPr>
                <w:webHidden/>
              </w:rPr>
              <w:instrText xml:space="preserve"> PAGEREF _Toc202197677 \h </w:instrText>
            </w:r>
            <w:r>
              <w:rPr>
                <w:webHidden/>
              </w:rPr>
            </w:r>
            <w:r>
              <w:rPr>
                <w:webHidden/>
              </w:rPr>
              <w:fldChar w:fldCharType="separate"/>
            </w:r>
            <w:r w:rsidR="00717E31">
              <w:rPr>
                <w:webHidden/>
              </w:rPr>
              <w:t>172</w:t>
            </w:r>
            <w:r>
              <w:rPr>
                <w:webHidden/>
              </w:rPr>
              <w:fldChar w:fldCharType="end"/>
            </w:r>
          </w:hyperlink>
        </w:p>
        <w:p w14:paraId="2D93445F" w14:textId="57FC7A2A" w:rsidR="00FC34E5" w:rsidRDefault="00FC34E5" w:rsidP="00FC34E5">
          <w:pPr>
            <w:pStyle w:val="TOC2"/>
            <w:rPr>
              <w:rFonts w:asciiTheme="minorHAnsi" w:eastAsiaTheme="minorEastAsia" w:hAnsiTheme="minorHAnsi"/>
              <w:kern w:val="2"/>
              <w:szCs w:val="24"/>
              <w:lang w:val="en-US"/>
              <w14:ligatures w14:val="standardContextual"/>
            </w:rPr>
          </w:pPr>
          <w:hyperlink w:anchor="_Toc202197678" w:history="1">
            <w:r w:rsidRPr="0082490E">
              <w:rPr>
                <w:rStyle w:val="Hyperlink"/>
              </w:rPr>
              <w:t>Sustainable Forest Capacity</w:t>
            </w:r>
            <w:r>
              <w:rPr>
                <w:webHidden/>
              </w:rPr>
              <w:tab/>
            </w:r>
            <w:r>
              <w:rPr>
                <w:webHidden/>
              </w:rPr>
              <w:fldChar w:fldCharType="begin"/>
            </w:r>
            <w:r>
              <w:rPr>
                <w:webHidden/>
              </w:rPr>
              <w:instrText xml:space="preserve"> PAGEREF _Toc202197678 \h </w:instrText>
            </w:r>
            <w:r>
              <w:rPr>
                <w:webHidden/>
              </w:rPr>
            </w:r>
            <w:r>
              <w:rPr>
                <w:webHidden/>
              </w:rPr>
              <w:fldChar w:fldCharType="separate"/>
            </w:r>
            <w:r w:rsidR="00717E31">
              <w:rPr>
                <w:webHidden/>
              </w:rPr>
              <w:t>172</w:t>
            </w:r>
            <w:r>
              <w:rPr>
                <w:webHidden/>
              </w:rPr>
              <w:fldChar w:fldCharType="end"/>
            </w:r>
          </w:hyperlink>
        </w:p>
        <w:p w14:paraId="322468C1" w14:textId="0E3E1099" w:rsidR="00FC34E5" w:rsidRDefault="00FC34E5">
          <w:pPr>
            <w:pStyle w:val="TOC1"/>
            <w:rPr>
              <w:rFonts w:asciiTheme="minorHAnsi" w:eastAsiaTheme="minorEastAsia" w:hAnsiTheme="minorHAnsi"/>
              <w:noProof/>
              <w:kern w:val="2"/>
              <w:szCs w:val="24"/>
              <w:lang w:val="en-US"/>
              <w14:ligatures w14:val="standardContextual"/>
            </w:rPr>
          </w:pPr>
          <w:hyperlink w:anchor="_Toc202197679" w:history="1">
            <w:r w:rsidRPr="0082490E">
              <w:rPr>
                <w:rStyle w:val="Hyperlink"/>
                <w:noProof/>
              </w:rPr>
              <w:t>CHAPTER SEVEN</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80" w:history="1">
            <w:r w:rsidRPr="0082490E">
              <w:rPr>
                <w:rStyle w:val="Hyperlink"/>
                <w:noProof/>
              </w:rPr>
              <w:t>LEVELS OF COMMUNITY PARTICIPATION IN THE MANAGEMENT PROCESS AT THE BOBIRI AND SOUTHERN SCARP FOREST RESERVE</w:t>
            </w:r>
          </w:hyperlink>
          <w:r>
            <w:rPr>
              <w:rFonts w:asciiTheme="minorHAnsi" w:eastAsiaTheme="minorEastAsia" w:hAnsiTheme="minorHAnsi"/>
              <w:noProof/>
              <w:kern w:val="2"/>
              <w:szCs w:val="24"/>
              <w:lang w:val="en-US"/>
              <w14:ligatures w14:val="standardContextual"/>
            </w:rPr>
            <w:t xml:space="preserve"> </w:t>
          </w:r>
        </w:p>
        <w:p w14:paraId="39D38736" w14:textId="4CDBC8B5" w:rsidR="00FC34E5" w:rsidRDefault="00FC34E5" w:rsidP="00FC34E5">
          <w:pPr>
            <w:pStyle w:val="TOC2"/>
            <w:rPr>
              <w:rFonts w:asciiTheme="minorHAnsi" w:eastAsiaTheme="minorEastAsia" w:hAnsiTheme="minorHAnsi"/>
              <w:kern w:val="2"/>
              <w:szCs w:val="24"/>
              <w:lang w:val="en-US"/>
              <w14:ligatures w14:val="standardContextual"/>
            </w:rPr>
          </w:pPr>
          <w:hyperlink w:anchor="_Toc202197681" w:history="1">
            <w:r w:rsidRPr="0082490E">
              <w:rPr>
                <w:rStyle w:val="Hyperlink"/>
              </w:rPr>
              <w:t>Introduction</w:t>
            </w:r>
            <w:r>
              <w:rPr>
                <w:webHidden/>
              </w:rPr>
              <w:tab/>
            </w:r>
            <w:r>
              <w:rPr>
                <w:webHidden/>
              </w:rPr>
              <w:fldChar w:fldCharType="begin"/>
            </w:r>
            <w:r>
              <w:rPr>
                <w:webHidden/>
              </w:rPr>
              <w:instrText xml:space="preserve"> PAGEREF _Toc202197681 \h </w:instrText>
            </w:r>
            <w:r>
              <w:rPr>
                <w:webHidden/>
              </w:rPr>
            </w:r>
            <w:r>
              <w:rPr>
                <w:webHidden/>
              </w:rPr>
              <w:fldChar w:fldCharType="separate"/>
            </w:r>
            <w:r w:rsidR="00717E31">
              <w:rPr>
                <w:webHidden/>
              </w:rPr>
              <w:t>188</w:t>
            </w:r>
            <w:r>
              <w:rPr>
                <w:webHidden/>
              </w:rPr>
              <w:fldChar w:fldCharType="end"/>
            </w:r>
          </w:hyperlink>
        </w:p>
        <w:p w14:paraId="057D6F1F" w14:textId="3A21FE0A" w:rsidR="00FC34E5" w:rsidRDefault="00FC34E5" w:rsidP="00FC34E5">
          <w:pPr>
            <w:pStyle w:val="TOC2"/>
            <w:rPr>
              <w:rFonts w:asciiTheme="minorHAnsi" w:eastAsiaTheme="minorEastAsia" w:hAnsiTheme="minorHAnsi"/>
              <w:kern w:val="2"/>
              <w:szCs w:val="24"/>
              <w:lang w:val="en-US"/>
              <w14:ligatures w14:val="standardContextual"/>
            </w:rPr>
          </w:pPr>
          <w:hyperlink w:anchor="_Toc202197682" w:history="1">
            <w:r w:rsidRPr="0082490E">
              <w:rPr>
                <w:rStyle w:val="Hyperlink"/>
              </w:rPr>
              <w:t>Access</w:t>
            </w:r>
            <w:r>
              <w:rPr>
                <w:webHidden/>
              </w:rPr>
              <w:tab/>
            </w:r>
            <w:r>
              <w:rPr>
                <w:webHidden/>
              </w:rPr>
              <w:fldChar w:fldCharType="begin"/>
            </w:r>
            <w:r>
              <w:rPr>
                <w:webHidden/>
              </w:rPr>
              <w:instrText xml:space="preserve"> PAGEREF _Toc202197682 \h </w:instrText>
            </w:r>
            <w:r>
              <w:rPr>
                <w:webHidden/>
              </w:rPr>
            </w:r>
            <w:r>
              <w:rPr>
                <w:webHidden/>
              </w:rPr>
              <w:fldChar w:fldCharType="separate"/>
            </w:r>
            <w:r w:rsidR="00717E31">
              <w:rPr>
                <w:webHidden/>
              </w:rPr>
              <w:t>189</w:t>
            </w:r>
            <w:r>
              <w:rPr>
                <w:webHidden/>
              </w:rPr>
              <w:fldChar w:fldCharType="end"/>
            </w:r>
          </w:hyperlink>
        </w:p>
        <w:p w14:paraId="381CBEB2" w14:textId="4E5A66CB" w:rsidR="00FC34E5" w:rsidRPr="00FC34E5" w:rsidRDefault="00FC34E5" w:rsidP="00FC34E5">
          <w:pPr>
            <w:pStyle w:val="TOC2"/>
            <w:rPr>
              <w:rFonts w:asciiTheme="minorHAnsi" w:eastAsiaTheme="minorEastAsia" w:hAnsiTheme="minorHAnsi"/>
              <w:kern w:val="2"/>
              <w:szCs w:val="24"/>
              <w:lang w:val="en-US"/>
              <w14:ligatures w14:val="standardContextual"/>
            </w:rPr>
          </w:pPr>
          <w:hyperlink w:anchor="_Toc202197685" w:history="1">
            <w:r w:rsidRPr="00FC34E5">
              <w:rPr>
                <w:rStyle w:val="Hyperlink"/>
              </w:rPr>
              <w:t>Awareness</w:t>
            </w:r>
            <w:r w:rsidRPr="00FC34E5">
              <w:rPr>
                <w:webHidden/>
              </w:rPr>
              <w:tab/>
            </w:r>
            <w:r w:rsidRPr="00FC34E5">
              <w:rPr>
                <w:webHidden/>
              </w:rPr>
              <w:fldChar w:fldCharType="begin"/>
            </w:r>
            <w:r w:rsidRPr="00FC34E5">
              <w:rPr>
                <w:webHidden/>
              </w:rPr>
              <w:instrText xml:space="preserve"> PAGEREF _Toc202197685 \h </w:instrText>
            </w:r>
            <w:r w:rsidRPr="00FC34E5">
              <w:rPr>
                <w:webHidden/>
              </w:rPr>
            </w:r>
            <w:r w:rsidRPr="00FC34E5">
              <w:rPr>
                <w:webHidden/>
              </w:rPr>
              <w:fldChar w:fldCharType="separate"/>
            </w:r>
            <w:r w:rsidR="00717E31">
              <w:rPr>
                <w:webHidden/>
              </w:rPr>
              <w:t>191</w:t>
            </w:r>
            <w:r w:rsidRPr="00FC34E5">
              <w:rPr>
                <w:webHidden/>
              </w:rPr>
              <w:fldChar w:fldCharType="end"/>
            </w:r>
          </w:hyperlink>
        </w:p>
        <w:p w14:paraId="001A8198" w14:textId="44C5B79E" w:rsidR="00FC34E5" w:rsidRPr="00FC34E5" w:rsidRDefault="00FC34E5" w:rsidP="00FC34E5">
          <w:pPr>
            <w:pStyle w:val="TOC2"/>
            <w:rPr>
              <w:rFonts w:asciiTheme="minorHAnsi" w:eastAsiaTheme="minorEastAsia" w:hAnsiTheme="minorHAnsi"/>
              <w:kern w:val="2"/>
              <w:szCs w:val="24"/>
              <w:lang w:val="en-US"/>
              <w14:ligatures w14:val="standardContextual"/>
            </w:rPr>
          </w:pPr>
          <w:hyperlink w:anchor="_Toc202197688" w:history="1">
            <w:r w:rsidRPr="00FC34E5">
              <w:rPr>
                <w:rStyle w:val="Hyperlink"/>
              </w:rPr>
              <w:t>Control</w:t>
            </w:r>
            <w:r w:rsidRPr="00FC34E5">
              <w:rPr>
                <w:webHidden/>
              </w:rPr>
              <w:tab/>
            </w:r>
            <w:r w:rsidRPr="00FC34E5">
              <w:rPr>
                <w:webHidden/>
              </w:rPr>
              <w:fldChar w:fldCharType="begin"/>
            </w:r>
            <w:r w:rsidRPr="00FC34E5">
              <w:rPr>
                <w:webHidden/>
              </w:rPr>
              <w:instrText xml:space="preserve"> PAGEREF _Toc202197688 \h </w:instrText>
            </w:r>
            <w:r w:rsidRPr="00FC34E5">
              <w:rPr>
                <w:webHidden/>
              </w:rPr>
            </w:r>
            <w:r w:rsidRPr="00FC34E5">
              <w:rPr>
                <w:webHidden/>
              </w:rPr>
              <w:fldChar w:fldCharType="separate"/>
            </w:r>
            <w:r w:rsidR="00717E31">
              <w:rPr>
                <w:webHidden/>
              </w:rPr>
              <w:t>195</w:t>
            </w:r>
            <w:r w:rsidRPr="00FC34E5">
              <w:rPr>
                <w:webHidden/>
              </w:rPr>
              <w:fldChar w:fldCharType="end"/>
            </w:r>
          </w:hyperlink>
        </w:p>
        <w:p w14:paraId="228BDE4F" w14:textId="645DA896" w:rsidR="00FC34E5" w:rsidRPr="00FC34E5" w:rsidRDefault="00FC34E5" w:rsidP="00FC34E5">
          <w:pPr>
            <w:pStyle w:val="TOC2"/>
            <w:rPr>
              <w:rFonts w:asciiTheme="minorHAnsi" w:eastAsiaTheme="minorEastAsia" w:hAnsiTheme="minorHAnsi"/>
              <w:kern w:val="2"/>
              <w:szCs w:val="24"/>
              <w:lang w:val="en-US"/>
              <w14:ligatures w14:val="standardContextual"/>
            </w:rPr>
          </w:pPr>
          <w:hyperlink w:anchor="_Toc202197690" w:history="1">
            <w:r w:rsidRPr="00FC34E5">
              <w:rPr>
                <w:rStyle w:val="Hyperlink"/>
              </w:rPr>
              <w:t>Benefit</w:t>
            </w:r>
            <w:r w:rsidRPr="00FC34E5">
              <w:rPr>
                <w:webHidden/>
              </w:rPr>
              <w:tab/>
            </w:r>
            <w:r w:rsidRPr="00FC34E5">
              <w:rPr>
                <w:webHidden/>
              </w:rPr>
              <w:fldChar w:fldCharType="begin"/>
            </w:r>
            <w:r w:rsidRPr="00FC34E5">
              <w:rPr>
                <w:webHidden/>
              </w:rPr>
              <w:instrText xml:space="preserve"> PAGEREF _Toc202197690 \h </w:instrText>
            </w:r>
            <w:r w:rsidRPr="00FC34E5">
              <w:rPr>
                <w:webHidden/>
              </w:rPr>
            </w:r>
            <w:r w:rsidRPr="00FC34E5">
              <w:rPr>
                <w:webHidden/>
              </w:rPr>
              <w:fldChar w:fldCharType="separate"/>
            </w:r>
            <w:r w:rsidR="00717E31">
              <w:rPr>
                <w:webHidden/>
              </w:rPr>
              <w:t>197</w:t>
            </w:r>
            <w:r w:rsidRPr="00FC34E5">
              <w:rPr>
                <w:webHidden/>
              </w:rPr>
              <w:fldChar w:fldCharType="end"/>
            </w:r>
          </w:hyperlink>
        </w:p>
        <w:p w14:paraId="422EE956" w14:textId="182328CF" w:rsidR="00FC34E5" w:rsidRDefault="00FC34E5">
          <w:pPr>
            <w:pStyle w:val="TOC1"/>
            <w:rPr>
              <w:rFonts w:asciiTheme="minorHAnsi" w:eastAsiaTheme="minorEastAsia" w:hAnsiTheme="minorHAnsi"/>
              <w:noProof/>
              <w:kern w:val="2"/>
              <w:szCs w:val="24"/>
              <w:lang w:val="en-US"/>
              <w14:ligatures w14:val="standardContextual"/>
            </w:rPr>
          </w:pPr>
          <w:hyperlink w:anchor="_Toc202197693" w:history="1">
            <w:r w:rsidRPr="0082490E">
              <w:rPr>
                <w:rStyle w:val="Hyperlink"/>
                <w:noProof/>
              </w:rPr>
              <w:t>CHAPTER EIGHT</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94" w:history="1">
            <w:r w:rsidRPr="0082490E">
              <w:rPr>
                <w:rStyle w:val="Hyperlink"/>
                <w:noProof/>
              </w:rPr>
              <w:t xml:space="preserve">FACTORS ENHANCing COMMUNITY PARTICIPATION IN THE MANAGEMENT PROCESS AT THE </w:t>
            </w:r>
            <w:r>
              <w:rPr>
                <w:rStyle w:val="Hyperlink"/>
                <w:noProof/>
              </w:rPr>
              <w:t xml:space="preserve">      </w:t>
            </w:r>
            <w:r w:rsidRPr="0082490E">
              <w:rPr>
                <w:rStyle w:val="Hyperlink"/>
                <w:noProof/>
              </w:rPr>
              <w:t>BOBIRI AND SOUTHERN SCARP FOREST RESERVE</w:t>
            </w:r>
          </w:hyperlink>
          <w:r>
            <w:rPr>
              <w:rFonts w:asciiTheme="minorHAnsi" w:eastAsiaTheme="minorEastAsia" w:hAnsiTheme="minorHAnsi"/>
              <w:noProof/>
              <w:kern w:val="2"/>
              <w:szCs w:val="24"/>
              <w:lang w:val="en-US"/>
              <w14:ligatures w14:val="standardContextual"/>
            </w:rPr>
            <w:t xml:space="preserve"> </w:t>
          </w:r>
        </w:p>
        <w:p w14:paraId="1CBA51C0" w14:textId="059539E4" w:rsidR="00FC34E5" w:rsidRDefault="00FC34E5" w:rsidP="00FC34E5">
          <w:pPr>
            <w:pStyle w:val="TOC2"/>
            <w:rPr>
              <w:rFonts w:asciiTheme="minorHAnsi" w:eastAsiaTheme="minorEastAsia" w:hAnsiTheme="minorHAnsi"/>
              <w:kern w:val="2"/>
              <w:szCs w:val="24"/>
              <w:lang w:val="en-US"/>
              <w14:ligatures w14:val="standardContextual"/>
            </w:rPr>
          </w:pPr>
          <w:hyperlink w:anchor="_Toc202197695" w:history="1">
            <w:r w:rsidRPr="0082490E">
              <w:rPr>
                <w:rStyle w:val="Hyperlink"/>
              </w:rPr>
              <w:t>Introduction</w:t>
            </w:r>
            <w:r>
              <w:rPr>
                <w:webHidden/>
              </w:rPr>
              <w:tab/>
            </w:r>
            <w:r>
              <w:rPr>
                <w:webHidden/>
              </w:rPr>
              <w:fldChar w:fldCharType="begin"/>
            </w:r>
            <w:r>
              <w:rPr>
                <w:webHidden/>
              </w:rPr>
              <w:instrText xml:space="preserve"> PAGEREF _Toc202197695 \h </w:instrText>
            </w:r>
            <w:r>
              <w:rPr>
                <w:webHidden/>
              </w:rPr>
            </w:r>
            <w:r>
              <w:rPr>
                <w:webHidden/>
              </w:rPr>
              <w:fldChar w:fldCharType="separate"/>
            </w:r>
            <w:r w:rsidR="00717E31">
              <w:rPr>
                <w:webHidden/>
              </w:rPr>
              <w:t>204</w:t>
            </w:r>
            <w:r>
              <w:rPr>
                <w:webHidden/>
              </w:rPr>
              <w:fldChar w:fldCharType="end"/>
            </w:r>
          </w:hyperlink>
        </w:p>
        <w:p w14:paraId="32DEED7F" w14:textId="05EFD664" w:rsidR="00FC34E5" w:rsidRDefault="00FC34E5" w:rsidP="00FC34E5">
          <w:pPr>
            <w:pStyle w:val="TOC2"/>
            <w:rPr>
              <w:rFonts w:asciiTheme="minorHAnsi" w:eastAsiaTheme="minorEastAsia" w:hAnsiTheme="minorHAnsi"/>
              <w:kern w:val="2"/>
              <w:szCs w:val="24"/>
              <w:lang w:val="en-US"/>
              <w14:ligatures w14:val="standardContextual"/>
            </w:rPr>
          </w:pPr>
          <w:hyperlink w:anchor="_Toc202197696" w:history="1">
            <w:r w:rsidRPr="0082490E">
              <w:rPr>
                <w:rStyle w:val="Hyperlink"/>
                <w:rFonts w:cs="Times New Roman"/>
              </w:rPr>
              <w:t>Socio-Demographic Characteristics of Respondents.</w:t>
            </w:r>
            <w:r>
              <w:rPr>
                <w:webHidden/>
              </w:rPr>
              <w:tab/>
            </w:r>
            <w:r>
              <w:rPr>
                <w:webHidden/>
              </w:rPr>
              <w:fldChar w:fldCharType="begin"/>
            </w:r>
            <w:r>
              <w:rPr>
                <w:webHidden/>
              </w:rPr>
              <w:instrText xml:space="preserve"> PAGEREF _Toc202197696 \h </w:instrText>
            </w:r>
            <w:r>
              <w:rPr>
                <w:webHidden/>
              </w:rPr>
            </w:r>
            <w:r>
              <w:rPr>
                <w:webHidden/>
              </w:rPr>
              <w:fldChar w:fldCharType="separate"/>
            </w:r>
            <w:r w:rsidR="00717E31">
              <w:rPr>
                <w:webHidden/>
              </w:rPr>
              <w:t>204</w:t>
            </w:r>
            <w:r>
              <w:rPr>
                <w:webHidden/>
              </w:rPr>
              <w:fldChar w:fldCharType="end"/>
            </w:r>
          </w:hyperlink>
        </w:p>
        <w:p w14:paraId="06C441D0" w14:textId="248BF1E6" w:rsidR="00FC34E5" w:rsidRDefault="00FC34E5">
          <w:pPr>
            <w:pStyle w:val="TOC1"/>
            <w:rPr>
              <w:rFonts w:asciiTheme="minorHAnsi" w:eastAsiaTheme="minorEastAsia" w:hAnsiTheme="minorHAnsi"/>
              <w:noProof/>
              <w:kern w:val="2"/>
              <w:szCs w:val="24"/>
              <w:lang w:val="en-US"/>
              <w14:ligatures w14:val="standardContextual"/>
            </w:rPr>
          </w:pPr>
          <w:hyperlink w:anchor="_Toc202197697" w:history="1">
            <w:r w:rsidRPr="0082490E">
              <w:rPr>
                <w:rStyle w:val="Hyperlink"/>
                <w:noProof/>
              </w:rPr>
              <w:t>CHAPTER NINE</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698" w:history="1">
            <w:r w:rsidRPr="0082490E">
              <w:rPr>
                <w:rStyle w:val="Hyperlink"/>
                <w:noProof/>
              </w:rPr>
              <w:t>SUMMARY, CONCLUSIONS AND RECOMMENDATIONS</w:t>
            </w:r>
          </w:hyperlink>
        </w:p>
        <w:p w14:paraId="321D6E67" w14:textId="71BE2952" w:rsidR="00FC34E5" w:rsidRDefault="00FC34E5" w:rsidP="00FC34E5">
          <w:pPr>
            <w:pStyle w:val="TOC2"/>
            <w:rPr>
              <w:rFonts w:asciiTheme="minorHAnsi" w:eastAsiaTheme="minorEastAsia" w:hAnsiTheme="minorHAnsi"/>
              <w:kern w:val="2"/>
              <w:szCs w:val="24"/>
              <w:lang w:val="en-US"/>
              <w14:ligatures w14:val="standardContextual"/>
            </w:rPr>
          </w:pPr>
          <w:hyperlink w:anchor="_Toc202197699" w:history="1">
            <w:r w:rsidRPr="0082490E">
              <w:rPr>
                <w:rStyle w:val="Hyperlink"/>
              </w:rPr>
              <w:t>Introduction</w:t>
            </w:r>
            <w:r>
              <w:rPr>
                <w:webHidden/>
              </w:rPr>
              <w:tab/>
            </w:r>
            <w:r>
              <w:rPr>
                <w:webHidden/>
              </w:rPr>
              <w:fldChar w:fldCharType="begin"/>
            </w:r>
            <w:r>
              <w:rPr>
                <w:webHidden/>
              </w:rPr>
              <w:instrText xml:space="preserve"> PAGEREF _Toc202197699 \h </w:instrText>
            </w:r>
            <w:r>
              <w:rPr>
                <w:webHidden/>
              </w:rPr>
            </w:r>
            <w:r>
              <w:rPr>
                <w:webHidden/>
              </w:rPr>
              <w:fldChar w:fldCharType="separate"/>
            </w:r>
            <w:r w:rsidR="00717E31">
              <w:rPr>
                <w:webHidden/>
              </w:rPr>
              <w:t>213</w:t>
            </w:r>
            <w:r>
              <w:rPr>
                <w:webHidden/>
              </w:rPr>
              <w:fldChar w:fldCharType="end"/>
            </w:r>
          </w:hyperlink>
        </w:p>
        <w:p w14:paraId="2E2134D8" w14:textId="7A6D3ED1" w:rsidR="00FC34E5" w:rsidRDefault="00FC34E5" w:rsidP="00FC34E5">
          <w:pPr>
            <w:pStyle w:val="TOC2"/>
            <w:rPr>
              <w:rFonts w:asciiTheme="minorHAnsi" w:eastAsiaTheme="minorEastAsia" w:hAnsiTheme="minorHAnsi"/>
              <w:kern w:val="2"/>
              <w:szCs w:val="24"/>
              <w:lang w:val="en-US"/>
              <w14:ligatures w14:val="standardContextual"/>
            </w:rPr>
          </w:pPr>
          <w:hyperlink w:anchor="_Toc202197700" w:history="1">
            <w:r w:rsidRPr="0082490E">
              <w:rPr>
                <w:rStyle w:val="Hyperlink"/>
              </w:rPr>
              <w:t>Summary of Key Findings</w:t>
            </w:r>
            <w:r>
              <w:rPr>
                <w:webHidden/>
              </w:rPr>
              <w:tab/>
            </w:r>
            <w:r>
              <w:rPr>
                <w:webHidden/>
              </w:rPr>
              <w:fldChar w:fldCharType="begin"/>
            </w:r>
            <w:r>
              <w:rPr>
                <w:webHidden/>
              </w:rPr>
              <w:instrText xml:space="preserve"> PAGEREF _Toc202197700 \h </w:instrText>
            </w:r>
            <w:r>
              <w:rPr>
                <w:webHidden/>
              </w:rPr>
            </w:r>
            <w:r>
              <w:rPr>
                <w:webHidden/>
              </w:rPr>
              <w:fldChar w:fldCharType="separate"/>
            </w:r>
            <w:r w:rsidR="00717E31">
              <w:rPr>
                <w:webHidden/>
              </w:rPr>
              <w:t>214</w:t>
            </w:r>
            <w:r>
              <w:rPr>
                <w:webHidden/>
              </w:rPr>
              <w:fldChar w:fldCharType="end"/>
            </w:r>
          </w:hyperlink>
        </w:p>
        <w:p w14:paraId="4AF50AA0" w14:textId="136B03C6" w:rsidR="00FC34E5" w:rsidRDefault="00FC34E5" w:rsidP="00FC34E5">
          <w:pPr>
            <w:pStyle w:val="TOC2"/>
            <w:rPr>
              <w:rFonts w:asciiTheme="minorHAnsi" w:eastAsiaTheme="minorEastAsia" w:hAnsiTheme="minorHAnsi"/>
              <w:kern w:val="2"/>
              <w:szCs w:val="24"/>
              <w:lang w:val="en-US"/>
              <w14:ligatures w14:val="standardContextual"/>
            </w:rPr>
          </w:pPr>
          <w:hyperlink w:anchor="_Toc202197701" w:history="1">
            <w:r w:rsidRPr="0082490E">
              <w:rPr>
                <w:rStyle w:val="Hyperlink"/>
              </w:rPr>
              <w:t>Conclusion</w:t>
            </w:r>
            <w:r>
              <w:rPr>
                <w:webHidden/>
              </w:rPr>
              <w:tab/>
            </w:r>
            <w:r>
              <w:rPr>
                <w:webHidden/>
              </w:rPr>
              <w:fldChar w:fldCharType="begin"/>
            </w:r>
            <w:r>
              <w:rPr>
                <w:webHidden/>
              </w:rPr>
              <w:instrText xml:space="preserve"> PAGEREF _Toc202197701 \h </w:instrText>
            </w:r>
            <w:r>
              <w:rPr>
                <w:webHidden/>
              </w:rPr>
            </w:r>
            <w:r>
              <w:rPr>
                <w:webHidden/>
              </w:rPr>
              <w:fldChar w:fldCharType="separate"/>
            </w:r>
            <w:r w:rsidR="00717E31">
              <w:rPr>
                <w:webHidden/>
              </w:rPr>
              <w:t>216</w:t>
            </w:r>
            <w:r>
              <w:rPr>
                <w:webHidden/>
              </w:rPr>
              <w:fldChar w:fldCharType="end"/>
            </w:r>
          </w:hyperlink>
        </w:p>
        <w:p w14:paraId="35A572E5" w14:textId="43F9415F" w:rsidR="00FC34E5" w:rsidRDefault="00FC34E5" w:rsidP="00FC34E5">
          <w:pPr>
            <w:pStyle w:val="TOC2"/>
            <w:rPr>
              <w:rFonts w:asciiTheme="minorHAnsi" w:eastAsiaTheme="minorEastAsia" w:hAnsiTheme="minorHAnsi"/>
              <w:kern w:val="2"/>
              <w:szCs w:val="24"/>
              <w:lang w:val="en-US"/>
              <w14:ligatures w14:val="standardContextual"/>
            </w:rPr>
          </w:pPr>
          <w:hyperlink w:anchor="_Toc202197702" w:history="1">
            <w:r w:rsidRPr="0082490E">
              <w:rPr>
                <w:rStyle w:val="Hyperlink"/>
              </w:rPr>
              <w:t>Recommendations</w:t>
            </w:r>
            <w:r>
              <w:rPr>
                <w:webHidden/>
              </w:rPr>
              <w:tab/>
            </w:r>
            <w:r>
              <w:rPr>
                <w:webHidden/>
              </w:rPr>
              <w:fldChar w:fldCharType="begin"/>
            </w:r>
            <w:r>
              <w:rPr>
                <w:webHidden/>
              </w:rPr>
              <w:instrText xml:space="preserve"> PAGEREF _Toc202197702 \h </w:instrText>
            </w:r>
            <w:r>
              <w:rPr>
                <w:webHidden/>
              </w:rPr>
            </w:r>
            <w:r>
              <w:rPr>
                <w:webHidden/>
              </w:rPr>
              <w:fldChar w:fldCharType="separate"/>
            </w:r>
            <w:r w:rsidR="00717E31">
              <w:rPr>
                <w:webHidden/>
              </w:rPr>
              <w:t>218</w:t>
            </w:r>
            <w:r>
              <w:rPr>
                <w:webHidden/>
              </w:rPr>
              <w:fldChar w:fldCharType="end"/>
            </w:r>
          </w:hyperlink>
        </w:p>
        <w:p w14:paraId="27357BB5" w14:textId="5C003434" w:rsidR="00FC34E5" w:rsidRDefault="00FC34E5" w:rsidP="00FC34E5">
          <w:pPr>
            <w:pStyle w:val="TOC2"/>
            <w:rPr>
              <w:rFonts w:asciiTheme="minorHAnsi" w:eastAsiaTheme="minorEastAsia" w:hAnsiTheme="minorHAnsi"/>
              <w:kern w:val="2"/>
              <w:szCs w:val="24"/>
              <w:lang w:val="en-US"/>
              <w14:ligatures w14:val="standardContextual"/>
            </w:rPr>
          </w:pPr>
          <w:hyperlink w:anchor="_Toc202197703" w:history="1">
            <w:r w:rsidRPr="0082490E">
              <w:rPr>
                <w:rStyle w:val="Hyperlink"/>
              </w:rPr>
              <w:t>Suggestion for Further Research</w:t>
            </w:r>
            <w:r>
              <w:rPr>
                <w:webHidden/>
              </w:rPr>
              <w:tab/>
            </w:r>
            <w:r>
              <w:rPr>
                <w:webHidden/>
              </w:rPr>
              <w:fldChar w:fldCharType="begin"/>
            </w:r>
            <w:r>
              <w:rPr>
                <w:webHidden/>
              </w:rPr>
              <w:instrText xml:space="preserve"> PAGEREF _Toc202197703 \h </w:instrText>
            </w:r>
            <w:r>
              <w:rPr>
                <w:webHidden/>
              </w:rPr>
            </w:r>
            <w:r>
              <w:rPr>
                <w:webHidden/>
              </w:rPr>
              <w:fldChar w:fldCharType="separate"/>
            </w:r>
            <w:r w:rsidR="00717E31">
              <w:rPr>
                <w:webHidden/>
              </w:rPr>
              <w:t>224</w:t>
            </w:r>
            <w:r>
              <w:rPr>
                <w:webHidden/>
              </w:rPr>
              <w:fldChar w:fldCharType="end"/>
            </w:r>
          </w:hyperlink>
        </w:p>
        <w:p w14:paraId="49D7914A" w14:textId="30ACDE2F" w:rsidR="00FC34E5" w:rsidRDefault="00FC34E5">
          <w:pPr>
            <w:pStyle w:val="TOC1"/>
            <w:rPr>
              <w:rFonts w:asciiTheme="minorHAnsi" w:eastAsiaTheme="minorEastAsia" w:hAnsiTheme="minorHAnsi"/>
              <w:noProof/>
              <w:kern w:val="2"/>
              <w:szCs w:val="24"/>
              <w:lang w:val="en-US"/>
              <w14:ligatures w14:val="standardContextual"/>
            </w:rPr>
          </w:pPr>
          <w:hyperlink w:anchor="_Toc202197704" w:history="1">
            <w:r w:rsidRPr="0082490E">
              <w:rPr>
                <w:rStyle w:val="Hyperlink"/>
                <w:noProof/>
              </w:rPr>
              <w:t>REFERENCES</w:t>
            </w:r>
            <w:r>
              <w:rPr>
                <w:noProof/>
                <w:webHidden/>
              </w:rPr>
              <w:tab/>
            </w:r>
            <w:r>
              <w:rPr>
                <w:noProof/>
                <w:webHidden/>
              </w:rPr>
              <w:fldChar w:fldCharType="begin"/>
            </w:r>
            <w:r>
              <w:rPr>
                <w:noProof/>
                <w:webHidden/>
              </w:rPr>
              <w:instrText xml:space="preserve"> PAGEREF _Toc202197704 \h </w:instrText>
            </w:r>
            <w:r>
              <w:rPr>
                <w:noProof/>
                <w:webHidden/>
              </w:rPr>
            </w:r>
            <w:r>
              <w:rPr>
                <w:noProof/>
                <w:webHidden/>
              </w:rPr>
              <w:fldChar w:fldCharType="separate"/>
            </w:r>
            <w:r w:rsidR="00717E31">
              <w:rPr>
                <w:noProof/>
                <w:webHidden/>
              </w:rPr>
              <w:t>227</w:t>
            </w:r>
            <w:r>
              <w:rPr>
                <w:noProof/>
                <w:webHidden/>
              </w:rPr>
              <w:fldChar w:fldCharType="end"/>
            </w:r>
          </w:hyperlink>
        </w:p>
        <w:p w14:paraId="6DEDA91C" w14:textId="5DC5717B" w:rsidR="00FC34E5" w:rsidRDefault="00DC2D95">
          <w:pPr>
            <w:pStyle w:val="TOC1"/>
            <w:rPr>
              <w:rFonts w:asciiTheme="minorHAnsi" w:eastAsiaTheme="minorEastAsia" w:hAnsiTheme="minorHAnsi"/>
              <w:noProof/>
              <w:kern w:val="2"/>
              <w:szCs w:val="24"/>
              <w:lang w:val="en-US"/>
              <w14:ligatures w14:val="standardContextual"/>
            </w:rPr>
          </w:pPr>
          <w:hyperlink w:anchor="_Toc202197705" w:history="1">
            <w:r w:rsidRPr="0082490E">
              <w:rPr>
                <w:rStyle w:val="Hyperlink"/>
                <w:noProof/>
              </w:rPr>
              <w:t>APPENDICES</w:t>
            </w:r>
            <w:r>
              <w:rPr>
                <w:noProof/>
                <w:webHidden/>
              </w:rPr>
              <w:tab/>
            </w:r>
            <w:r w:rsidR="00FC34E5">
              <w:rPr>
                <w:noProof/>
                <w:webHidden/>
              </w:rPr>
              <w:fldChar w:fldCharType="begin"/>
            </w:r>
            <w:r w:rsidR="00FC34E5">
              <w:rPr>
                <w:noProof/>
                <w:webHidden/>
              </w:rPr>
              <w:instrText xml:space="preserve"> PAGEREF _Toc202197705 \h </w:instrText>
            </w:r>
            <w:r w:rsidR="00FC34E5">
              <w:rPr>
                <w:noProof/>
                <w:webHidden/>
              </w:rPr>
            </w:r>
            <w:r w:rsidR="00FC34E5">
              <w:rPr>
                <w:noProof/>
                <w:webHidden/>
              </w:rPr>
              <w:fldChar w:fldCharType="separate"/>
            </w:r>
            <w:r w:rsidR="00717E31">
              <w:rPr>
                <w:noProof/>
                <w:webHidden/>
              </w:rPr>
              <w:t>264</w:t>
            </w:r>
            <w:r w:rsidR="00FC34E5">
              <w:rPr>
                <w:noProof/>
                <w:webHidden/>
              </w:rPr>
              <w:fldChar w:fldCharType="end"/>
            </w:r>
          </w:hyperlink>
        </w:p>
        <w:p w14:paraId="56ACD7A8" w14:textId="51389DF7" w:rsidR="00FC34E5" w:rsidRDefault="00FC34E5">
          <w:pPr>
            <w:pStyle w:val="TOC1"/>
            <w:rPr>
              <w:rFonts w:asciiTheme="minorHAnsi" w:eastAsiaTheme="minorEastAsia" w:hAnsiTheme="minorHAnsi"/>
              <w:noProof/>
              <w:kern w:val="2"/>
              <w:szCs w:val="24"/>
              <w:lang w:val="en-US"/>
              <w14:ligatures w14:val="standardContextual"/>
            </w:rPr>
          </w:pPr>
          <w:hyperlink w:anchor="_Toc202197706" w:history="1">
            <w:r w:rsidRPr="0082490E">
              <w:rPr>
                <w:rStyle w:val="Hyperlink"/>
                <w:noProof/>
              </w:rPr>
              <w:t>APPENDIX A</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707" w:history="1">
            <w:r w:rsidRPr="0082490E">
              <w:rPr>
                <w:rStyle w:val="Hyperlink"/>
                <w:rFonts w:eastAsia="Calibri"/>
                <w:noProof/>
              </w:rPr>
              <w:t>I</w:t>
            </w:r>
            <w:r w:rsidRPr="0082490E">
              <w:rPr>
                <w:rStyle w:val="Hyperlink"/>
                <w:rFonts w:eastAsia="Calibri"/>
                <w:noProof/>
                <w:spacing w:val="-2"/>
              </w:rPr>
              <w:t>N</w:t>
            </w:r>
            <w:r w:rsidRPr="0082490E">
              <w:rPr>
                <w:rStyle w:val="Hyperlink"/>
                <w:rFonts w:eastAsia="Calibri"/>
                <w:noProof/>
              </w:rPr>
              <w:t>T</w:t>
            </w:r>
            <w:r w:rsidRPr="0082490E">
              <w:rPr>
                <w:rStyle w:val="Hyperlink"/>
                <w:rFonts w:eastAsia="Calibri"/>
                <w:noProof/>
                <w:spacing w:val="-1"/>
              </w:rPr>
              <w:t>ER</w:t>
            </w:r>
            <w:r w:rsidRPr="0082490E">
              <w:rPr>
                <w:rStyle w:val="Hyperlink"/>
                <w:rFonts w:eastAsia="Calibri"/>
                <w:noProof/>
              </w:rPr>
              <w:t xml:space="preserve">VIEW </w:t>
            </w:r>
            <w:r w:rsidRPr="0082490E">
              <w:rPr>
                <w:rStyle w:val="Hyperlink"/>
                <w:rFonts w:eastAsia="Calibri"/>
                <w:noProof/>
                <w:w w:val="99"/>
              </w:rPr>
              <w:t>GUIDE</w:t>
            </w:r>
            <w:r w:rsidRPr="0082490E">
              <w:rPr>
                <w:rStyle w:val="Hyperlink"/>
                <w:rFonts w:eastAsia="Calibri"/>
                <w:noProof/>
              </w:rPr>
              <w:t xml:space="preserve"> (UG, DA, TA, FORIG </w:t>
            </w:r>
            <w:r>
              <w:rPr>
                <w:rStyle w:val="Hyperlink"/>
                <w:rFonts w:eastAsia="Calibri"/>
                <w:noProof/>
              </w:rPr>
              <w:t xml:space="preserve">                     </w:t>
            </w:r>
            <w:r w:rsidRPr="0082490E">
              <w:rPr>
                <w:rStyle w:val="Hyperlink"/>
                <w:rFonts w:eastAsia="Calibri"/>
                <w:noProof/>
              </w:rPr>
              <w:t>AND MU39)</w:t>
            </w:r>
            <w:r>
              <w:rPr>
                <w:noProof/>
                <w:webHidden/>
              </w:rPr>
              <w:tab/>
            </w:r>
            <w:r>
              <w:rPr>
                <w:noProof/>
                <w:webHidden/>
              </w:rPr>
              <w:fldChar w:fldCharType="begin"/>
            </w:r>
            <w:r>
              <w:rPr>
                <w:noProof/>
                <w:webHidden/>
              </w:rPr>
              <w:instrText xml:space="preserve"> PAGEREF _Toc202197707 \h </w:instrText>
            </w:r>
            <w:r>
              <w:rPr>
                <w:noProof/>
                <w:webHidden/>
              </w:rPr>
            </w:r>
            <w:r>
              <w:rPr>
                <w:noProof/>
                <w:webHidden/>
              </w:rPr>
              <w:fldChar w:fldCharType="separate"/>
            </w:r>
            <w:r w:rsidR="00717E31">
              <w:rPr>
                <w:noProof/>
                <w:webHidden/>
              </w:rPr>
              <w:t>264</w:t>
            </w:r>
            <w:r>
              <w:rPr>
                <w:noProof/>
                <w:webHidden/>
              </w:rPr>
              <w:fldChar w:fldCharType="end"/>
            </w:r>
          </w:hyperlink>
        </w:p>
        <w:p w14:paraId="3174359A" w14:textId="1AF697D9" w:rsidR="00FC34E5" w:rsidRDefault="00FC34E5">
          <w:pPr>
            <w:pStyle w:val="TOC1"/>
            <w:rPr>
              <w:rFonts w:asciiTheme="minorHAnsi" w:eastAsiaTheme="minorEastAsia" w:hAnsiTheme="minorHAnsi"/>
              <w:noProof/>
              <w:kern w:val="2"/>
              <w:szCs w:val="24"/>
              <w:lang w:val="en-US"/>
              <w14:ligatures w14:val="standardContextual"/>
            </w:rPr>
          </w:pPr>
          <w:hyperlink w:anchor="_Toc202197708" w:history="1">
            <w:r w:rsidRPr="0082490E">
              <w:rPr>
                <w:rStyle w:val="Hyperlink"/>
                <w:noProof/>
              </w:rPr>
              <w:t>AppendiX B</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709" w:history="1">
            <w:r w:rsidRPr="0082490E">
              <w:rPr>
                <w:rStyle w:val="Hyperlink"/>
                <w:noProof/>
              </w:rPr>
              <w:t>FOCUS GROUP DISCUSSION GUIDE</w:t>
            </w:r>
            <w:r>
              <w:rPr>
                <w:noProof/>
                <w:webHidden/>
              </w:rPr>
              <w:tab/>
            </w:r>
            <w:r>
              <w:rPr>
                <w:noProof/>
                <w:webHidden/>
              </w:rPr>
              <w:fldChar w:fldCharType="begin"/>
            </w:r>
            <w:r>
              <w:rPr>
                <w:noProof/>
                <w:webHidden/>
              </w:rPr>
              <w:instrText xml:space="preserve"> PAGEREF _Toc202197709 \h </w:instrText>
            </w:r>
            <w:r>
              <w:rPr>
                <w:noProof/>
                <w:webHidden/>
              </w:rPr>
            </w:r>
            <w:r>
              <w:rPr>
                <w:noProof/>
                <w:webHidden/>
              </w:rPr>
              <w:fldChar w:fldCharType="separate"/>
            </w:r>
            <w:r w:rsidR="00717E31">
              <w:rPr>
                <w:noProof/>
                <w:webHidden/>
              </w:rPr>
              <w:t>268</w:t>
            </w:r>
            <w:r>
              <w:rPr>
                <w:noProof/>
                <w:webHidden/>
              </w:rPr>
              <w:fldChar w:fldCharType="end"/>
            </w:r>
          </w:hyperlink>
        </w:p>
        <w:p w14:paraId="76DE8586" w14:textId="132CCC87" w:rsidR="00FC34E5" w:rsidRDefault="00FC34E5">
          <w:pPr>
            <w:pStyle w:val="TOC1"/>
            <w:rPr>
              <w:rFonts w:asciiTheme="minorHAnsi" w:eastAsiaTheme="minorEastAsia" w:hAnsiTheme="minorHAnsi"/>
              <w:noProof/>
              <w:kern w:val="2"/>
              <w:szCs w:val="24"/>
              <w:lang w:val="en-US"/>
              <w14:ligatures w14:val="standardContextual"/>
            </w:rPr>
          </w:pPr>
          <w:hyperlink w:anchor="_Toc202197710" w:history="1">
            <w:r w:rsidRPr="0082490E">
              <w:rPr>
                <w:rStyle w:val="Hyperlink"/>
                <w:noProof/>
              </w:rPr>
              <w:t>AppendiX C</w:t>
            </w:r>
            <w:r>
              <w:rPr>
                <w:noProof/>
                <w:webHidden/>
              </w:rPr>
              <w:t>:</w:t>
            </w:r>
          </w:hyperlink>
          <w:r>
            <w:rPr>
              <w:rFonts w:asciiTheme="minorHAnsi" w:eastAsiaTheme="minorEastAsia" w:hAnsiTheme="minorHAnsi"/>
              <w:noProof/>
              <w:kern w:val="2"/>
              <w:szCs w:val="24"/>
              <w:lang w:val="en-US"/>
              <w14:ligatures w14:val="standardContextual"/>
            </w:rPr>
            <w:t xml:space="preserve"> </w:t>
          </w:r>
          <w:hyperlink w:anchor="_Toc202197711" w:history="1">
            <w:r w:rsidRPr="0082490E">
              <w:rPr>
                <w:rStyle w:val="Hyperlink"/>
                <w:noProof/>
              </w:rPr>
              <w:t>QUESTIONNAIRE</w:t>
            </w:r>
            <w:r>
              <w:rPr>
                <w:noProof/>
                <w:webHidden/>
              </w:rPr>
              <w:tab/>
            </w:r>
            <w:r>
              <w:rPr>
                <w:noProof/>
                <w:webHidden/>
              </w:rPr>
              <w:fldChar w:fldCharType="begin"/>
            </w:r>
            <w:r>
              <w:rPr>
                <w:noProof/>
                <w:webHidden/>
              </w:rPr>
              <w:instrText xml:space="preserve"> PAGEREF _Toc202197711 \h </w:instrText>
            </w:r>
            <w:r>
              <w:rPr>
                <w:noProof/>
                <w:webHidden/>
              </w:rPr>
            </w:r>
            <w:r>
              <w:rPr>
                <w:noProof/>
                <w:webHidden/>
              </w:rPr>
              <w:fldChar w:fldCharType="separate"/>
            </w:r>
            <w:r w:rsidR="00717E31">
              <w:rPr>
                <w:noProof/>
                <w:webHidden/>
              </w:rPr>
              <w:t>272</w:t>
            </w:r>
            <w:r>
              <w:rPr>
                <w:noProof/>
                <w:webHidden/>
              </w:rPr>
              <w:fldChar w:fldCharType="end"/>
            </w:r>
          </w:hyperlink>
        </w:p>
        <w:p w14:paraId="51B566B5" w14:textId="31CB441B" w:rsidR="00FC34E5" w:rsidRDefault="00FC34E5">
          <w:pPr>
            <w:pStyle w:val="TOC1"/>
            <w:rPr>
              <w:rFonts w:asciiTheme="minorHAnsi" w:eastAsiaTheme="minorEastAsia" w:hAnsiTheme="minorHAnsi"/>
              <w:noProof/>
              <w:kern w:val="2"/>
              <w:szCs w:val="24"/>
              <w:lang w:val="en-US"/>
              <w14:ligatures w14:val="standardContextual"/>
            </w:rPr>
          </w:pPr>
          <w:hyperlink w:anchor="_Toc202197712" w:history="1">
            <w:r w:rsidRPr="0082490E">
              <w:rPr>
                <w:rStyle w:val="Hyperlink"/>
                <w:noProof/>
              </w:rPr>
              <w:t>Appendix D</w:t>
            </w:r>
            <w:r>
              <w:rPr>
                <w:rStyle w:val="Hyperlink"/>
                <w:noProof/>
              </w:rPr>
              <w:t>: ETHICAL CLEARANCE</w:t>
            </w:r>
            <w:r>
              <w:rPr>
                <w:noProof/>
                <w:webHidden/>
              </w:rPr>
              <w:tab/>
            </w:r>
            <w:r>
              <w:rPr>
                <w:noProof/>
                <w:webHidden/>
              </w:rPr>
              <w:fldChar w:fldCharType="begin"/>
            </w:r>
            <w:r>
              <w:rPr>
                <w:noProof/>
                <w:webHidden/>
              </w:rPr>
              <w:instrText xml:space="preserve"> PAGEREF _Toc202197712 \h </w:instrText>
            </w:r>
            <w:r>
              <w:rPr>
                <w:noProof/>
                <w:webHidden/>
              </w:rPr>
            </w:r>
            <w:r>
              <w:rPr>
                <w:noProof/>
                <w:webHidden/>
              </w:rPr>
              <w:fldChar w:fldCharType="separate"/>
            </w:r>
            <w:r w:rsidR="00717E31">
              <w:rPr>
                <w:noProof/>
                <w:webHidden/>
              </w:rPr>
              <w:t>282</w:t>
            </w:r>
            <w:r>
              <w:rPr>
                <w:noProof/>
                <w:webHidden/>
              </w:rPr>
              <w:fldChar w:fldCharType="end"/>
            </w:r>
          </w:hyperlink>
        </w:p>
        <w:p w14:paraId="30178574" w14:textId="3731FF80" w:rsidR="00FB0B90" w:rsidRPr="00755789" w:rsidRDefault="00FB0B90" w:rsidP="00755789">
          <w:pPr>
            <w:ind w:left="0" w:firstLine="0"/>
            <w:rPr>
              <w:rFonts w:cs="Times New Roman"/>
              <w:szCs w:val="24"/>
            </w:rPr>
          </w:pPr>
          <w:r w:rsidRPr="00755789">
            <w:rPr>
              <w:rFonts w:cs="Times New Roman"/>
              <w:bCs/>
              <w:noProof/>
              <w:szCs w:val="24"/>
            </w:rPr>
            <w:fldChar w:fldCharType="end"/>
          </w:r>
        </w:p>
      </w:sdtContent>
    </w:sdt>
    <w:p w14:paraId="47F52044" w14:textId="3C8809C9" w:rsidR="00010F68" w:rsidRDefault="00010F68" w:rsidP="00BB4078">
      <w:pPr>
        <w:pStyle w:val="Heading1"/>
        <w:ind w:left="0"/>
      </w:pPr>
      <w:bookmarkStart w:id="9" w:name="_Toc202197580"/>
      <w:r>
        <w:lastRenderedPageBreak/>
        <w:t>LIST OF TABLES</w:t>
      </w:r>
      <w:bookmarkEnd w:id="9"/>
    </w:p>
    <w:p w14:paraId="21E3B81B" w14:textId="2DC0AC6E" w:rsidR="00BC5B96" w:rsidRDefault="00BC5B96" w:rsidP="00BC5B96">
      <w:pPr>
        <w:spacing w:after="0"/>
        <w:ind w:left="0" w:firstLine="0"/>
      </w:pPr>
      <w:r w:rsidRPr="0043479E">
        <w:t>Table</w:t>
      </w:r>
      <w:r w:rsidRPr="0043479E">
        <w:tab/>
      </w:r>
      <w:r w:rsidRPr="0043479E">
        <w:tab/>
      </w:r>
      <w:r w:rsidRPr="0043479E">
        <w:tab/>
      </w:r>
      <w:r w:rsidRPr="0043479E">
        <w:tab/>
      </w:r>
      <w:r w:rsidRPr="0043479E">
        <w:tab/>
      </w:r>
      <w:r w:rsidRPr="0043479E">
        <w:tab/>
      </w:r>
      <w:r w:rsidRPr="0043479E">
        <w:tab/>
      </w:r>
      <w:r w:rsidR="008D3A3F" w:rsidRPr="0043479E">
        <w:tab/>
        <w:t xml:space="preserve">          </w:t>
      </w:r>
      <w:r w:rsidRPr="0043479E">
        <w:t>Page</w:t>
      </w:r>
    </w:p>
    <w:p w14:paraId="302DB05C" w14:textId="50B290C5"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r>
        <w:fldChar w:fldCharType="begin"/>
      </w:r>
      <w:r>
        <w:instrText xml:space="preserve"> TOC \h \z \t "LT" \c </w:instrText>
      </w:r>
      <w:r>
        <w:fldChar w:fldCharType="separate"/>
      </w:r>
      <w:hyperlink w:anchor="_Toc197335665" w:history="1">
        <w:r>
          <w:rPr>
            <w:rStyle w:val="Hyperlink"/>
            <w:noProof/>
          </w:rPr>
          <w:t>1</w:t>
        </w:r>
        <w:r>
          <w:rPr>
            <w:rStyle w:val="Hyperlink"/>
            <w:noProof/>
          </w:rPr>
          <w:tab/>
        </w:r>
        <w:r w:rsidRPr="00841396">
          <w:rPr>
            <w:rStyle w:val="Hyperlink"/>
            <w:noProof/>
          </w:rPr>
          <w:t>Sample Distribution for Key Informants</w:t>
        </w:r>
        <w:r>
          <w:rPr>
            <w:noProof/>
            <w:webHidden/>
          </w:rPr>
          <w:tab/>
        </w:r>
        <w:r>
          <w:rPr>
            <w:noProof/>
            <w:webHidden/>
          </w:rPr>
          <w:fldChar w:fldCharType="begin"/>
        </w:r>
        <w:r>
          <w:rPr>
            <w:noProof/>
            <w:webHidden/>
          </w:rPr>
          <w:instrText xml:space="preserve"> PAGEREF _Toc197335665 \h </w:instrText>
        </w:r>
        <w:r>
          <w:rPr>
            <w:noProof/>
            <w:webHidden/>
          </w:rPr>
        </w:r>
        <w:r>
          <w:rPr>
            <w:noProof/>
            <w:webHidden/>
          </w:rPr>
          <w:fldChar w:fldCharType="separate"/>
        </w:r>
        <w:r w:rsidR="00717E31">
          <w:rPr>
            <w:noProof/>
            <w:webHidden/>
          </w:rPr>
          <w:t>118</w:t>
        </w:r>
        <w:r>
          <w:rPr>
            <w:noProof/>
            <w:webHidden/>
          </w:rPr>
          <w:fldChar w:fldCharType="end"/>
        </w:r>
      </w:hyperlink>
    </w:p>
    <w:p w14:paraId="63D377FC" w14:textId="62468FA9"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66" w:history="1">
        <w:r>
          <w:rPr>
            <w:rStyle w:val="Hyperlink"/>
            <w:noProof/>
          </w:rPr>
          <w:t>2</w:t>
        </w:r>
        <w:r>
          <w:rPr>
            <w:rStyle w:val="Hyperlink"/>
            <w:noProof/>
          </w:rPr>
          <w:tab/>
        </w:r>
        <w:r w:rsidRPr="00841396">
          <w:rPr>
            <w:rStyle w:val="Hyperlink"/>
            <w:noProof/>
          </w:rPr>
          <w:t>Sample Size Distribution in the Study Area.</w:t>
        </w:r>
        <w:r>
          <w:rPr>
            <w:noProof/>
            <w:webHidden/>
          </w:rPr>
          <w:tab/>
        </w:r>
        <w:r>
          <w:rPr>
            <w:noProof/>
            <w:webHidden/>
          </w:rPr>
          <w:fldChar w:fldCharType="begin"/>
        </w:r>
        <w:r>
          <w:rPr>
            <w:noProof/>
            <w:webHidden/>
          </w:rPr>
          <w:instrText xml:space="preserve"> PAGEREF _Toc197335666 \h </w:instrText>
        </w:r>
        <w:r>
          <w:rPr>
            <w:noProof/>
            <w:webHidden/>
          </w:rPr>
        </w:r>
        <w:r>
          <w:rPr>
            <w:noProof/>
            <w:webHidden/>
          </w:rPr>
          <w:fldChar w:fldCharType="separate"/>
        </w:r>
        <w:r w:rsidR="00717E31">
          <w:rPr>
            <w:noProof/>
            <w:webHidden/>
          </w:rPr>
          <w:t>121</w:t>
        </w:r>
        <w:r>
          <w:rPr>
            <w:noProof/>
            <w:webHidden/>
          </w:rPr>
          <w:fldChar w:fldCharType="end"/>
        </w:r>
      </w:hyperlink>
    </w:p>
    <w:p w14:paraId="42AEF216" w14:textId="181C471F" w:rsidR="00D03F07" w:rsidRDefault="00D03F07" w:rsidP="00D03F07">
      <w:pPr>
        <w:pStyle w:val="TableofFigures"/>
        <w:tabs>
          <w:tab w:val="right" w:pos="7576"/>
        </w:tabs>
        <w:ind w:left="720" w:hanging="720"/>
        <w:jc w:val="left"/>
        <w:rPr>
          <w:rFonts w:asciiTheme="minorHAnsi" w:eastAsiaTheme="minorEastAsia" w:hAnsiTheme="minorHAnsi"/>
          <w:noProof/>
          <w:sz w:val="22"/>
          <w:lang w:val="en-US" w:eastAsia="ja-JP"/>
        </w:rPr>
      </w:pPr>
      <w:hyperlink w:anchor="_Toc197335667" w:history="1">
        <w:r>
          <w:rPr>
            <w:rStyle w:val="Hyperlink"/>
            <w:noProof/>
          </w:rPr>
          <w:t>3</w:t>
        </w:r>
        <w:r>
          <w:rPr>
            <w:rStyle w:val="Hyperlink"/>
            <w:noProof/>
          </w:rPr>
          <w:tab/>
        </w:r>
        <w:r w:rsidRPr="00841396">
          <w:rPr>
            <w:rStyle w:val="Hyperlink"/>
            <w:noProof/>
          </w:rPr>
          <w:t xml:space="preserve">Number and composition of focus group discussants in the study </w:t>
        </w:r>
        <w:r>
          <w:rPr>
            <w:rStyle w:val="Hyperlink"/>
            <w:noProof/>
          </w:rPr>
          <w:t xml:space="preserve">      </w:t>
        </w:r>
        <w:r w:rsidRPr="00841396">
          <w:rPr>
            <w:rStyle w:val="Hyperlink"/>
            <w:noProof/>
          </w:rPr>
          <w:t>areas</w:t>
        </w:r>
        <w:r>
          <w:rPr>
            <w:noProof/>
            <w:webHidden/>
          </w:rPr>
          <w:tab/>
        </w:r>
        <w:r>
          <w:rPr>
            <w:noProof/>
            <w:webHidden/>
          </w:rPr>
          <w:fldChar w:fldCharType="begin"/>
        </w:r>
        <w:r>
          <w:rPr>
            <w:noProof/>
            <w:webHidden/>
          </w:rPr>
          <w:instrText xml:space="preserve"> PAGEREF _Toc197335667 \h </w:instrText>
        </w:r>
        <w:r>
          <w:rPr>
            <w:noProof/>
            <w:webHidden/>
          </w:rPr>
        </w:r>
        <w:r>
          <w:rPr>
            <w:noProof/>
            <w:webHidden/>
          </w:rPr>
          <w:fldChar w:fldCharType="separate"/>
        </w:r>
        <w:r w:rsidR="00717E31">
          <w:rPr>
            <w:noProof/>
            <w:webHidden/>
          </w:rPr>
          <w:t>126</w:t>
        </w:r>
        <w:r>
          <w:rPr>
            <w:noProof/>
            <w:webHidden/>
          </w:rPr>
          <w:fldChar w:fldCharType="end"/>
        </w:r>
      </w:hyperlink>
    </w:p>
    <w:p w14:paraId="4C8A1347" w14:textId="4DDC7C09"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68" w:history="1">
        <w:r>
          <w:rPr>
            <w:rStyle w:val="Hyperlink"/>
            <w:noProof/>
          </w:rPr>
          <w:t>4</w:t>
        </w:r>
        <w:r>
          <w:rPr>
            <w:rStyle w:val="Hyperlink"/>
            <w:noProof/>
          </w:rPr>
          <w:tab/>
        </w:r>
        <w:r w:rsidRPr="00841396">
          <w:rPr>
            <w:rStyle w:val="Hyperlink"/>
            <w:noProof/>
          </w:rPr>
          <w:t>Ladder Participation (Arnstein, 1969)</w:t>
        </w:r>
        <w:r>
          <w:rPr>
            <w:noProof/>
            <w:webHidden/>
          </w:rPr>
          <w:tab/>
        </w:r>
        <w:r>
          <w:rPr>
            <w:noProof/>
            <w:webHidden/>
          </w:rPr>
          <w:fldChar w:fldCharType="begin"/>
        </w:r>
        <w:r>
          <w:rPr>
            <w:noProof/>
            <w:webHidden/>
          </w:rPr>
          <w:instrText xml:space="preserve"> PAGEREF _Toc197335668 \h </w:instrText>
        </w:r>
        <w:r>
          <w:rPr>
            <w:noProof/>
            <w:webHidden/>
          </w:rPr>
        </w:r>
        <w:r>
          <w:rPr>
            <w:noProof/>
            <w:webHidden/>
          </w:rPr>
          <w:fldChar w:fldCharType="separate"/>
        </w:r>
        <w:r w:rsidR="00717E31">
          <w:rPr>
            <w:noProof/>
            <w:webHidden/>
          </w:rPr>
          <w:t>131</w:t>
        </w:r>
        <w:r>
          <w:rPr>
            <w:noProof/>
            <w:webHidden/>
          </w:rPr>
          <w:fldChar w:fldCharType="end"/>
        </w:r>
      </w:hyperlink>
    </w:p>
    <w:p w14:paraId="68126A1A" w14:textId="7869675C"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69" w:history="1">
        <w:r>
          <w:rPr>
            <w:rStyle w:val="Hyperlink"/>
            <w:noProof/>
          </w:rPr>
          <w:t>5</w:t>
        </w:r>
        <w:r>
          <w:rPr>
            <w:rStyle w:val="Hyperlink"/>
            <w:noProof/>
          </w:rPr>
          <w:tab/>
        </w:r>
        <w:r w:rsidRPr="00841396">
          <w:rPr>
            <w:rStyle w:val="Hyperlink"/>
            <w:noProof/>
          </w:rPr>
          <w:t>Test of Parallel Lines</w:t>
        </w:r>
        <w:r>
          <w:rPr>
            <w:noProof/>
            <w:webHidden/>
          </w:rPr>
          <w:tab/>
        </w:r>
        <w:r>
          <w:rPr>
            <w:noProof/>
            <w:webHidden/>
          </w:rPr>
          <w:fldChar w:fldCharType="begin"/>
        </w:r>
        <w:r>
          <w:rPr>
            <w:noProof/>
            <w:webHidden/>
          </w:rPr>
          <w:instrText xml:space="preserve"> PAGEREF _Toc197335669 \h </w:instrText>
        </w:r>
        <w:r>
          <w:rPr>
            <w:noProof/>
            <w:webHidden/>
          </w:rPr>
        </w:r>
        <w:r>
          <w:rPr>
            <w:noProof/>
            <w:webHidden/>
          </w:rPr>
          <w:fldChar w:fldCharType="separate"/>
        </w:r>
        <w:r w:rsidR="00717E31">
          <w:rPr>
            <w:noProof/>
            <w:webHidden/>
          </w:rPr>
          <w:t>133</w:t>
        </w:r>
        <w:r>
          <w:rPr>
            <w:noProof/>
            <w:webHidden/>
          </w:rPr>
          <w:fldChar w:fldCharType="end"/>
        </w:r>
      </w:hyperlink>
    </w:p>
    <w:p w14:paraId="257D4316" w14:textId="1F2A166A"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0" w:history="1">
        <w:r>
          <w:rPr>
            <w:rStyle w:val="Hyperlink"/>
            <w:noProof/>
          </w:rPr>
          <w:t>6</w:t>
        </w:r>
        <w:r>
          <w:rPr>
            <w:rStyle w:val="Hyperlink"/>
            <w:noProof/>
          </w:rPr>
          <w:tab/>
        </w:r>
        <w:r w:rsidRPr="00841396">
          <w:rPr>
            <w:rStyle w:val="Hyperlink"/>
            <w:noProof/>
          </w:rPr>
          <w:t>Summary of Methodology</w:t>
        </w:r>
        <w:r>
          <w:rPr>
            <w:noProof/>
            <w:webHidden/>
          </w:rPr>
          <w:tab/>
        </w:r>
        <w:r>
          <w:rPr>
            <w:noProof/>
            <w:webHidden/>
          </w:rPr>
          <w:fldChar w:fldCharType="begin"/>
        </w:r>
        <w:r>
          <w:rPr>
            <w:noProof/>
            <w:webHidden/>
          </w:rPr>
          <w:instrText xml:space="preserve"> PAGEREF _Toc197335670 \h </w:instrText>
        </w:r>
        <w:r>
          <w:rPr>
            <w:noProof/>
            <w:webHidden/>
          </w:rPr>
        </w:r>
        <w:r>
          <w:rPr>
            <w:noProof/>
            <w:webHidden/>
          </w:rPr>
          <w:fldChar w:fldCharType="separate"/>
        </w:r>
        <w:r w:rsidR="00717E31">
          <w:rPr>
            <w:noProof/>
            <w:webHidden/>
          </w:rPr>
          <w:t>135</w:t>
        </w:r>
        <w:r>
          <w:rPr>
            <w:noProof/>
            <w:webHidden/>
          </w:rPr>
          <w:fldChar w:fldCharType="end"/>
        </w:r>
      </w:hyperlink>
    </w:p>
    <w:p w14:paraId="51835C16" w14:textId="280A3010"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1" w:history="1">
        <w:r>
          <w:rPr>
            <w:rStyle w:val="Hyperlink"/>
            <w:noProof/>
          </w:rPr>
          <w:t>7</w:t>
        </w:r>
        <w:r>
          <w:rPr>
            <w:rStyle w:val="Hyperlink"/>
            <w:noProof/>
          </w:rPr>
          <w:tab/>
        </w:r>
        <w:r w:rsidRPr="00841396">
          <w:rPr>
            <w:rStyle w:val="Hyperlink"/>
            <w:noProof/>
          </w:rPr>
          <w:t>Participation Index for Bobiri Forest Reserve</w:t>
        </w:r>
        <w:r>
          <w:rPr>
            <w:noProof/>
            <w:webHidden/>
          </w:rPr>
          <w:tab/>
        </w:r>
        <w:r>
          <w:rPr>
            <w:noProof/>
            <w:webHidden/>
          </w:rPr>
          <w:fldChar w:fldCharType="begin"/>
        </w:r>
        <w:r>
          <w:rPr>
            <w:noProof/>
            <w:webHidden/>
          </w:rPr>
          <w:instrText xml:space="preserve"> PAGEREF _Toc197335671 \h </w:instrText>
        </w:r>
        <w:r>
          <w:rPr>
            <w:noProof/>
            <w:webHidden/>
          </w:rPr>
        </w:r>
        <w:r>
          <w:rPr>
            <w:noProof/>
            <w:webHidden/>
          </w:rPr>
          <w:fldChar w:fldCharType="separate"/>
        </w:r>
        <w:r w:rsidR="00717E31">
          <w:rPr>
            <w:noProof/>
            <w:webHidden/>
          </w:rPr>
          <w:t>201</w:t>
        </w:r>
        <w:r>
          <w:rPr>
            <w:noProof/>
            <w:webHidden/>
          </w:rPr>
          <w:fldChar w:fldCharType="end"/>
        </w:r>
      </w:hyperlink>
    </w:p>
    <w:p w14:paraId="3770A191" w14:textId="77D87294"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2" w:history="1">
        <w:r w:rsidRPr="00841396">
          <w:rPr>
            <w:rStyle w:val="Hyperlink"/>
            <w:noProof/>
          </w:rPr>
          <w:t>9:</w:t>
        </w:r>
        <w:r>
          <w:rPr>
            <w:rStyle w:val="Hyperlink"/>
            <w:noProof/>
          </w:rPr>
          <w:tab/>
        </w:r>
        <w:r w:rsidRPr="00841396">
          <w:rPr>
            <w:rStyle w:val="Hyperlink"/>
            <w:noProof/>
          </w:rPr>
          <w:t>Composite Participation Index</w:t>
        </w:r>
        <w:r>
          <w:rPr>
            <w:noProof/>
            <w:webHidden/>
          </w:rPr>
          <w:tab/>
        </w:r>
        <w:r>
          <w:rPr>
            <w:noProof/>
            <w:webHidden/>
          </w:rPr>
          <w:fldChar w:fldCharType="begin"/>
        </w:r>
        <w:r>
          <w:rPr>
            <w:noProof/>
            <w:webHidden/>
          </w:rPr>
          <w:instrText xml:space="preserve"> PAGEREF _Toc197335672 \h </w:instrText>
        </w:r>
        <w:r>
          <w:rPr>
            <w:noProof/>
            <w:webHidden/>
          </w:rPr>
        </w:r>
        <w:r>
          <w:rPr>
            <w:noProof/>
            <w:webHidden/>
          </w:rPr>
          <w:fldChar w:fldCharType="separate"/>
        </w:r>
        <w:r w:rsidR="00717E31">
          <w:rPr>
            <w:noProof/>
            <w:webHidden/>
          </w:rPr>
          <w:t>202</w:t>
        </w:r>
        <w:r>
          <w:rPr>
            <w:noProof/>
            <w:webHidden/>
          </w:rPr>
          <w:fldChar w:fldCharType="end"/>
        </w:r>
      </w:hyperlink>
    </w:p>
    <w:p w14:paraId="76F30EE4" w14:textId="22C89695"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3" w:history="1">
        <w:r>
          <w:rPr>
            <w:rStyle w:val="Hyperlink"/>
            <w:noProof/>
          </w:rPr>
          <w:t>10</w:t>
        </w:r>
        <w:r>
          <w:rPr>
            <w:rStyle w:val="Hyperlink"/>
            <w:noProof/>
          </w:rPr>
          <w:tab/>
        </w:r>
        <w:r w:rsidRPr="00841396">
          <w:rPr>
            <w:rStyle w:val="Hyperlink"/>
            <w:noProof/>
          </w:rPr>
          <w:t>Levels of Community Participation and Location of Participants</w:t>
        </w:r>
        <w:r>
          <w:rPr>
            <w:noProof/>
            <w:webHidden/>
          </w:rPr>
          <w:tab/>
        </w:r>
        <w:r>
          <w:rPr>
            <w:noProof/>
            <w:webHidden/>
          </w:rPr>
          <w:fldChar w:fldCharType="begin"/>
        </w:r>
        <w:r>
          <w:rPr>
            <w:noProof/>
            <w:webHidden/>
          </w:rPr>
          <w:instrText xml:space="preserve"> PAGEREF _Toc197335673 \h </w:instrText>
        </w:r>
        <w:r>
          <w:rPr>
            <w:noProof/>
            <w:webHidden/>
          </w:rPr>
        </w:r>
        <w:r>
          <w:rPr>
            <w:noProof/>
            <w:webHidden/>
          </w:rPr>
          <w:fldChar w:fldCharType="separate"/>
        </w:r>
        <w:r w:rsidR="00717E31">
          <w:rPr>
            <w:noProof/>
            <w:webHidden/>
          </w:rPr>
          <w:t>205</w:t>
        </w:r>
        <w:r>
          <w:rPr>
            <w:noProof/>
            <w:webHidden/>
          </w:rPr>
          <w:fldChar w:fldCharType="end"/>
        </w:r>
      </w:hyperlink>
    </w:p>
    <w:p w14:paraId="658F2B26" w14:textId="7FA0FDBD"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4" w:history="1">
        <w:r>
          <w:rPr>
            <w:rStyle w:val="Hyperlink"/>
            <w:noProof/>
          </w:rPr>
          <w:t>11</w:t>
        </w:r>
        <w:r>
          <w:rPr>
            <w:rStyle w:val="Hyperlink"/>
            <w:noProof/>
          </w:rPr>
          <w:tab/>
        </w:r>
        <w:r w:rsidRPr="00841396">
          <w:rPr>
            <w:rStyle w:val="Hyperlink"/>
            <w:noProof/>
          </w:rPr>
          <w:t>Levels of Community Participation and Levels of Education</w:t>
        </w:r>
        <w:r>
          <w:rPr>
            <w:noProof/>
            <w:webHidden/>
          </w:rPr>
          <w:tab/>
        </w:r>
        <w:r>
          <w:rPr>
            <w:noProof/>
            <w:webHidden/>
          </w:rPr>
          <w:fldChar w:fldCharType="begin"/>
        </w:r>
        <w:r>
          <w:rPr>
            <w:noProof/>
            <w:webHidden/>
          </w:rPr>
          <w:instrText xml:space="preserve"> PAGEREF _Toc197335674 \h </w:instrText>
        </w:r>
        <w:r>
          <w:rPr>
            <w:noProof/>
            <w:webHidden/>
          </w:rPr>
        </w:r>
        <w:r>
          <w:rPr>
            <w:noProof/>
            <w:webHidden/>
          </w:rPr>
          <w:fldChar w:fldCharType="separate"/>
        </w:r>
        <w:r w:rsidR="00717E31">
          <w:rPr>
            <w:noProof/>
            <w:webHidden/>
          </w:rPr>
          <w:t>206</w:t>
        </w:r>
        <w:r>
          <w:rPr>
            <w:noProof/>
            <w:webHidden/>
          </w:rPr>
          <w:fldChar w:fldCharType="end"/>
        </w:r>
      </w:hyperlink>
    </w:p>
    <w:p w14:paraId="4077476B" w14:textId="6B7022EE"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5" w:history="1">
        <w:r>
          <w:rPr>
            <w:rStyle w:val="Hyperlink"/>
            <w:noProof/>
          </w:rPr>
          <w:t>12</w:t>
        </w:r>
        <w:r>
          <w:rPr>
            <w:rStyle w:val="Hyperlink"/>
            <w:noProof/>
          </w:rPr>
          <w:tab/>
        </w:r>
        <w:r w:rsidRPr="00841396">
          <w:rPr>
            <w:rStyle w:val="Hyperlink"/>
            <w:noProof/>
          </w:rPr>
          <w:t>Levels of Community Participation and Belonging to a Group</w:t>
        </w:r>
        <w:r>
          <w:rPr>
            <w:noProof/>
            <w:webHidden/>
          </w:rPr>
          <w:tab/>
        </w:r>
        <w:r>
          <w:rPr>
            <w:noProof/>
            <w:webHidden/>
          </w:rPr>
          <w:fldChar w:fldCharType="begin"/>
        </w:r>
        <w:r>
          <w:rPr>
            <w:noProof/>
            <w:webHidden/>
          </w:rPr>
          <w:instrText xml:space="preserve"> PAGEREF _Toc197335675 \h </w:instrText>
        </w:r>
        <w:r>
          <w:rPr>
            <w:noProof/>
            <w:webHidden/>
          </w:rPr>
        </w:r>
        <w:r>
          <w:rPr>
            <w:noProof/>
            <w:webHidden/>
          </w:rPr>
          <w:fldChar w:fldCharType="separate"/>
        </w:r>
        <w:r w:rsidR="00717E31">
          <w:rPr>
            <w:noProof/>
            <w:webHidden/>
          </w:rPr>
          <w:t>207</w:t>
        </w:r>
        <w:r>
          <w:rPr>
            <w:noProof/>
            <w:webHidden/>
          </w:rPr>
          <w:fldChar w:fldCharType="end"/>
        </w:r>
      </w:hyperlink>
    </w:p>
    <w:p w14:paraId="3AFB9BF4" w14:textId="32131AAF"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6" w:history="1">
        <w:r>
          <w:rPr>
            <w:rStyle w:val="Hyperlink"/>
            <w:noProof/>
          </w:rPr>
          <w:t>13</w:t>
        </w:r>
        <w:r>
          <w:rPr>
            <w:rStyle w:val="Hyperlink"/>
            <w:noProof/>
          </w:rPr>
          <w:tab/>
        </w:r>
        <w:r w:rsidRPr="00841396">
          <w:rPr>
            <w:rStyle w:val="Hyperlink"/>
            <w:noProof/>
          </w:rPr>
          <w:t>Collinearity Statistic</w:t>
        </w:r>
        <w:r>
          <w:rPr>
            <w:noProof/>
            <w:webHidden/>
          </w:rPr>
          <w:tab/>
        </w:r>
        <w:r>
          <w:rPr>
            <w:noProof/>
            <w:webHidden/>
          </w:rPr>
          <w:fldChar w:fldCharType="begin"/>
        </w:r>
        <w:r>
          <w:rPr>
            <w:noProof/>
            <w:webHidden/>
          </w:rPr>
          <w:instrText xml:space="preserve"> PAGEREF _Toc197335676 \h </w:instrText>
        </w:r>
        <w:r>
          <w:rPr>
            <w:noProof/>
            <w:webHidden/>
          </w:rPr>
        </w:r>
        <w:r>
          <w:rPr>
            <w:noProof/>
            <w:webHidden/>
          </w:rPr>
          <w:fldChar w:fldCharType="separate"/>
        </w:r>
        <w:r w:rsidR="00717E31">
          <w:rPr>
            <w:noProof/>
            <w:webHidden/>
          </w:rPr>
          <w:t>208</w:t>
        </w:r>
        <w:r>
          <w:rPr>
            <w:noProof/>
            <w:webHidden/>
          </w:rPr>
          <w:fldChar w:fldCharType="end"/>
        </w:r>
      </w:hyperlink>
    </w:p>
    <w:p w14:paraId="619AAF70" w14:textId="131ECA0A"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7" w:history="1">
        <w:r>
          <w:rPr>
            <w:rStyle w:val="Hyperlink"/>
            <w:noProof/>
          </w:rPr>
          <w:t>14</w:t>
        </w:r>
        <w:r>
          <w:rPr>
            <w:rStyle w:val="Hyperlink"/>
            <w:noProof/>
          </w:rPr>
          <w:tab/>
        </w:r>
        <w:r w:rsidRPr="00841396">
          <w:rPr>
            <w:rStyle w:val="Hyperlink"/>
            <w:noProof/>
          </w:rPr>
          <w:t>Case Processing Summary</w:t>
        </w:r>
        <w:r>
          <w:rPr>
            <w:noProof/>
            <w:webHidden/>
          </w:rPr>
          <w:tab/>
        </w:r>
        <w:r>
          <w:rPr>
            <w:noProof/>
            <w:webHidden/>
          </w:rPr>
          <w:fldChar w:fldCharType="begin"/>
        </w:r>
        <w:r>
          <w:rPr>
            <w:noProof/>
            <w:webHidden/>
          </w:rPr>
          <w:instrText xml:space="preserve"> PAGEREF _Toc197335677 \h </w:instrText>
        </w:r>
        <w:r>
          <w:rPr>
            <w:noProof/>
            <w:webHidden/>
          </w:rPr>
        </w:r>
        <w:r>
          <w:rPr>
            <w:noProof/>
            <w:webHidden/>
          </w:rPr>
          <w:fldChar w:fldCharType="separate"/>
        </w:r>
        <w:r w:rsidR="00717E31">
          <w:rPr>
            <w:noProof/>
            <w:webHidden/>
          </w:rPr>
          <w:t>208</w:t>
        </w:r>
        <w:r>
          <w:rPr>
            <w:noProof/>
            <w:webHidden/>
          </w:rPr>
          <w:fldChar w:fldCharType="end"/>
        </w:r>
      </w:hyperlink>
    </w:p>
    <w:p w14:paraId="064946B0" w14:textId="02925CE3"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8" w:history="1">
        <w:r>
          <w:rPr>
            <w:rStyle w:val="Hyperlink"/>
            <w:noProof/>
          </w:rPr>
          <w:t>15</w:t>
        </w:r>
        <w:r>
          <w:rPr>
            <w:rStyle w:val="Hyperlink"/>
            <w:noProof/>
          </w:rPr>
          <w:tab/>
        </w:r>
        <w:r w:rsidRPr="00841396">
          <w:rPr>
            <w:rStyle w:val="Hyperlink"/>
            <w:noProof/>
          </w:rPr>
          <w:t>Goodness-of-Fit</w:t>
        </w:r>
        <w:r>
          <w:rPr>
            <w:noProof/>
            <w:webHidden/>
          </w:rPr>
          <w:tab/>
        </w:r>
        <w:r>
          <w:rPr>
            <w:noProof/>
            <w:webHidden/>
          </w:rPr>
          <w:fldChar w:fldCharType="begin"/>
        </w:r>
        <w:r>
          <w:rPr>
            <w:noProof/>
            <w:webHidden/>
          </w:rPr>
          <w:instrText xml:space="preserve"> PAGEREF _Toc197335678 \h </w:instrText>
        </w:r>
        <w:r>
          <w:rPr>
            <w:noProof/>
            <w:webHidden/>
          </w:rPr>
        </w:r>
        <w:r>
          <w:rPr>
            <w:noProof/>
            <w:webHidden/>
          </w:rPr>
          <w:fldChar w:fldCharType="separate"/>
        </w:r>
        <w:r w:rsidR="00717E31">
          <w:rPr>
            <w:noProof/>
            <w:webHidden/>
          </w:rPr>
          <w:t>209</w:t>
        </w:r>
        <w:r>
          <w:rPr>
            <w:noProof/>
            <w:webHidden/>
          </w:rPr>
          <w:fldChar w:fldCharType="end"/>
        </w:r>
      </w:hyperlink>
    </w:p>
    <w:p w14:paraId="44299019" w14:textId="1FFBD3CE"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79" w:history="1">
        <w:r>
          <w:rPr>
            <w:rStyle w:val="Hyperlink"/>
            <w:noProof/>
          </w:rPr>
          <w:t>16</w:t>
        </w:r>
        <w:r>
          <w:rPr>
            <w:rStyle w:val="Hyperlink"/>
            <w:noProof/>
          </w:rPr>
          <w:tab/>
        </w:r>
        <w:r w:rsidRPr="00841396">
          <w:rPr>
            <w:rStyle w:val="Hyperlink"/>
            <w:noProof/>
          </w:rPr>
          <w:t>Pseudo R-Square</w:t>
        </w:r>
        <w:r>
          <w:rPr>
            <w:noProof/>
            <w:webHidden/>
          </w:rPr>
          <w:tab/>
        </w:r>
        <w:r>
          <w:rPr>
            <w:noProof/>
            <w:webHidden/>
          </w:rPr>
          <w:fldChar w:fldCharType="begin"/>
        </w:r>
        <w:r>
          <w:rPr>
            <w:noProof/>
            <w:webHidden/>
          </w:rPr>
          <w:instrText xml:space="preserve"> PAGEREF _Toc197335679 \h </w:instrText>
        </w:r>
        <w:r>
          <w:rPr>
            <w:noProof/>
            <w:webHidden/>
          </w:rPr>
        </w:r>
        <w:r>
          <w:rPr>
            <w:noProof/>
            <w:webHidden/>
          </w:rPr>
          <w:fldChar w:fldCharType="separate"/>
        </w:r>
        <w:r w:rsidR="00717E31">
          <w:rPr>
            <w:noProof/>
            <w:webHidden/>
          </w:rPr>
          <w:t>209</w:t>
        </w:r>
        <w:r>
          <w:rPr>
            <w:noProof/>
            <w:webHidden/>
          </w:rPr>
          <w:fldChar w:fldCharType="end"/>
        </w:r>
      </w:hyperlink>
    </w:p>
    <w:p w14:paraId="0989F7D6" w14:textId="6B14CA50" w:rsidR="00D03F07" w:rsidRDefault="00D03F07" w:rsidP="00D03F07">
      <w:pPr>
        <w:pStyle w:val="TableofFigures"/>
        <w:tabs>
          <w:tab w:val="right" w:pos="7576"/>
        </w:tabs>
        <w:ind w:left="720" w:hanging="720"/>
        <w:rPr>
          <w:rFonts w:asciiTheme="minorHAnsi" w:eastAsiaTheme="minorEastAsia" w:hAnsiTheme="minorHAnsi"/>
          <w:noProof/>
          <w:sz w:val="22"/>
          <w:lang w:val="en-US" w:eastAsia="ja-JP"/>
        </w:rPr>
      </w:pPr>
      <w:hyperlink w:anchor="_Toc197335680" w:history="1">
        <w:r>
          <w:rPr>
            <w:rStyle w:val="Hyperlink"/>
            <w:noProof/>
          </w:rPr>
          <w:t>17</w:t>
        </w:r>
        <w:r>
          <w:rPr>
            <w:rStyle w:val="Hyperlink"/>
            <w:noProof/>
          </w:rPr>
          <w:tab/>
        </w:r>
        <w:r w:rsidRPr="00841396">
          <w:rPr>
            <w:rStyle w:val="Hyperlink"/>
            <w:noProof/>
          </w:rPr>
          <w:t>Parameter Estimates</w:t>
        </w:r>
        <w:r>
          <w:rPr>
            <w:noProof/>
            <w:webHidden/>
          </w:rPr>
          <w:tab/>
        </w:r>
        <w:r>
          <w:rPr>
            <w:noProof/>
            <w:webHidden/>
          </w:rPr>
          <w:fldChar w:fldCharType="begin"/>
        </w:r>
        <w:r>
          <w:rPr>
            <w:noProof/>
            <w:webHidden/>
          </w:rPr>
          <w:instrText xml:space="preserve"> PAGEREF _Toc197335680 \h </w:instrText>
        </w:r>
        <w:r>
          <w:rPr>
            <w:noProof/>
            <w:webHidden/>
          </w:rPr>
        </w:r>
        <w:r>
          <w:rPr>
            <w:noProof/>
            <w:webHidden/>
          </w:rPr>
          <w:fldChar w:fldCharType="separate"/>
        </w:r>
        <w:r w:rsidR="00717E31">
          <w:rPr>
            <w:noProof/>
            <w:webHidden/>
          </w:rPr>
          <w:t>210</w:t>
        </w:r>
        <w:r>
          <w:rPr>
            <w:noProof/>
            <w:webHidden/>
          </w:rPr>
          <w:fldChar w:fldCharType="end"/>
        </w:r>
      </w:hyperlink>
    </w:p>
    <w:p w14:paraId="7E503B5B" w14:textId="77777777" w:rsidR="002C5621" w:rsidRPr="002C5621" w:rsidRDefault="00D03F07" w:rsidP="00D03F07">
      <w:pPr>
        <w:pStyle w:val="BodyText"/>
        <w:ind w:left="720" w:hanging="720"/>
      </w:pPr>
      <w:r>
        <w:fldChar w:fldCharType="end"/>
      </w:r>
    </w:p>
    <w:p w14:paraId="21680BC1" w14:textId="77777777" w:rsidR="00060851" w:rsidRDefault="00060851">
      <w:pPr>
        <w:spacing w:line="259" w:lineRule="auto"/>
        <w:ind w:left="0" w:firstLine="0"/>
        <w:jc w:val="left"/>
        <w:rPr>
          <w:rFonts w:eastAsiaTheme="majorEastAsia" w:cstheme="majorBidi"/>
          <w:b/>
          <w:caps/>
          <w:szCs w:val="32"/>
        </w:rPr>
      </w:pPr>
      <w:r>
        <w:br w:type="page"/>
      </w:r>
    </w:p>
    <w:p w14:paraId="5252DE13" w14:textId="07F6C81F" w:rsidR="00010F68" w:rsidRDefault="00010F68" w:rsidP="00BB4078">
      <w:pPr>
        <w:pStyle w:val="Heading1"/>
        <w:ind w:left="0"/>
      </w:pPr>
      <w:bookmarkStart w:id="10" w:name="_Toc202197581"/>
      <w:r>
        <w:lastRenderedPageBreak/>
        <w:t>LIST OF FIGURES</w:t>
      </w:r>
      <w:bookmarkEnd w:id="10"/>
    </w:p>
    <w:p w14:paraId="501E52BF" w14:textId="77777777" w:rsidR="00A25523" w:rsidRPr="0043479E" w:rsidRDefault="00A25523" w:rsidP="00D03F07">
      <w:pPr>
        <w:ind w:left="0" w:firstLine="0"/>
      </w:pPr>
      <w:r w:rsidRPr="0043479E">
        <w:t>Figure</w:t>
      </w:r>
      <w:r w:rsidRPr="0043479E">
        <w:tab/>
      </w:r>
      <w:r w:rsidRPr="0043479E">
        <w:tab/>
      </w:r>
      <w:r w:rsidRPr="0043479E">
        <w:tab/>
      </w:r>
      <w:r w:rsidRPr="0043479E">
        <w:tab/>
      </w:r>
      <w:r w:rsidRPr="0043479E">
        <w:tab/>
      </w:r>
      <w:r w:rsidRPr="0043479E">
        <w:tab/>
      </w:r>
      <w:r w:rsidRPr="0043479E">
        <w:tab/>
      </w:r>
      <w:r w:rsidRPr="0043479E">
        <w:tab/>
      </w:r>
      <w:r w:rsidRPr="0043479E">
        <w:tab/>
        <w:t xml:space="preserve">          Page</w:t>
      </w:r>
    </w:p>
    <w:p w14:paraId="50646790" w14:textId="471CF444" w:rsidR="007661B9" w:rsidRPr="007661B9" w:rsidRDefault="00BB4078" w:rsidP="007661B9">
      <w:pPr>
        <w:pStyle w:val="TableofFigures"/>
        <w:tabs>
          <w:tab w:val="right" w:pos="7576"/>
        </w:tabs>
        <w:ind w:left="720" w:hanging="720"/>
        <w:jc w:val="left"/>
        <w:rPr>
          <w:rFonts w:asciiTheme="minorHAnsi" w:eastAsiaTheme="minorEastAsia" w:hAnsiTheme="minorHAnsi"/>
          <w:noProof/>
          <w:sz w:val="22"/>
          <w:lang w:val="en-US"/>
        </w:rPr>
      </w:pPr>
      <w:r w:rsidRPr="007661B9">
        <w:fldChar w:fldCharType="begin"/>
      </w:r>
      <w:r w:rsidRPr="007661B9">
        <w:instrText xml:space="preserve"> TOC \h \z \t "Heading 3" \c "Figure" </w:instrText>
      </w:r>
      <w:r w:rsidRPr="007661B9">
        <w:fldChar w:fldCharType="separate"/>
      </w:r>
      <w:hyperlink w:anchor="_Toc202196558" w:history="1">
        <w:r w:rsidR="007661B9" w:rsidRPr="007661B9">
          <w:rPr>
            <w:rStyle w:val="Hyperlink"/>
            <w:iCs/>
            <w:noProof/>
          </w:rPr>
          <w:t>1</w:t>
        </w:r>
        <w:r w:rsidR="007661B9">
          <w:rPr>
            <w:rStyle w:val="Hyperlink"/>
            <w:noProof/>
          </w:rPr>
          <w:tab/>
        </w:r>
        <w:r w:rsidR="007661B9" w:rsidRPr="007661B9">
          <w:rPr>
            <w:rStyle w:val="Hyperlink"/>
            <w:noProof/>
          </w:rPr>
          <w:t>Ladder of Participation.</w:t>
        </w:r>
        <w:r w:rsidR="007661B9" w:rsidRPr="007661B9">
          <w:rPr>
            <w:noProof/>
            <w:webHidden/>
          </w:rPr>
          <w:tab/>
        </w:r>
        <w:r w:rsidR="007661B9" w:rsidRPr="007661B9">
          <w:rPr>
            <w:noProof/>
            <w:webHidden/>
          </w:rPr>
          <w:fldChar w:fldCharType="begin"/>
        </w:r>
        <w:r w:rsidR="007661B9" w:rsidRPr="007661B9">
          <w:rPr>
            <w:noProof/>
            <w:webHidden/>
          </w:rPr>
          <w:instrText xml:space="preserve"> PAGEREF _Toc202196558 \h </w:instrText>
        </w:r>
        <w:r w:rsidR="007661B9" w:rsidRPr="007661B9">
          <w:rPr>
            <w:noProof/>
            <w:webHidden/>
          </w:rPr>
        </w:r>
        <w:r w:rsidR="007661B9" w:rsidRPr="007661B9">
          <w:rPr>
            <w:noProof/>
            <w:webHidden/>
          </w:rPr>
          <w:fldChar w:fldCharType="separate"/>
        </w:r>
        <w:r w:rsidR="00717E31">
          <w:rPr>
            <w:noProof/>
            <w:webHidden/>
          </w:rPr>
          <w:t>36</w:t>
        </w:r>
        <w:r w:rsidR="007661B9" w:rsidRPr="007661B9">
          <w:rPr>
            <w:noProof/>
            <w:webHidden/>
          </w:rPr>
          <w:fldChar w:fldCharType="end"/>
        </w:r>
      </w:hyperlink>
    </w:p>
    <w:p w14:paraId="36E5F28E" w14:textId="202F386B"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59" w:history="1">
        <w:r w:rsidRPr="007661B9">
          <w:rPr>
            <w:rStyle w:val="Hyperlink"/>
            <w:noProof/>
          </w:rPr>
          <w:t>2</w:t>
        </w:r>
        <w:r>
          <w:rPr>
            <w:rStyle w:val="Hyperlink"/>
            <w:noProof/>
          </w:rPr>
          <w:tab/>
        </w:r>
        <w:r w:rsidRPr="007661B9">
          <w:rPr>
            <w:rStyle w:val="Hyperlink"/>
            <w:noProof/>
          </w:rPr>
          <w:t>The Power Cube; the Spaces, Levels and Forms of Power.</w:t>
        </w:r>
        <w:r w:rsidRPr="007661B9">
          <w:rPr>
            <w:noProof/>
            <w:webHidden/>
          </w:rPr>
          <w:tab/>
        </w:r>
        <w:r w:rsidRPr="007661B9">
          <w:rPr>
            <w:noProof/>
            <w:webHidden/>
          </w:rPr>
          <w:fldChar w:fldCharType="begin"/>
        </w:r>
        <w:r w:rsidRPr="007661B9">
          <w:rPr>
            <w:noProof/>
            <w:webHidden/>
          </w:rPr>
          <w:instrText xml:space="preserve"> PAGEREF _Toc202196559 \h </w:instrText>
        </w:r>
        <w:r w:rsidRPr="007661B9">
          <w:rPr>
            <w:noProof/>
            <w:webHidden/>
          </w:rPr>
        </w:r>
        <w:r w:rsidRPr="007661B9">
          <w:rPr>
            <w:noProof/>
            <w:webHidden/>
          </w:rPr>
          <w:fldChar w:fldCharType="separate"/>
        </w:r>
        <w:r w:rsidR="00717E31">
          <w:rPr>
            <w:noProof/>
            <w:webHidden/>
          </w:rPr>
          <w:t>44</w:t>
        </w:r>
        <w:r w:rsidRPr="007661B9">
          <w:rPr>
            <w:noProof/>
            <w:webHidden/>
          </w:rPr>
          <w:fldChar w:fldCharType="end"/>
        </w:r>
      </w:hyperlink>
    </w:p>
    <w:p w14:paraId="2E96F300" w14:textId="26E25232"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0" w:history="1">
        <w:r w:rsidRPr="007661B9">
          <w:rPr>
            <w:rStyle w:val="Hyperlink"/>
            <w:noProof/>
          </w:rPr>
          <w:t>3</w:t>
        </w:r>
        <w:r>
          <w:rPr>
            <w:rStyle w:val="Hyperlink"/>
            <w:noProof/>
          </w:rPr>
          <w:tab/>
        </w:r>
        <w:r w:rsidRPr="007661B9">
          <w:rPr>
            <w:rStyle w:val="Hyperlink"/>
            <w:noProof/>
          </w:rPr>
          <w:t>The Elements of Sustainability</w:t>
        </w:r>
        <w:r w:rsidRPr="007661B9">
          <w:rPr>
            <w:noProof/>
            <w:webHidden/>
          </w:rPr>
          <w:tab/>
        </w:r>
        <w:r w:rsidRPr="007661B9">
          <w:rPr>
            <w:noProof/>
            <w:webHidden/>
          </w:rPr>
          <w:fldChar w:fldCharType="begin"/>
        </w:r>
        <w:r w:rsidRPr="007661B9">
          <w:rPr>
            <w:noProof/>
            <w:webHidden/>
          </w:rPr>
          <w:instrText xml:space="preserve"> PAGEREF _Toc202196560 \h </w:instrText>
        </w:r>
        <w:r w:rsidRPr="007661B9">
          <w:rPr>
            <w:noProof/>
            <w:webHidden/>
          </w:rPr>
        </w:r>
        <w:r w:rsidRPr="007661B9">
          <w:rPr>
            <w:noProof/>
            <w:webHidden/>
          </w:rPr>
          <w:fldChar w:fldCharType="separate"/>
        </w:r>
        <w:r w:rsidR="00717E31">
          <w:rPr>
            <w:noProof/>
            <w:webHidden/>
          </w:rPr>
          <w:t>50</w:t>
        </w:r>
        <w:r w:rsidRPr="007661B9">
          <w:rPr>
            <w:noProof/>
            <w:webHidden/>
          </w:rPr>
          <w:fldChar w:fldCharType="end"/>
        </w:r>
      </w:hyperlink>
    </w:p>
    <w:p w14:paraId="6FF5106D" w14:textId="429233FA"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1" w:history="1">
        <w:r w:rsidRPr="007661B9">
          <w:rPr>
            <w:rStyle w:val="Hyperlink"/>
            <w:noProof/>
          </w:rPr>
          <w:t>4</w:t>
        </w:r>
        <w:r>
          <w:rPr>
            <w:rStyle w:val="Hyperlink"/>
            <w:noProof/>
          </w:rPr>
          <w:tab/>
        </w:r>
        <w:r w:rsidRPr="007661B9">
          <w:rPr>
            <w:rStyle w:val="Hyperlink"/>
            <w:noProof/>
          </w:rPr>
          <w:t>The Triple Bottom Line of Sustainability</w:t>
        </w:r>
        <w:r w:rsidRPr="007661B9">
          <w:rPr>
            <w:noProof/>
            <w:webHidden/>
          </w:rPr>
          <w:tab/>
        </w:r>
        <w:r w:rsidRPr="007661B9">
          <w:rPr>
            <w:noProof/>
            <w:webHidden/>
          </w:rPr>
          <w:fldChar w:fldCharType="begin"/>
        </w:r>
        <w:r w:rsidRPr="007661B9">
          <w:rPr>
            <w:noProof/>
            <w:webHidden/>
          </w:rPr>
          <w:instrText xml:space="preserve"> PAGEREF _Toc202196561 \h </w:instrText>
        </w:r>
        <w:r w:rsidRPr="007661B9">
          <w:rPr>
            <w:noProof/>
            <w:webHidden/>
          </w:rPr>
        </w:r>
        <w:r w:rsidRPr="007661B9">
          <w:rPr>
            <w:noProof/>
            <w:webHidden/>
          </w:rPr>
          <w:fldChar w:fldCharType="separate"/>
        </w:r>
        <w:r w:rsidR="00717E31">
          <w:rPr>
            <w:noProof/>
            <w:webHidden/>
          </w:rPr>
          <w:t>51</w:t>
        </w:r>
        <w:r w:rsidRPr="007661B9">
          <w:rPr>
            <w:noProof/>
            <w:webHidden/>
          </w:rPr>
          <w:fldChar w:fldCharType="end"/>
        </w:r>
      </w:hyperlink>
    </w:p>
    <w:p w14:paraId="2784261A" w14:textId="3370FA94"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2" w:history="1">
        <w:r w:rsidRPr="007661B9">
          <w:rPr>
            <w:rStyle w:val="Hyperlink"/>
            <w:noProof/>
          </w:rPr>
          <w:t>5</w:t>
        </w:r>
        <w:r>
          <w:rPr>
            <w:rStyle w:val="Hyperlink"/>
            <w:noProof/>
          </w:rPr>
          <w:tab/>
        </w:r>
        <w:r w:rsidRPr="007661B9">
          <w:rPr>
            <w:rStyle w:val="Hyperlink"/>
            <w:noProof/>
          </w:rPr>
          <w:t>Management process in the management of Community Forestry</w:t>
        </w:r>
        <w:r w:rsidRPr="007661B9">
          <w:rPr>
            <w:noProof/>
            <w:webHidden/>
          </w:rPr>
          <w:tab/>
        </w:r>
        <w:r w:rsidRPr="007661B9">
          <w:rPr>
            <w:noProof/>
            <w:webHidden/>
          </w:rPr>
          <w:fldChar w:fldCharType="begin"/>
        </w:r>
        <w:r w:rsidRPr="007661B9">
          <w:rPr>
            <w:noProof/>
            <w:webHidden/>
          </w:rPr>
          <w:instrText xml:space="preserve"> PAGEREF _Toc202196562 \h </w:instrText>
        </w:r>
        <w:r w:rsidRPr="007661B9">
          <w:rPr>
            <w:noProof/>
            <w:webHidden/>
          </w:rPr>
        </w:r>
        <w:r w:rsidRPr="007661B9">
          <w:rPr>
            <w:noProof/>
            <w:webHidden/>
          </w:rPr>
          <w:fldChar w:fldCharType="separate"/>
        </w:r>
        <w:r w:rsidR="00717E31">
          <w:rPr>
            <w:noProof/>
            <w:webHidden/>
          </w:rPr>
          <w:t>73</w:t>
        </w:r>
        <w:r w:rsidRPr="007661B9">
          <w:rPr>
            <w:noProof/>
            <w:webHidden/>
          </w:rPr>
          <w:fldChar w:fldCharType="end"/>
        </w:r>
      </w:hyperlink>
    </w:p>
    <w:p w14:paraId="13B67AB5" w14:textId="7C3F2033"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3" w:history="1">
        <w:r w:rsidRPr="007661B9">
          <w:rPr>
            <w:rStyle w:val="Hyperlink"/>
            <w:noProof/>
          </w:rPr>
          <w:t>6</w:t>
        </w:r>
        <w:r>
          <w:rPr>
            <w:rStyle w:val="Hyperlink"/>
            <w:noProof/>
          </w:rPr>
          <w:tab/>
        </w:r>
        <w:r w:rsidRPr="007661B9">
          <w:rPr>
            <w:rStyle w:val="Hyperlink"/>
            <w:noProof/>
          </w:rPr>
          <w:t>IAD framework components.</w:t>
        </w:r>
        <w:r w:rsidRPr="007661B9">
          <w:rPr>
            <w:noProof/>
            <w:webHidden/>
          </w:rPr>
          <w:tab/>
        </w:r>
        <w:r w:rsidRPr="007661B9">
          <w:rPr>
            <w:noProof/>
            <w:webHidden/>
          </w:rPr>
          <w:fldChar w:fldCharType="begin"/>
        </w:r>
        <w:r w:rsidRPr="007661B9">
          <w:rPr>
            <w:noProof/>
            <w:webHidden/>
          </w:rPr>
          <w:instrText xml:space="preserve"> PAGEREF _Toc202196563 \h </w:instrText>
        </w:r>
        <w:r w:rsidRPr="007661B9">
          <w:rPr>
            <w:noProof/>
            <w:webHidden/>
          </w:rPr>
        </w:r>
        <w:r w:rsidRPr="007661B9">
          <w:rPr>
            <w:noProof/>
            <w:webHidden/>
          </w:rPr>
          <w:fldChar w:fldCharType="separate"/>
        </w:r>
        <w:r w:rsidR="00717E31">
          <w:rPr>
            <w:noProof/>
            <w:webHidden/>
          </w:rPr>
          <w:t>98</w:t>
        </w:r>
        <w:r w:rsidRPr="007661B9">
          <w:rPr>
            <w:noProof/>
            <w:webHidden/>
          </w:rPr>
          <w:fldChar w:fldCharType="end"/>
        </w:r>
      </w:hyperlink>
    </w:p>
    <w:p w14:paraId="5A8E1B43" w14:textId="0C2A74EC"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4" w:history="1">
        <w:r w:rsidRPr="007661B9">
          <w:rPr>
            <w:rStyle w:val="Hyperlink"/>
            <w:noProof/>
          </w:rPr>
          <w:t>7</w:t>
        </w:r>
        <w:r>
          <w:rPr>
            <w:rStyle w:val="Hyperlink"/>
            <w:noProof/>
          </w:rPr>
          <w:tab/>
        </w:r>
        <w:r w:rsidRPr="007661B9">
          <w:rPr>
            <w:rStyle w:val="Hyperlink"/>
            <w:noProof/>
          </w:rPr>
          <w:t xml:space="preserve">Conceptual Framework for Sustainable Community-Based </w:t>
        </w:r>
        <w:r>
          <w:rPr>
            <w:rStyle w:val="Hyperlink"/>
            <w:noProof/>
          </w:rPr>
          <w:t xml:space="preserve">      </w:t>
        </w:r>
        <w:r w:rsidRPr="007661B9">
          <w:rPr>
            <w:rStyle w:val="Hyperlink"/>
            <w:noProof/>
          </w:rPr>
          <w:t>Forestry.</w:t>
        </w:r>
        <w:r w:rsidRPr="007661B9">
          <w:rPr>
            <w:noProof/>
            <w:webHidden/>
          </w:rPr>
          <w:tab/>
        </w:r>
        <w:r w:rsidRPr="007661B9">
          <w:rPr>
            <w:noProof/>
            <w:webHidden/>
          </w:rPr>
          <w:fldChar w:fldCharType="begin"/>
        </w:r>
        <w:r w:rsidRPr="007661B9">
          <w:rPr>
            <w:noProof/>
            <w:webHidden/>
          </w:rPr>
          <w:instrText xml:space="preserve"> PAGEREF _Toc202196564 \h </w:instrText>
        </w:r>
        <w:r w:rsidRPr="007661B9">
          <w:rPr>
            <w:noProof/>
            <w:webHidden/>
          </w:rPr>
        </w:r>
        <w:r w:rsidRPr="007661B9">
          <w:rPr>
            <w:noProof/>
            <w:webHidden/>
          </w:rPr>
          <w:fldChar w:fldCharType="separate"/>
        </w:r>
        <w:r w:rsidR="00717E31">
          <w:rPr>
            <w:noProof/>
            <w:webHidden/>
          </w:rPr>
          <w:t>101</w:t>
        </w:r>
        <w:r w:rsidRPr="007661B9">
          <w:rPr>
            <w:noProof/>
            <w:webHidden/>
          </w:rPr>
          <w:fldChar w:fldCharType="end"/>
        </w:r>
      </w:hyperlink>
    </w:p>
    <w:p w14:paraId="18B8CB4F" w14:textId="108E38D5"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5" w:history="1">
        <w:r w:rsidRPr="007661B9">
          <w:rPr>
            <w:rStyle w:val="Hyperlink"/>
            <w:noProof/>
          </w:rPr>
          <w:t>8</w:t>
        </w:r>
        <w:r>
          <w:rPr>
            <w:rStyle w:val="Hyperlink"/>
            <w:noProof/>
          </w:rPr>
          <w:tab/>
        </w:r>
        <w:r w:rsidRPr="007661B9">
          <w:rPr>
            <w:rStyle w:val="Hyperlink"/>
            <w:noProof/>
          </w:rPr>
          <w:t>Bobiri Forest Reserve</w:t>
        </w:r>
        <w:r w:rsidRPr="007661B9">
          <w:rPr>
            <w:noProof/>
            <w:webHidden/>
          </w:rPr>
          <w:tab/>
        </w:r>
        <w:r w:rsidRPr="007661B9">
          <w:rPr>
            <w:noProof/>
            <w:webHidden/>
          </w:rPr>
          <w:fldChar w:fldCharType="begin"/>
        </w:r>
        <w:r w:rsidRPr="007661B9">
          <w:rPr>
            <w:noProof/>
            <w:webHidden/>
          </w:rPr>
          <w:instrText xml:space="preserve"> PAGEREF _Toc202196565 \h </w:instrText>
        </w:r>
        <w:r w:rsidRPr="007661B9">
          <w:rPr>
            <w:noProof/>
            <w:webHidden/>
          </w:rPr>
        </w:r>
        <w:r w:rsidRPr="007661B9">
          <w:rPr>
            <w:noProof/>
            <w:webHidden/>
          </w:rPr>
          <w:fldChar w:fldCharType="separate"/>
        </w:r>
        <w:r w:rsidR="00717E31">
          <w:rPr>
            <w:noProof/>
            <w:webHidden/>
          </w:rPr>
          <w:t>108</w:t>
        </w:r>
        <w:r w:rsidRPr="007661B9">
          <w:rPr>
            <w:noProof/>
            <w:webHidden/>
          </w:rPr>
          <w:fldChar w:fldCharType="end"/>
        </w:r>
      </w:hyperlink>
    </w:p>
    <w:p w14:paraId="045C53BE" w14:textId="63A4C107"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6" w:history="1">
        <w:r w:rsidRPr="007661B9">
          <w:rPr>
            <w:rStyle w:val="Hyperlink"/>
            <w:noProof/>
          </w:rPr>
          <w:t>9</w:t>
        </w:r>
        <w:r>
          <w:rPr>
            <w:rStyle w:val="Hyperlink"/>
            <w:noProof/>
          </w:rPr>
          <w:tab/>
        </w:r>
        <w:r w:rsidRPr="007661B9">
          <w:rPr>
            <w:rStyle w:val="Hyperlink"/>
            <w:noProof/>
          </w:rPr>
          <w:t>Geographical Location of Southern Scarp Forest Reserve (Kwahu Portion)</w:t>
        </w:r>
        <w:r w:rsidRPr="007661B9">
          <w:rPr>
            <w:noProof/>
            <w:webHidden/>
          </w:rPr>
          <w:tab/>
        </w:r>
        <w:r w:rsidRPr="007661B9">
          <w:rPr>
            <w:noProof/>
            <w:webHidden/>
          </w:rPr>
          <w:fldChar w:fldCharType="begin"/>
        </w:r>
        <w:r w:rsidRPr="007661B9">
          <w:rPr>
            <w:noProof/>
            <w:webHidden/>
          </w:rPr>
          <w:instrText xml:space="preserve"> PAGEREF _Toc202196566 \h </w:instrText>
        </w:r>
        <w:r w:rsidRPr="007661B9">
          <w:rPr>
            <w:noProof/>
            <w:webHidden/>
          </w:rPr>
        </w:r>
        <w:r w:rsidRPr="007661B9">
          <w:rPr>
            <w:noProof/>
            <w:webHidden/>
          </w:rPr>
          <w:fldChar w:fldCharType="separate"/>
        </w:r>
        <w:r w:rsidR="00717E31">
          <w:rPr>
            <w:noProof/>
            <w:webHidden/>
          </w:rPr>
          <w:t>109</w:t>
        </w:r>
        <w:r w:rsidRPr="007661B9">
          <w:rPr>
            <w:noProof/>
            <w:webHidden/>
          </w:rPr>
          <w:fldChar w:fldCharType="end"/>
        </w:r>
      </w:hyperlink>
    </w:p>
    <w:p w14:paraId="650562C8" w14:textId="5E86285D"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7" w:history="1">
        <w:r w:rsidRPr="007661B9">
          <w:rPr>
            <w:rStyle w:val="Hyperlink"/>
            <w:noProof/>
          </w:rPr>
          <w:t>10</w:t>
        </w:r>
        <w:r>
          <w:rPr>
            <w:rStyle w:val="Hyperlink"/>
            <w:noProof/>
          </w:rPr>
          <w:tab/>
        </w:r>
        <w:r w:rsidRPr="007661B9">
          <w:rPr>
            <w:rStyle w:val="Hyperlink"/>
            <w:noProof/>
          </w:rPr>
          <w:t>Residents’ Access to the Management Process at the Bobiri Forest Reserve</w:t>
        </w:r>
        <w:r w:rsidRPr="007661B9">
          <w:rPr>
            <w:rStyle w:val="Hyperlink"/>
            <w:rFonts w:cs="Times New Roman"/>
            <w:noProof/>
          </w:rPr>
          <w:t>.</w:t>
        </w:r>
        <w:r w:rsidRPr="007661B9">
          <w:rPr>
            <w:noProof/>
            <w:webHidden/>
          </w:rPr>
          <w:tab/>
        </w:r>
        <w:r w:rsidRPr="007661B9">
          <w:rPr>
            <w:noProof/>
            <w:webHidden/>
          </w:rPr>
          <w:fldChar w:fldCharType="begin"/>
        </w:r>
        <w:r w:rsidRPr="007661B9">
          <w:rPr>
            <w:noProof/>
            <w:webHidden/>
          </w:rPr>
          <w:instrText xml:space="preserve"> PAGEREF _Toc202196567 \h </w:instrText>
        </w:r>
        <w:r w:rsidRPr="007661B9">
          <w:rPr>
            <w:noProof/>
            <w:webHidden/>
          </w:rPr>
        </w:r>
        <w:r w:rsidRPr="007661B9">
          <w:rPr>
            <w:noProof/>
            <w:webHidden/>
          </w:rPr>
          <w:fldChar w:fldCharType="separate"/>
        </w:r>
        <w:r w:rsidR="00717E31">
          <w:rPr>
            <w:noProof/>
            <w:webHidden/>
          </w:rPr>
          <w:t>189</w:t>
        </w:r>
        <w:r w:rsidRPr="007661B9">
          <w:rPr>
            <w:noProof/>
            <w:webHidden/>
          </w:rPr>
          <w:fldChar w:fldCharType="end"/>
        </w:r>
      </w:hyperlink>
    </w:p>
    <w:p w14:paraId="1AAB8CCB" w14:textId="0D086575"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8" w:history="1">
        <w:r w:rsidRPr="007661B9">
          <w:rPr>
            <w:rStyle w:val="Hyperlink"/>
            <w:noProof/>
          </w:rPr>
          <w:t>11</w:t>
        </w:r>
        <w:r>
          <w:rPr>
            <w:rStyle w:val="Hyperlink"/>
            <w:noProof/>
          </w:rPr>
          <w:tab/>
        </w:r>
        <w:r w:rsidRPr="007661B9">
          <w:rPr>
            <w:rStyle w:val="Hyperlink"/>
            <w:noProof/>
          </w:rPr>
          <w:t xml:space="preserve">Residents' Access to the Southern Scarp Forest Reserve </w:t>
        </w:r>
        <w:r>
          <w:rPr>
            <w:rStyle w:val="Hyperlink"/>
            <w:noProof/>
          </w:rPr>
          <w:t xml:space="preserve">    </w:t>
        </w:r>
        <w:r w:rsidRPr="007661B9">
          <w:rPr>
            <w:rStyle w:val="Hyperlink"/>
            <w:noProof/>
          </w:rPr>
          <w:t>Management Process</w:t>
        </w:r>
        <w:r w:rsidRPr="007661B9">
          <w:rPr>
            <w:rStyle w:val="Hyperlink"/>
            <w:rFonts w:cs="Times New Roman"/>
            <w:noProof/>
          </w:rPr>
          <w:t>.</w:t>
        </w:r>
        <w:r w:rsidRPr="007661B9">
          <w:rPr>
            <w:noProof/>
            <w:webHidden/>
          </w:rPr>
          <w:tab/>
        </w:r>
        <w:r w:rsidRPr="007661B9">
          <w:rPr>
            <w:noProof/>
            <w:webHidden/>
          </w:rPr>
          <w:fldChar w:fldCharType="begin"/>
        </w:r>
        <w:r w:rsidRPr="007661B9">
          <w:rPr>
            <w:noProof/>
            <w:webHidden/>
          </w:rPr>
          <w:instrText xml:space="preserve"> PAGEREF _Toc202196568 \h </w:instrText>
        </w:r>
        <w:r w:rsidRPr="007661B9">
          <w:rPr>
            <w:noProof/>
            <w:webHidden/>
          </w:rPr>
        </w:r>
        <w:r w:rsidRPr="007661B9">
          <w:rPr>
            <w:noProof/>
            <w:webHidden/>
          </w:rPr>
          <w:fldChar w:fldCharType="separate"/>
        </w:r>
        <w:r w:rsidR="00717E31">
          <w:rPr>
            <w:noProof/>
            <w:webHidden/>
          </w:rPr>
          <w:t>191</w:t>
        </w:r>
        <w:r w:rsidRPr="007661B9">
          <w:rPr>
            <w:noProof/>
            <w:webHidden/>
          </w:rPr>
          <w:fldChar w:fldCharType="end"/>
        </w:r>
      </w:hyperlink>
    </w:p>
    <w:p w14:paraId="4244FE12" w14:textId="3D0F3439"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69" w:history="1">
        <w:r w:rsidRPr="007661B9">
          <w:rPr>
            <w:rStyle w:val="Hyperlink"/>
            <w:iCs/>
            <w:noProof/>
          </w:rPr>
          <w:t>12</w:t>
        </w:r>
        <w:r>
          <w:rPr>
            <w:rStyle w:val="Hyperlink"/>
            <w:noProof/>
          </w:rPr>
          <w:tab/>
        </w:r>
        <w:r w:rsidRPr="007661B9">
          <w:rPr>
            <w:rStyle w:val="Hyperlink"/>
            <w:noProof/>
          </w:rPr>
          <w:t>Residents' Awareness of the Bobiri Forest Reserve Management Process.</w:t>
        </w:r>
        <w:r w:rsidRPr="007661B9">
          <w:rPr>
            <w:noProof/>
            <w:webHidden/>
          </w:rPr>
          <w:tab/>
        </w:r>
        <w:r w:rsidRPr="007661B9">
          <w:rPr>
            <w:noProof/>
            <w:webHidden/>
          </w:rPr>
          <w:fldChar w:fldCharType="begin"/>
        </w:r>
        <w:r w:rsidRPr="007661B9">
          <w:rPr>
            <w:noProof/>
            <w:webHidden/>
          </w:rPr>
          <w:instrText xml:space="preserve"> PAGEREF _Toc202196569 \h </w:instrText>
        </w:r>
        <w:r w:rsidRPr="007661B9">
          <w:rPr>
            <w:noProof/>
            <w:webHidden/>
          </w:rPr>
        </w:r>
        <w:r w:rsidRPr="007661B9">
          <w:rPr>
            <w:noProof/>
            <w:webHidden/>
          </w:rPr>
          <w:fldChar w:fldCharType="separate"/>
        </w:r>
        <w:r w:rsidR="00717E31">
          <w:rPr>
            <w:noProof/>
            <w:webHidden/>
          </w:rPr>
          <w:t>192</w:t>
        </w:r>
        <w:r w:rsidRPr="007661B9">
          <w:rPr>
            <w:noProof/>
            <w:webHidden/>
          </w:rPr>
          <w:fldChar w:fldCharType="end"/>
        </w:r>
      </w:hyperlink>
    </w:p>
    <w:p w14:paraId="6BD3C676" w14:textId="1629C7FD"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70" w:history="1">
        <w:r w:rsidRPr="007661B9">
          <w:rPr>
            <w:rStyle w:val="Hyperlink"/>
            <w:noProof/>
          </w:rPr>
          <w:t>13</w:t>
        </w:r>
        <w:r>
          <w:rPr>
            <w:rStyle w:val="Hyperlink"/>
            <w:noProof/>
          </w:rPr>
          <w:tab/>
        </w:r>
        <w:r w:rsidRPr="007661B9">
          <w:rPr>
            <w:rStyle w:val="Hyperlink"/>
            <w:noProof/>
          </w:rPr>
          <w:t>Residents' Awareness of the Collaboration Process at the Southern Scarp Forest Reserve</w:t>
        </w:r>
        <w:r w:rsidRPr="007661B9">
          <w:rPr>
            <w:noProof/>
            <w:webHidden/>
          </w:rPr>
          <w:tab/>
        </w:r>
        <w:r w:rsidRPr="007661B9">
          <w:rPr>
            <w:noProof/>
            <w:webHidden/>
          </w:rPr>
          <w:fldChar w:fldCharType="begin"/>
        </w:r>
        <w:r w:rsidRPr="007661B9">
          <w:rPr>
            <w:noProof/>
            <w:webHidden/>
          </w:rPr>
          <w:instrText xml:space="preserve"> PAGEREF _Toc202196570 \h </w:instrText>
        </w:r>
        <w:r w:rsidRPr="007661B9">
          <w:rPr>
            <w:noProof/>
            <w:webHidden/>
          </w:rPr>
        </w:r>
        <w:r w:rsidRPr="007661B9">
          <w:rPr>
            <w:noProof/>
            <w:webHidden/>
          </w:rPr>
          <w:fldChar w:fldCharType="separate"/>
        </w:r>
        <w:r w:rsidR="00717E31">
          <w:rPr>
            <w:noProof/>
            <w:webHidden/>
          </w:rPr>
          <w:t>194</w:t>
        </w:r>
        <w:r w:rsidRPr="007661B9">
          <w:rPr>
            <w:noProof/>
            <w:webHidden/>
          </w:rPr>
          <w:fldChar w:fldCharType="end"/>
        </w:r>
      </w:hyperlink>
    </w:p>
    <w:p w14:paraId="36719979" w14:textId="3AC96A01"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71" w:history="1">
        <w:r w:rsidRPr="007661B9">
          <w:rPr>
            <w:rStyle w:val="Hyperlink"/>
            <w:rFonts w:cs="Times New Roman"/>
            <w:noProof/>
          </w:rPr>
          <w:t>14</w:t>
        </w:r>
        <w:r>
          <w:rPr>
            <w:rStyle w:val="Hyperlink"/>
            <w:rFonts w:cs="Times New Roman"/>
            <w:noProof/>
          </w:rPr>
          <w:tab/>
        </w:r>
        <w:r w:rsidRPr="007661B9">
          <w:rPr>
            <w:rStyle w:val="Hyperlink"/>
            <w:noProof/>
          </w:rPr>
          <w:t>Residents' Control of the Management Process at the Southern Scarp Forest Reserve.</w:t>
        </w:r>
        <w:r w:rsidRPr="007661B9">
          <w:rPr>
            <w:noProof/>
            <w:webHidden/>
          </w:rPr>
          <w:tab/>
        </w:r>
        <w:r w:rsidRPr="007661B9">
          <w:rPr>
            <w:noProof/>
            <w:webHidden/>
          </w:rPr>
          <w:fldChar w:fldCharType="begin"/>
        </w:r>
        <w:r w:rsidRPr="007661B9">
          <w:rPr>
            <w:noProof/>
            <w:webHidden/>
          </w:rPr>
          <w:instrText xml:space="preserve"> PAGEREF _Toc202196571 \h </w:instrText>
        </w:r>
        <w:r w:rsidRPr="007661B9">
          <w:rPr>
            <w:noProof/>
            <w:webHidden/>
          </w:rPr>
        </w:r>
        <w:r w:rsidRPr="007661B9">
          <w:rPr>
            <w:noProof/>
            <w:webHidden/>
          </w:rPr>
          <w:fldChar w:fldCharType="separate"/>
        </w:r>
        <w:r w:rsidR="00717E31">
          <w:rPr>
            <w:noProof/>
            <w:webHidden/>
          </w:rPr>
          <w:t>196</w:t>
        </w:r>
        <w:r w:rsidRPr="007661B9">
          <w:rPr>
            <w:noProof/>
            <w:webHidden/>
          </w:rPr>
          <w:fldChar w:fldCharType="end"/>
        </w:r>
      </w:hyperlink>
    </w:p>
    <w:p w14:paraId="3F19937E" w14:textId="4CA4488A"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72" w:history="1">
        <w:r w:rsidRPr="007661B9">
          <w:rPr>
            <w:rStyle w:val="Hyperlink"/>
            <w:noProof/>
          </w:rPr>
          <w:t>15</w:t>
        </w:r>
        <w:r>
          <w:rPr>
            <w:rStyle w:val="Hyperlink"/>
            <w:noProof/>
          </w:rPr>
          <w:tab/>
        </w:r>
        <w:r w:rsidRPr="007661B9">
          <w:rPr>
            <w:rStyle w:val="Hyperlink"/>
            <w:noProof/>
          </w:rPr>
          <w:t>Benefits the Residents Derived from the Management Process at</w:t>
        </w:r>
        <w:r>
          <w:rPr>
            <w:rStyle w:val="Hyperlink"/>
            <w:noProof/>
          </w:rPr>
          <w:t xml:space="preserve">      </w:t>
        </w:r>
        <w:r w:rsidRPr="007661B9">
          <w:rPr>
            <w:rStyle w:val="Hyperlink"/>
            <w:noProof/>
          </w:rPr>
          <w:t xml:space="preserve"> the Bobiri Forest Reserve</w:t>
        </w:r>
        <w:r w:rsidRPr="007661B9">
          <w:rPr>
            <w:rStyle w:val="Hyperlink"/>
            <w:bCs/>
            <w:noProof/>
          </w:rPr>
          <w:t>.</w:t>
        </w:r>
        <w:r w:rsidRPr="007661B9">
          <w:rPr>
            <w:noProof/>
            <w:webHidden/>
          </w:rPr>
          <w:tab/>
        </w:r>
        <w:r w:rsidRPr="007661B9">
          <w:rPr>
            <w:noProof/>
            <w:webHidden/>
          </w:rPr>
          <w:fldChar w:fldCharType="begin"/>
        </w:r>
        <w:r w:rsidRPr="007661B9">
          <w:rPr>
            <w:noProof/>
            <w:webHidden/>
          </w:rPr>
          <w:instrText xml:space="preserve"> PAGEREF _Toc202196572 \h </w:instrText>
        </w:r>
        <w:r w:rsidRPr="007661B9">
          <w:rPr>
            <w:noProof/>
            <w:webHidden/>
          </w:rPr>
        </w:r>
        <w:r w:rsidRPr="007661B9">
          <w:rPr>
            <w:noProof/>
            <w:webHidden/>
          </w:rPr>
          <w:fldChar w:fldCharType="separate"/>
        </w:r>
        <w:r w:rsidR="00717E31">
          <w:rPr>
            <w:noProof/>
            <w:webHidden/>
          </w:rPr>
          <w:t>198</w:t>
        </w:r>
        <w:r w:rsidRPr="007661B9">
          <w:rPr>
            <w:noProof/>
            <w:webHidden/>
          </w:rPr>
          <w:fldChar w:fldCharType="end"/>
        </w:r>
      </w:hyperlink>
    </w:p>
    <w:p w14:paraId="533C2F20" w14:textId="1E18DA6F" w:rsidR="007661B9" w:rsidRPr="007661B9" w:rsidRDefault="007661B9" w:rsidP="007661B9">
      <w:pPr>
        <w:pStyle w:val="TableofFigures"/>
        <w:tabs>
          <w:tab w:val="right" w:pos="7576"/>
        </w:tabs>
        <w:ind w:left="720" w:hanging="720"/>
        <w:jc w:val="left"/>
        <w:rPr>
          <w:rFonts w:asciiTheme="minorHAnsi" w:eastAsiaTheme="minorEastAsia" w:hAnsiTheme="minorHAnsi"/>
          <w:noProof/>
          <w:sz w:val="22"/>
          <w:lang w:val="en-US"/>
        </w:rPr>
      </w:pPr>
      <w:hyperlink w:anchor="_Toc202196573" w:history="1">
        <w:r w:rsidRPr="007661B9">
          <w:rPr>
            <w:rStyle w:val="Hyperlink"/>
            <w:noProof/>
          </w:rPr>
          <w:t>16</w:t>
        </w:r>
        <w:r>
          <w:rPr>
            <w:rStyle w:val="Hyperlink"/>
            <w:noProof/>
          </w:rPr>
          <w:tab/>
        </w:r>
        <w:r w:rsidRPr="007661B9">
          <w:rPr>
            <w:rStyle w:val="Hyperlink"/>
            <w:noProof/>
          </w:rPr>
          <w:t>Benefit Derived by Residents from the Management Process at the Southern Scarp Forest Reserve</w:t>
        </w:r>
        <w:r w:rsidRPr="007661B9">
          <w:rPr>
            <w:noProof/>
            <w:webHidden/>
          </w:rPr>
          <w:tab/>
        </w:r>
        <w:r w:rsidRPr="007661B9">
          <w:rPr>
            <w:noProof/>
            <w:webHidden/>
          </w:rPr>
          <w:fldChar w:fldCharType="begin"/>
        </w:r>
        <w:r w:rsidRPr="007661B9">
          <w:rPr>
            <w:noProof/>
            <w:webHidden/>
          </w:rPr>
          <w:instrText xml:space="preserve"> PAGEREF _Toc202196573 \h </w:instrText>
        </w:r>
        <w:r w:rsidRPr="007661B9">
          <w:rPr>
            <w:noProof/>
            <w:webHidden/>
          </w:rPr>
        </w:r>
        <w:r w:rsidRPr="007661B9">
          <w:rPr>
            <w:noProof/>
            <w:webHidden/>
          </w:rPr>
          <w:fldChar w:fldCharType="separate"/>
        </w:r>
        <w:r w:rsidR="00717E31">
          <w:rPr>
            <w:noProof/>
            <w:webHidden/>
          </w:rPr>
          <w:t>200</w:t>
        </w:r>
        <w:r w:rsidRPr="007661B9">
          <w:rPr>
            <w:noProof/>
            <w:webHidden/>
          </w:rPr>
          <w:fldChar w:fldCharType="end"/>
        </w:r>
      </w:hyperlink>
    </w:p>
    <w:p w14:paraId="7E3E4524" w14:textId="77777777" w:rsidR="007661B9" w:rsidRDefault="00BB4078" w:rsidP="007661B9">
      <w:pPr>
        <w:pStyle w:val="BodyText"/>
        <w:ind w:left="720" w:hanging="720"/>
        <w:jc w:val="left"/>
      </w:pPr>
      <w:r w:rsidRPr="007661B9">
        <w:fldChar w:fldCharType="end"/>
      </w:r>
      <w:bookmarkStart w:id="11" w:name="_Toc150944724"/>
    </w:p>
    <w:p w14:paraId="63DD069B" w14:textId="77777777" w:rsidR="007661B9" w:rsidRDefault="007661B9">
      <w:pPr>
        <w:spacing w:line="259" w:lineRule="auto"/>
        <w:ind w:left="0" w:firstLine="0"/>
        <w:jc w:val="left"/>
      </w:pPr>
      <w:r>
        <w:br w:type="page"/>
      </w:r>
    </w:p>
    <w:p w14:paraId="3111B23E" w14:textId="3E79DB40" w:rsidR="00BB4078" w:rsidRPr="00DB32FC" w:rsidRDefault="00BB4078" w:rsidP="007661B9">
      <w:pPr>
        <w:pStyle w:val="BodyText"/>
        <w:ind w:left="720" w:hanging="720"/>
        <w:jc w:val="center"/>
        <w:rPr>
          <w:rFonts w:cs="Times New Roman"/>
          <w:b/>
          <w:szCs w:val="24"/>
        </w:rPr>
      </w:pPr>
      <w:r w:rsidRPr="00DB32FC">
        <w:rPr>
          <w:rFonts w:cs="Times New Roman"/>
          <w:b/>
          <w:szCs w:val="24"/>
        </w:rPr>
        <w:lastRenderedPageBreak/>
        <w:t>LIST OF PLATES</w:t>
      </w:r>
      <w:bookmarkEnd w:id="11"/>
    </w:p>
    <w:p w14:paraId="0EEFCE11" w14:textId="72542FE7" w:rsidR="00FA7F54" w:rsidRPr="0043479E" w:rsidRDefault="00FA7F54" w:rsidP="00FA7F54">
      <w:pPr>
        <w:ind w:left="0" w:firstLine="0"/>
      </w:pPr>
      <w:r w:rsidRPr="0043479E">
        <w:t>Plate</w:t>
      </w:r>
      <w:r w:rsidRPr="0043479E">
        <w:tab/>
      </w:r>
      <w:r w:rsidRPr="0043479E">
        <w:tab/>
      </w:r>
      <w:r w:rsidRPr="0043479E">
        <w:tab/>
      </w:r>
      <w:r w:rsidRPr="0043479E">
        <w:tab/>
      </w:r>
      <w:r w:rsidRPr="0043479E">
        <w:tab/>
      </w:r>
      <w:r w:rsidRPr="0043479E">
        <w:tab/>
      </w:r>
      <w:r w:rsidRPr="0043479E">
        <w:tab/>
      </w:r>
      <w:r w:rsidRPr="0043479E">
        <w:tab/>
      </w:r>
      <w:r w:rsidR="008D3A3F" w:rsidRPr="0043479E">
        <w:t xml:space="preserve">          </w:t>
      </w:r>
      <w:r w:rsidR="007A743B">
        <w:tab/>
        <w:t xml:space="preserve">         </w:t>
      </w:r>
      <w:r w:rsidRPr="0043479E">
        <w:t>Page</w:t>
      </w:r>
    </w:p>
    <w:p w14:paraId="4C3777B7" w14:textId="01CE67A5" w:rsidR="008D3A3F" w:rsidRDefault="00BB4078" w:rsidP="007661B9">
      <w:pPr>
        <w:pStyle w:val="TableofFigures"/>
        <w:numPr>
          <w:ilvl w:val="1"/>
          <w:numId w:val="44"/>
        </w:numPr>
        <w:tabs>
          <w:tab w:val="right" w:pos="7576"/>
        </w:tabs>
        <w:ind w:left="720" w:hanging="720"/>
        <w:rPr>
          <w:rFonts w:asciiTheme="minorHAnsi" w:eastAsiaTheme="minorEastAsia" w:hAnsiTheme="minorHAnsi"/>
          <w:noProof/>
          <w:sz w:val="22"/>
          <w:lang w:val="en-US"/>
        </w:rPr>
      </w:pPr>
      <w:r>
        <w:fldChar w:fldCharType="begin"/>
      </w:r>
      <w:r>
        <w:instrText xml:space="preserve"> TOC \f P \h \z \t "Heading 5" \c </w:instrText>
      </w:r>
      <w:r>
        <w:fldChar w:fldCharType="separate"/>
      </w:r>
      <w:hyperlink w:anchor="_Toc172108063" w:history="1">
        <w:r w:rsidR="008D3A3F" w:rsidRPr="00C82C4F">
          <w:rPr>
            <w:rStyle w:val="Hyperlink"/>
            <w:noProof/>
          </w:rPr>
          <w:t>A Junior High School block built with funds from SRA</w:t>
        </w:r>
        <w:r w:rsidR="008D3A3F">
          <w:rPr>
            <w:noProof/>
            <w:webHidden/>
          </w:rPr>
          <w:tab/>
        </w:r>
        <w:r w:rsidR="008D3A3F">
          <w:rPr>
            <w:noProof/>
            <w:webHidden/>
          </w:rPr>
          <w:fldChar w:fldCharType="begin"/>
        </w:r>
        <w:r w:rsidR="008D3A3F">
          <w:rPr>
            <w:noProof/>
            <w:webHidden/>
          </w:rPr>
          <w:instrText xml:space="preserve"> PAGEREF _Toc172108063 \h </w:instrText>
        </w:r>
        <w:r w:rsidR="008D3A3F">
          <w:rPr>
            <w:noProof/>
            <w:webHidden/>
          </w:rPr>
        </w:r>
        <w:r w:rsidR="008D3A3F">
          <w:rPr>
            <w:noProof/>
            <w:webHidden/>
          </w:rPr>
          <w:fldChar w:fldCharType="separate"/>
        </w:r>
        <w:r w:rsidR="00717E31">
          <w:rPr>
            <w:noProof/>
            <w:webHidden/>
          </w:rPr>
          <w:t>165</w:t>
        </w:r>
        <w:r w:rsidR="008D3A3F">
          <w:rPr>
            <w:noProof/>
            <w:webHidden/>
          </w:rPr>
          <w:fldChar w:fldCharType="end"/>
        </w:r>
      </w:hyperlink>
    </w:p>
    <w:p w14:paraId="06F87C3A" w14:textId="2AE0BF5A" w:rsidR="008D3A3F" w:rsidRDefault="008D3A3F" w:rsidP="007661B9">
      <w:pPr>
        <w:pStyle w:val="TableofFigures"/>
        <w:numPr>
          <w:ilvl w:val="1"/>
          <w:numId w:val="44"/>
        </w:numPr>
        <w:tabs>
          <w:tab w:val="right" w:pos="7576"/>
        </w:tabs>
        <w:ind w:left="720" w:hanging="720"/>
        <w:rPr>
          <w:rFonts w:asciiTheme="minorHAnsi" w:eastAsiaTheme="minorEastAsia" w:hAnsiTheme="minorHAnsi"/>
          <w:noProof/>
          <w:sz w:val="22"/>
          <w:lang w:val="en-US"/>
        </w:rPr>
      </w:pPr>
      <w:hyperlink w:anchor="_Toc172108064" w:history="1">
        <w:r w:rsidRPr="00C82C4F">
          <w:rPr>
            <w:rStyle w:val="Hyperlink"/>
            <w:noProof/>
          </w:rPr>
          <w:t xml:space="preserve"> Site for constructing a market and police station.</w:t>
        </w:r>
        <w:r>
          <w:rPr>
            <w:noProof/>
            <w:webHidden/>
          </w:rPr>
          <w:tab/>
        </w:r>
        <w:r>
          <w:rPr>
            <w:noProof/>
            <w:webHidden/>
          </w:rPr>
          <w:fldChar w:fldCharType="begin"/>
        </w:r>
        <w:r>
          <w:rPr>
            <w:noProof/>
            <w:webHidden/>
          </w:rPr>
          <w:instrText xml:space="preserve"> PAGEREF _Toc172108064 \h </w:instrText>
        </w:r>
        <w:r>
          <w:rPr>
            <w:noProof/>
            <w:webHidden/>
          </w:rPr>
        </w:r>
        <w:r>
          <w:rPr>
            <w:noProof/>
            <w:webHidden/>
          </w:rPr>
          <w:fldChar w:fldCharType="separate"/>
        </w:r>
        <w:r w:rsidR="00717E31">
          <w:rPr>
            <w:noProof/>
            <w:webHidden/>
          </w:rPr>
          <w:t>178</w:t>
        </w:r>
        <w:r>
          <w:rPr>
            <w:noProof/>
            <w:webHidden/>
          </w:rPr>
          <w:fldChar w:fldCharType="end"/>
        </w:r>
      </w:hyperlink>
    </w:p>
    <w:p w14:paraId="08B85EA6" w14:textId="707781E9" w:rsidR="008D3A3F" w:rsidRPr="008D3A3F" w:rsidRDefault="008D3A3F" w:rsidP="007661B9">
      <w:pPr>
        <w:pStyle w:val="TableofFigures"/>
        <w:numPr>
          <w:ilvl w:val="1"/>
          <w:numId w:val="44"/>
        </w:numPr>
        <w:ind w:left="720" w:hanging="720"/>
        <w:jc w:val="left"/>
        <w:rPr>
          <w:noProof/>
        </w:rPr>
      </w:pPr>
      <w:hyperlink w:anchor="_Toc172108065" w:history="1">
        <w:r w:rsidRPr="00C82C4F">
          <w:rPr>
            <w:rStyle w:val="Hyperlink"/>
            <w:noProof/>
          </w:rPr>
          <w:t xml:space="preserve"> A portion of the Southern Scarp Forest Reserve </w:t>
        </w:r>
      </w:hyperlink>
      <w:r w:rsidRPr="008D3A3F">
        <w:rPr>
          <w:noProof/>
        </w:rPr>
        <w:t xml:space="preserve">reduced to </w:t>
      </w:r>
      <w:r w:rsidR="007661B9">
        <w:rPr>
          <w:noProof/>
        </w:rPr>
        <w:t xml:space="preserve">   </w:t>
      </w:r>
      <w:r w:rsidRPr="008D3A3F">
        <w:rPr>
          <w:noProof/>
        </w:rPr>
        <w:t>grassland.</w:t>
      </w:r>
      <w:r w:rsidRPr="008D3A3F">
        <w:rPr>
          <w:noProof/>
          <w:webHidden/>
        </w:rPr>
        <w:tab/>
      </w:r>
      <w:r>
        <w:rPr>
          <w:noProof/>
          <w:webHidden/>
        </w:rPr>
        <w:tab/>
      </w:r>
      <w:r>
        <w:rPr>
          <w:noProof/>
          <w:webHidden/>
        </w:rPr>
        <w:tab/>
      </w:r>
      <w:r>
        <w:rPr>
          <w:noProof/>
          <w:webHidden/>
        </w:rPr>
        <w:tab/>
      </w:r>
      <w:r>
        <w:rPr>
          <w:noProof/>
          <w:webHidden/>
        </w:rPr>
        <w:tab/>
      </w:r>
      <w:r>
        <w:rPr>
          <w:noProof/>
          <w:webHidden/>
        </w:rPr>
        <w:tab/>
      </w:r>
      <w:r w:rsidR="007661B9">
        <w:rPr>
          <w:noProof/>
          <w:webHidden/>
        </w:rPr>
        <w:tab/>
      </w:r>
      <w:r w:rsidR="007661B9">
        <w:rPr>
          <w:noProof/>
          <w:webHidden/>
        </w:rPr>
        <w:tab/>
      </w:r>
      <w:r w:rsidRPr="008D3A3F">
        <w:rPr>
          <w:noProof/>
          <w:webHidden/>
        </w:rPr>
        <w:fldChar w:fldCharType="begin"/>
      </w:r>
      <w:r w:rsidRPr="008D3A3F">
        <w:rPr>
          <w:noProof/>
          <w:webHidden/>
        </w:rPr>
        <w:instrText xml:space="preserve"> PAGEREF _Toc172108065 \h </w:instrText>
      </w:r>
      <w:r w:rsidRPr="008D3A3F">
        <w:rPr>
          <w:noProof/>
          <w:webHidden/>
        </w:rPr>
      </w:r>
      <w:r w:rsidRPr="008D3A3F">
        <w:rPr>
          <w:noProof/>
          <w:webHidden/>
        </w:rPr>
        <w:fldChar w:fldCharType="separate"/>
      </w:r>
      <w:r w:rsidR="00717E31">
        <w:rPr>
          <w:noProof/>
          <w:webHidden/>
        </w:rPr>
        <w:t>184</w:t>
      </w:r>
      <w:r w:rsidRPr="008D3A3F">
        <w:rPr>
          <w:noProof/>
          <w:webHidden/>
        </w:rPr>
        <w:fldChar w:fldCharType="end"/>
      </w:r>
    </w:p>
    <w:p w14:paraId="0B87417B" w14:textId="5BAB0DA6" w:rsidR="00BB4078" w:rsidRPr="00BB4078" w:rsidRDefault="00BB4078" w:rsidP="007661B9">
      <w:pPr>
        <w:ind w:left="720" w:hanging="720"/>
        <w:jc w:val="left"/>
      </w:pPr>
      <w:r>
        <w:fldChar w:fldCharType="end"/>
      </w:r>
    </w:p>
    <w:p w14:paraId="5EE7BEB5" w14:textId="77777777" w:rsidR="00BB4078" w:rsidRDefault="00BB4078" w:rsidP="00BB4078"/>
    <w:p w14:paraId="7B8C1A57" w14:textId="77777777" w:rsidR="00BB4078" w:rsidRDefault="00BB4078" w:rsidP="00BB4078">
      <w:pPr>
        <w:pStyle w:val="BodyText"/>
      </w:pPr>
    </w:p>
    <w:p w14:paraId="48DB6DB9" w14:textId="77777777" w:rsidR="00BB4078" w:rsidRDefault="00BB4078" w:rsidP="00BB4078">
      <w:pPr>
        <w:pStyle w:val="BodyText"/>
      </w:pPr>
    </w:p>
    <w:p w14:paraId="250D1E43" w14:textId="77777777" w:rsidR="00BB4078" w:rsidRDefault="00BB4078" w:rsidP="00BB4078">
      <w:pPr>
        <w:pStyle w:val="BodyText"/>
      </w:pPr>
    </w:p>
    <w:p w14:paraId="034EB1D5" w14:textId="77777777" w:rsidR="00BB4078" w:rsidRDefault="00BB4078" w:rsidP="00BB4078">
      <w:pPr>
        <w:pStyle w:val="BodyText"/>
      </w:pPr>
    </w:p>
    <w:p w14:paraId="7D08E269" w14:textId="77777777" w:rsidR="00BB4078" w:rsidRDefault="00BB4078" w:rsidP="00BB4078">
      <w:pPr>
        <w:pStyle w:val="BodyText"/>
      </w:pPr>
    </w:p>
    <w:p w14:paraId="58E2D287" w14:textId="77777777" w:rsidR="00BB4078" w:rsidRDefault="00BB4078" w:rsidP="00BB4078">
      <w:pPr>
        <w:pStyle w:val="BodyText"/>
      </w:pPr>
    </w:p>
    <w:p w14:paraId="10B363AE" w14:textId="77777777" w:rsidR="00BB4078" w:rsidRDefault="00BB4078" w:rsidP="00BB4078">
      <w:pPr>
        <w:pStyle w:val="BodyText"/>
      </w:pPr>
    </w:p>
    <w:p w14:paraId="4D03CD7F" w14:textId="77777777" w:rsidR="00BB4078" w:rsidRDefault="00BB4078" w:rsidP="00BB4078">
      <w:pPr>
        <w:pStyle w:val="BodyText"/>
      </w:pPr>
    </w:p>
    <w:p w14:paraId="25EF5F53" w14:textId="77777777" w:rsidR="00BB4078" w:rsidRDefault="00BB4078" w:rsidP="00BB4078">
      <w:pPr>
        <w:pStyle w:val="BodyText"/>
      </w:pPr>
    </w:p>
    <w:p w14:paraId="6B28B2FD" w14:textId="77777777" w:rsidR="00BB4078" w:rsidRDefault="00BB4078" w:rsidP="00BB4078">
      <w:pPr>
        <w:pStyle w:val="BodyText"/>
      </w:pPr>
    </w:p>
    <w:p w14:paraId="13678AD3" w14:textId="77777777" w:rsidR="00BB4078" w:rsidRDefault="00BB4078" w:rsidP="00BB4078">
      <w:pPr>
        <w:pStyle w:val="BodyText"/>
      </w:pPr>
    </w:p>
    <w:p w14:paraId="06457E52" w14:textId="77777777" w:rsidR="00BB4078" w:rsidRDefault="00BB4078" w:rsidP="00BB4078">
      <w:pPr>
        <w:pStyle w:val="BodyText"/>
      </w:pPr>
    </w:p>
    <w:p w14:paraId="330BD613" w14:textId="77777777" w:rsidR="00BB4078" w:rsidRDefault="00BB4078" w:rsidP="00BB4078">
      <w:pPr>
        <w:pStyle w:val="BodyText"/>
      </w:pPr>
    </w:p>
    <w:p w14:paraId="682058E9" w14:textId="77777777" w:rsidR="00BB4078" w:rsidRPr="002B1463" w:rsidRDefault="00BB4078" w:rsidP="00BB4078">
      <w:pPr>
        <w:pStyle w:val="Heading1"/>
        <w:spacing w:before="0"/>
        <w:ind w:left="0"/>
        <w:rPr>
          <w:rFonts w:cs="Times New Roman"/>
          <w:szCs w:val="24"/>
        </w:rPr>
      </w:pPr>
      <w:bookmarkStart w:id="12" w:name="_Toc150944725"/>
      <w:bookmarkStart w:id="13" w:name="_Toc202197582"/>
      <w:r w:rsidRPr="002B1463">
        <w:rPr>
          <w:rFonts w:cs="Times New Roman"/>
          <w:szCs w:val="24"/>
        </w:rPr>
        <w:lastRenderedPageBreak/>
        <w:t>LIST OF ABBREVIATIONS</w:t>
      </w:r>
      <w:bookmarkEnd w:id="12"/>
      <w:bookmarkEnd w:id="13"/>
    </w:p>
    <w:p w14:paraId="3BFFE3D2" w14:textId="77777777" w:rsidR="00C8125D" w:rsidRDefault="00C8125D" w:rsidP="00B51B72">
      <w:pPr>
        <w:spacing w:after="0"/>
        <w:ind w:left="0" w:firstLine="0"/>
        <w:rPr>
          <w:rFonts w:cs="Times New Roman"/>
          <w:szCs w:val="24"/>
        </w:rPr>
      </w:pPr>
      <w:r>
        <w:rPr>
          <w:rFonts w:cs="Times New Roman"/>
          <w:szCs w:val="24"/>
        </w:rPr>
        <w:t>BFRBS</w:t>
      </w:r>
      <w:r>
        <w:rPr>
          <w:rFonts w:cs="Times New Roman"/>
          <w:szCs w:val="24"/>
        </w:rPr>
        <w:tab/>
      </w:r>
      <w:r w:rsidRPr="00A51854">
        <w:rPr>
          <w:rFonts w:cs="Times New Roman"/>
          <w:szCs w:val="24"/>
        </w:rPr>
        <w:t xml:space="preserve"> B</w:t>
      </w:r>
      <w:r>
        <w:rPr>
          <w:rFonts w:cs="Times New Roman"/>
          <w:szCs w:val="24"/>
        </w:rPr>
        <w:t xml:space="preserve">obiri </w:t>
      </w:r>
      <w:r w:rsidRPr="00A51854">
        <w:rPr>
          <w:rFonts w:cs="Times New Roman"/>
          <w:szCs w:val="24"/>
        </w:rPr>
        <w:t>F</w:t>
      </w:r>
      <w:r>
        <w:rPr>
          <w:rFonts w:cs="Times New Roman"/>
          <w:szCs w:val="24"/>
        </w:rPr>
        <w:t xml:space="preserve">orest </w:t>
      </w:r>
      <w:r w:rsidRPr="00A51854">
        <w:rPr>
          <w:rFonts w:cs="Times New Roman"/>
          <w:szCs w:val="24"/>
        </w:rPr>
        <w:t>R</w:t>
      </w:r>
      <w:r>
        <w:rPr>
          <w:rFonts w:cs="Times New Roman"/>
          <w:szCs w:val="24"/>
        </w:rPr>
        <w:t xml:space="preserve">eserve </w:t>
      </w:r>
      <w:r w:rsidRPr="00A51854">
        <w:rPr>
          <w:rFonts w:cs="Times New Roman"/>
          <w:szCs w:val="24"/>
        </w:rPr>
        <w:t>B</w:t>
      </w:r>
      <w:r>
        <w:rPr>
          <w:rFonts w:cs="Times New Roman"/>
          <w:szCs w:val="24"/>
        </w:rPr>
        <w:t xml:space="preserve">utterfly </w:t>
      </w:r>
      <w:r w:rsidRPr="00A51854">
        <w:rPr>
          <w:rFonts w:cs="Times New Roman"/>
          <w:szCs w:val="24"/>
        </w:rPr>
        <w:t>S</w:t>
      </w:r>
      <w:r>
        <w:rPr>
          <w:rFonts w:cs="Times New Roman"/>
          <w:szCs w:val="24"/>
        </w:rPr>
        <w:t xml:space="preserve">anctuary </w:t>
      </w:r>
    </w:p>
    <w:p w14:paraId="62D3CED2" w14:textId="77777777" w:rsidR="00C8125D" w:rsidRDefault="00C8125D" w:rsidP="00B51B72">
      <w:pPr>
        <w:spacing w:after="0"/>
        <w:ind w:left="0" w:firstLine="0"/>
      </w:pPr>
      <w:r>
        <w:t xml:space="preserve">CBAGs </w:t>
      </w:r>
      <w:r>
        <w:tab/>
        <w:t xml:space="preserve"> Community Biodiversity Advisory Groups </w:t>
      </w:r>
    </w:p>
    <w:p w14:paraId="72B23ED4" w14:textId="77777777" w:rsidR="00C8125D" w:rsidRDefault="00C8125D" w:rsidP="00B51B72">
      <w:pPr>
        <w:spacing w:after="0"/>
        <w:ind w:left="0" w:firstLine="0"/>
      </w:pPr>
      <w:r>
        <w:t>CBF</w:t>
      </w:r>
      <w:r>
        <w:tab/>
      </w:r>
      <w:r>
        <w:tab/>
        <w:t>Community-Based Forestry</w:t>
      </w:r>
    </w:p>
    <w:p w14:paraId="3B21447A" w14:textId="77777777" w:rsidR="00C8125D" w:rsidRDefault="00C8125D" w:rsidP="00B51B72">
      <w:pPr>
        <w:spacing w:after="0"/>
        <w:ind w:left="0" w:firstLine="0"/>
        <w:rPr>
          <w:rFonts w:cs="Times New Roman"/>
        </w:rPr>
      </w:pPr>
      <w:r>
        <w:rPr>
          <w:rFonts w:cs="Times New Roman"/>
        </w:rPr>
        <w:t xml:space="preserve">CFUG </w:t>
      </w:r>
      <w:r>
        <w:rPr>
          <w:rFonts w:cs="Times New Roman"/>
        </w:rPr>
        <w:tab/>
      </w:r>
      <w:r>
        <w:rPr>
          <w:rFonts w:cs="Times New Roman"/>
        </w:rPr>
        <w:tab/>
        <w:t xml:space="preserve">Community Forest User Groups </w:t>
      </w:r>
    </w:p>
    <w:p w14:paraId="064CC0BC" w14:textId="77777777" w:rsidR="00C8125D" w:rsidRDefault="00C8125D" w:rsidP="00B51B72">
      <w:pPr>
        <w:spacing w:after="0"/>
        <w:ind w:left="0" w:firstLine="0"/>
      </w:pPr>
      <w:r>
        <w:t xml:space="preserve">CFVS </w:t>
      </w:r>
      <w:r>
        <w:tab/>
      </w:r>
      <w:r>
        <w:tab/>
        <w:t xml:space="preserve">Community Fire Volunteer Squads </w:t>
      </w:r>
    </w:p>
    <w:p w14:paraId="498A998E" w14:textId="77777777" w:rsidR="00C8125D" w:rsidRDefault="00C8125D" w:rsidP="00B51B72">
      <w:pPr>
        <w:spacing w:after="0"/>
        <w:ind w:left="0" w:firstLine="0"/>
        <w:rPr>
          <w:rFonts w:cs="Times New Roman"/>
          <w:szCs w:val="24"/>
        </w:rPr>
      </w:pPr>
      <w:r w:rsidRPr="00191A6B">
        <w:rPr>
          <w:rFonts w:cs="Times New Roman"/>
          <w:szCs w:val="24"/>
        </w:rPr>
        <w:t>CREMAs</w:t>
      </w:r>
      <w:r>
        <w:rPr>
          <w:rFonts w:cs="Times New Roman"/>
          <w:szCs w:val="24"/>
        </w:rPr>
        <w:tab/>
      </w:r>
      <w:r w:rsidRPr="00191A6B">
        <w:rPr>
          <w:rFonts w:cs="Times New Roman"/>
          <w:szCs w:val="24"/>
        </w:rPr>
        <w:t xml:space="preserve"> Commu</w:t>
      </w:r>
      <w:r>
        <w:rPr>
          <w:rFonts w:cs="Times New Roman"/>
          <w:szCs w:val="24"/>
        </w:rPr>
        <w:t xml:space="preserve">nity Resource Management Areas </w:t>
      </w:r>
    </w:p>
    <w:p w14:paraId="6531AB55" w14:textId="77777777" w:rsidR="00C8125D" w:rsidRDefault="00C8125D" w:rsidP="00B51B72">
      <w:pPr>
        <w:spacing w:after="0"/>
        <w:ind w:left="0" w:firstLine="0"/>
        <w:rPr>
          <w:rFonts w:cs="Times New Roman"/>
        </w:rPr>
      </w:pPr>
      <w:r>
        <w:rPr>
          <w:rFonts w:cs="Times New Roman"/>
        </w:rPr>
        <w:t>DFO</w:t>
      </w:r>
      <w:r>
        <w:rPr>
          <w:rFonts w:cs="Times New Roman"/>
        </w:rPr>
        <w:tab/>
        <w:t xml:space="preserve"> </w:t>
      </w:r>
      <w:r>
        <w:rPr>
          <w:rFonts w:cs="Times New Roman"/>
        </w:rPr>
        <w:tab/>
        <w:t xml:space="preserve">Division Forest Office </w:t>
      </w:r>
    </w:p>
    <w:p w14:paraId="3D86D869" w14:textId="77777777" w:rsidR="00C8125D" w:rsidRDefault="00C8125D" w:rsidP="00B51B72">
      <w:pPr>
        <w:spacing w:after="0"/>
        <w:ind w:left="0" w:firstLine="0"/>
        <w:rPr>
          <w:rFonts w:cs="Times New Roman"/>
          <w:szCs w:val="24"/>
        </w:rPr>
      </w:pPr>
      <w:r>
        <w:rPr>
          <w:rFonts w:cs="Times New Roman"/>
          <w:szCs w:val="24"/>
        </w:rPr>
        <w:t>FAO</w:t>
      </w:r>
      <w:r w:rsidRPr="00755289">
        <w:rPr>
          <w:rFonts w:cs="Times New Roman"/>
          <w:szCs w:val="24"/>
        </w:rPr>
        <w:t xml:space="preserve"> </w:t>
      </w:r>
      <w:r>
        <w:rPr>
          <w:rFonts w:cs="Times New Roman"/>
          <w:szCs w:val="24"/>
        </w:rPr>
        <w:tab/>
      </w:r>
      <w:r>
        <w:rPr>
          <w:rFonts w:cs="Times New Roman"/>
          <w:szCs w:val="24"/>
        </w:rPr>
        <w:tab/>
      </w:r>
      <w:r w:rsidRPr="00755289">
        <w:rPr>
          <w:rFonts w:cs="Times New Roman"/>
          <w:szCs w:val="24"/>
        </w:rPr>
        <w:t>F</w:t>
      </w:r>
      <w:r>
        <w:rPr>
          <w:rFonts w:cs="Times New Roman"/>
          <w:szCs w:val="24"/>
        </w:rPr>
        <w:t xml:space="preserve">ood and </w:t>
      </w:r>
      <w:r w:rsidRPr="00755289">
        <w:rPr>
          <w:rFonts w:cs="Times New Roman"/>
          <w:szCs w:val="24"/>
        </w:rPr>
        <w:t>A</w:t>
      </w:r>
      <w:r>
        <w:rPr>
          <w:rFonts w:cs="Times New Roman"/>
          <w:szCs w:val="24"/>
        </w:rPr>
        <w:t xml:space="preserve">gricultural </w:t>
      </w:r>
      <w:r w:rsidRPr="00755289">
        <w:rPr>
          <w:rFonts w:cs="Times New Roman"/>
          <w:szCs w:val="24"/>
        </w:rPr>
        <w:t>O</w:t>
      </w:r>
      <w:r>
        <w:rPr>
          <w:rFonts w:cs="Times New Roman"/>
          <w:szCs w:val="24"/>
        </w:rPr>
        <w:t xml:space="preserve">rganisation </w:t>
      </w:r>
    </w:p>
    <w:p w14:paraId="792909A2" w14:textId="77777777" w:rsidR="00C8125D" w:rsidRDefault="00C8125D" w:rsidP="00B51B72">
      <w:pPr>
        <w:spacing w:after="0"/>
        <w:ind w:left="0" w:firstLine="0"/>
        <w:rPr>
          <w:rFonts w:cs="Times New Roman"/>
          <w:szCs w:val="24"/>
        </w:rPr>
      </w:pPr>
      <w:r>
        <w:rPr>
          <w:rFonts w:cs="Times New Roman"/>
          <w:szCs w:val="24"/>
        </w:rPr>
        <w:t>FDMP</w:t>
      </w:r>
      <w:r w:rsidRPr="00191A6B">
        <w:rPr>
          <w:rFonts w:cs="Times New Roman"/>
          <w:szCs w:val="24"/>
        </w:rPr>
        <w:t xml:space="preserve"> </w:t>
      </w:r>
      <w:r>
        <w:rPr>
          <w:rFonts w:cs="Times New Roman"/>
          <w:szCs w:val="24"/>
        </w:rPr>
        <w:tab/>
      </w:r>
      <w:r>
        <w:rPr>
          <w:rFonts w:cs="Times New Roman"/>
          <w:szCs w:val="24"/>
        </w:rPr>
        <w:tab/>
      </w:r>
      <w:r w:rsidRPr="00191A6B">
        <w:rPr>
          <w:rFonts w:cs="Times New Roman"/>
          <w:szCs w:val="24"/>
        </w:rPr>
        <w:t xml:space="preserve">Forestry Development Master Plan </w:t>
      </w:r>
    </w:p>
    <w:p w14:paraId="366395B8" w14:textId="77777777" w:rsidR="00C8125D" w:rsidRDefault="00C8125D" w:rsidP="00B51B72">
      <w:pPr>
        <w:spacing w:after="0"/>
        <w:ind w:left="0" w:firstLine="0"/>
        <w:rPr>
          <w:rFonts w:cs="Times New Roman"/>
          <w:szCs w:val="24"/>
        </w:rPr>
      </w:pPr>
      <w:r>
        <w:rPr>
          <w:rFonts w:cs="Times New Roman"/>
          <w:szCs w:val="24"/>
        </w:rPr>
        <w:t xml:space="preserve">FDMP </w:t>
      </w:r>
      <w:r>
        <w:rPr>
          <w:rFonts w:cs="Times New Roman"/>
          <w:szCs w:val="24"/>
        </w:rPr>
        <w:tab/>
      </w:r>
      <w:r>
        <w:rPr>
          <w:rFonts w:cs="Times New Roman"/>
          <w:szCs w:val="24"/>
        </w:rPr>
        <w:tab/>
        <w:t xml:space="preserve">Forestry Development Master Plan </w:t>
      </w:r>
    </w:p>
    <w:p w14:paraId="25739614" w14:textId="77777777" w:rsidR="00C8125D" w:rsidRDefault="00C8125D" w:rsidP="00B51B72">
      <w:pPr>
        <w:spacing w:after="0"/>
        <w:ind w:left="0" w:firstLine="0"/>
        <w:rPr>
          <w:rFonts w:cs="Times New Roman"/>
          <w:szCs w:val="24"/>
        </w:rPr>
      </w:pPr>
      <w:r>
        <w:rPr>
          <w:rFonts w:cs="Times New Roman"/>
          <w:szCs w:val="24"/>
        </w:rPr>
        <w:t xml:space="preserve">FORIG </w:t>
      </w:r>
      <w:r>
        <w:rPr>
          <w:rFonts w:cs="Times New Roman"/>
          <w:szCs w:val="24"/>
        </w:rPr>
        <w:tab/>
        <w:t xml:space="preserve">Forestry Research Institute Ghana </w:t>
      </w:r>
    </w:p>
    <w:p w14:paraId="5E5135C3" w14:textId="77777777" w:rsidR="00C8125D" w:rsidRDefault="00C8125D" w:rsidP="00B51B72">
      <w:pPr>
        <w:spacing w:after="0"/>
        <w:ind w:left="0" w:firstLine="0"/>
      </w:pPr>
      <w:r>
        <w:t xml:space="preserve">GSBA </w:t>
      </w:r>
      <w:r>
        <w:tab/>
      </w:r>
      <w:r>
        <w:tab/>
        <w:t xml:space="preserve">Globally Significant Biodiversity Areas </w:t>
      </w:r>
    </w:p>
    <w:p w14:paraId="6C885207" w14:textId="77777777" w:rsidR="00C8125D" w:rsidRDefault="00C8125D" w:rsidP="00B51B72">
      <w:pPr>
        <w:spacing w:after="0"/>
        <w:ind w:left="0" w:firstLine="0"/>
        <w:rPr>
          <w:rFonts w:cs="Times New Roman"/>
          <w:szCs w:val="24"/>
        </w:rPr>
      </w:pPr>
      <w:r>
        <w:rPr>
          <w:rFonts w:cs="Times New Roman"/>
          <w:szCs w:val="24"/>
        </w:rPr>
        <w:t>ILMPs</w:t>
      </w:r>
      <w:r>
        <w:rPr>
          <w:rFonts w:cs="Times New Roman"/>
          <w:szCs w:val="24"/>
        </w:rPr>
        <w:tab/>
        <w:t xml:space="preserve"> </w:t>
      </w:r>
      <w:r>
        <w:rPr>
          <w:rFonts w:cs="Times New Roman"/>
          <w:szCs w:val="24"/>
        </w:rPr>
        <w:tab/>
        <w:t xml:space="preserve">Indigenous Land and Sea Management Programmes </w:t>
      </w:r>
    </w:p>
    <w:p w14:paraId="44BFCEBA" w14:textId="77777777" w:rsidR="00C8125D" w:rsidRDefault="00C8125D" w:rsidP="00B51B72">
      <w:pPr>
        <w:pStyle w:val="BodyText"/>
        <w:spacing w:after="0"/>
        <w:ind w:left="720" w:hanging="720"/>
        <w:jc w:val="left"/>
      </w:pPr>
      <w:r>
        <w:t xml:space="preserve">IPBES </w:t>
      </w:r>
      <w:r>
        <w:tab/>
      </w:r>
      <w:r>
        <w:tab/>
      </w:r>
      <w:r w:rsidRPr="00AD5846">
        <w:t xml:space="preserve">Intergovernmental Science-Policy Platform Biodiversity </w:t>
      </w:r>
      <w:r>
        <w:t xml:space="preserve"> </w:t>
      </w:r>
      <w:r>
        <w:br/>
        <w:t xml:space="preserve">            </w:t>
      </w:r>
      <w:r w:rsidRPr="00AD5846">
        <w:t xml:space="preserve">Ecosystem Services </w:t>
      </w:r>
    </w:p>
    <w:p w14:paraId="0D6A9CE6" w14:textId="77777777" w:rsidR="00C8125D" w:rsidRDefault="00C8125D" w:rsidP="00B51B72">
      <w:pPr>
        <w:spacing w:after="0"/>
        <w:ind w:left="0" w:firstLine="0"/>
      </w:pPr>
      <w:r w:rsidRPr="0008522A">
        <w:t>KWS</w:t>
      </w:r>
      <w:r>
        <w:tab/>
      </w:r>
      <w:r>
        <w:tab/>
        <w:t xml:space="preserve"> Kenya Wildlife Service </w:t>
      </w:r>
    </w:p>
    <w:p w14:paraId="4E11E98A" w14:textId="77777777" w:rsidR="00C8125D" w:rsidRDefault="00C8125D" w:rsidP="00B51B72">
      <w:pPr>
        <w:spacing w:after="0"/>
        <w:ind w:left="0" w:firstLine="0"/>
        <w:rPr>
          <w:rFonts w:cs="Times New Roman"/>
          <w:szCs w:val="24"/>
        </w:rPr>
      </w:pPr>
      <w:r>
        <w:rPr>
          <w:rFonts w:cs="Times New Roman"/>
          <w:szCs w:val="24"/>
        </w:rPr>
        <w:t>REDD</w:t>
      </w:r>
      <w:r>
        <w:rPr>
          <w:rFonts w:cs="Times New Roman"/>
          <w:szCs w:val="24"/>
        </w:rPr>
        <w:tab/>
      </w:r>
      <w:r>
        <w:rPr>
          <w:rFonts w:cs="Times New Roman"/>
          <w:szCs w:val="24"/>
        </w:rPr>
        <w:tab/>
        <w:t xml:space="preserve"> Reducing Emissions Deforestation Degradation </w:t>
      </w:r>
    </w:p>
    <w:p w14:paraId="20391FA3" w14:textId="77777777" w:rsidR="00C8125D" w:rsidRDefault="00C8125D" w:rsidP="00B51B72">
      <w:pPr>
        <w:pStyle w:val="BodyText"/>
        <w:spacing w:after="0"/>
        <w:ind w:left="720" w:hanging="720"/>
        <w:jc w:val="left"/>
      </w:pPr>
      <w:r>
        <w:t xml:space="preserve">SDGs </w:t>
      </w:r>
      <w:r>
        <w:tab/>
      </w:r>
      <w:r>
        <w:tab/>
        <w:t xml:space="preserve">Sustainable Development Goals </w:t>
      </w:r>
    </w:p>
    <w:p w14:paraId="4A7F7526" w14:textId="77777777" w:rsidR="00C8125D" w:rsidRDefault="00C8125D" w:rsidP="00B51B72">
      <w:pPr>
        <w:spacing w:after="0"/>
        <w:ind w:left="0" w:firstLine="0"/>
      </w:pPr>
      <w:r>
        <w:t xml:space="preserve">SFM </w:t>
      </w:r>
      <w:r>
        <w:tab/>
      </w:r>
      <w:r>
        <w:tab/>
        <w:t xml:space="preserve">Sustainable Forest Management </w:t>
      </w:r>
    </w:p>
    <w:p w14:paraId="16BE10D8" w14:textId="5F834273" w:rsidR="00C8125D" w:rsidRDefault="00D454F6" w:rsidP="00B51B72">
      <w:pPr>
        <w:spacing w:after="0"/>
        <w:ind w:left="0" w:firstLine="0"/>
        <w:rPr>
          <w:rFonts w:cs="Times New Roman"/>
          <w:szCs w:val="24"/>
        </w:rPr>
      </w:pPr>
      <w:r>
        <w:rPr>
          <w:rFonts w:cs="Times New Roman"/>
          <w:szCs w:val="24"/>
        </w:rPr>
        <w:t>RG</w:t>
      </w:r>
      <w:r w:rsidR="00C8125D">
        <w:rPr>
          <w:rFonts w:cs="Times New Roman"/>
          <w:szCs w:val="24"/>
        </w:rPr>
        <w:t xml:space="preserve">SRA </w:t>
      </w:r>
      <w:r w:rsidR="00C8125D">
        <w:rPr>
          <w:rFonts w:cs="Times New Roman"/>
          <w:szCs w:val="24"/>
        </w:rPr>
        <w:tab/>
      </w:r>
      <w:r>
        <w:rPr>
          <w:rFonts w:cs="Times New Roman"/>
          <w:szCs w:val="24"/>
        </w:rPr>
        <w:t xml:space="preserve">Revised Guidelines for </w:t>
      </w:r>
      <w:r w:rsidR="00C8125D">
        <w:rPr>
          <w:rFonts w:cs="Times New Roman"/>
          <w:szCs w:val="24"/>
        </w:rPr>
        <w:t xml:space="preserve">Social Responsibility Agreement </w:t>
      </w:r>
    </w:p>
    <w:p w14:paraId="1498E060" w14:textId="77777777" w:rsidR="00C8125D" w:rsidRDefault="00C8125D" w:rsidP="00B51B72">
      <w:pPr>
        <w:spacing w:after="0"/>
        <w:ind w:left="0" w:firstLine="0"/>
        <w:rPr>
          <w:rFonts w:cs="Times New Roman"/>
          <w:szCs w:val="24"/>
        </w:rPr>
      </w:pPr>
      <w:r w:rsidRPr="00191A6B">
        <w:rPr>
          <w:rFonts w:cs="Times New Roman"/>
          <w:szCs w:val="24"/>
        </w:rPr>
        <w:t xml:space="preserve">VPA </w:t>
      </w:r>
      <w:r>
        <w:rPr>
          <w:rFonts w:cs="Times New Roman"/>
          <w:szCs w:val="24"/>
        </w:rPr>
        <w:tab/>
      </w:r>
      <w:r>
        <w:rPr>
          <w:rFonts w:cs="Times New Roman"/>
          <w:szCs w:val="24"/>
        </w:rPr>
        <w:tab/>
      </w:r>
      <w:r w:rsidRPr="00191A6B">
        <w:rPr>
          <w:rFonts w:cs="Times New Roman"/>
          <w:szCs w:val="24"/>
        </w:rPr>
        <w:t>V</w:t>
      </w:r>
      <w:r>
        <w:rPr>
          <w:rFonts w:cs="Times New Roman"/>
          <w:szCs w:val="24"/>
        </w:rPr>
        <w:t xml:space="preserve">oluntary Partnership Agreement </w:t>
      </w:r>
    </w:p>
    <w:p w14:paraId="47E4754D" w14:textId="77777777" w:rsidR="006B0690" w:rsidRPr="00BB4078" w:rsidRDefault="006B0690" w:rsidP="00CE2970">
      <w:pPr>
        <w:pStyle w:val="BodyText"/>
        <w:ind w:left="720" w:hanging="720"/>
        <w:jc w:val="left"/>
      </w:pPr>
    </w:p>
    <w:p w14:paraId="2274EE2E" w14:textId="77777777" w:rsidR="0020132C" w:rsidRDefault="0020132C" w:rsidP="00772DAC">
      <w:pPr>
        <w:pStyle w:val="BodyText"/>
        <w:ind w:left="0" w:firstLine="0"/>
      </w:pPr>
    </w:p>
    <w:p w14:paraId="7AE22111" w14:textId="77777777" w:rsidR="00BB4078" w:rsidRDefault="00BB4078" w:rsidP="00010F68">
      <w:pPr>
        <w:pStyle w:val="Heading1"/>
        <w:spacing w:before="0"/>
        <w:ind w:left="0"/>
        <w:sectPr w:rsidR="00BB4078" w:rsidSect="0081629E">
          <w:pgSz w:w="11906" w:h="16838" w:code="9"/>
          <w:pgMar w:top="1440" w:right="1440" w:bottom="1440" w:left="2880" w:header="720" w:footer="720" w:gutter="0"/>
          <w:pgNumType w:fmt="lowerRoman" w:start="3"/>
          <w:cols w:space="720"/>
          <w:titlePg/>
          <w:docGrid w:linePitch="360"/>
        </w:sectPr>
      </w:pPr>
    </w:p>
    <w:p w14:paraId="501B7885" w14:textId="77777777" w:rsidR="00CF5D76" w:rsidRDefault="00010F68" w:rsidP="00010F68">
      <w:pPr>
        <w:pStyle w:val="Heading1"/>
        <w:spacing w:before="0"/>
        <w:ind w:left="0"/>
      </w:pPr>
      <w:bookmarkStart w:id="14" w:name="_Toc202197583"/>
      <w:r>
        <w:lastRenderedPageBreak/>
        <w:t>CHAPTER ONE</w:t>
      </w:r>
      <w:bookmarkEnd w:id="14"/>
      <w:r>
        <w:t xml:space="preserve"> </w:t>
      </w:r>
    </w:p>
    <w:p w14:paraId="48EB5D28" w14:textId="77777777" w:rsidR="00384D21" w:rsidRDefault="00010F68" w:rsidP="00010F68">
      <w:pPr>
        <w:pStyle w:val="Heading1"/>
        <w:spacing w:before="0"/>
        <w:ind w:left="0"/>
      </w:pPr>
      <w:bookmarkStart w:id="15" w:name="_Toc202197584"/>
      <w:r w:rsidRPr="00191A6B">
        <w:t>INTRODUCTION</w:t>
      </w:r>
      <w:bookmarkEnd w:id="15"/>
      <w:r w:rsidRPr="00191A6B">
        <w:t xml:space="preserve"> </w:t>
      </w:r>
    </w:p>
    <w:p w14:paraId="0861B561" w14:textId="77777777" w:rsidR="0028034B" w:rsidRPr="00744974" w:rsidRDefault="00010F68" w:rsidP="00FD2B3B">
      <w:pPr>
        <w:spacing w:after="0"/>
        <w:ind w:left="0" w:firstLine="0"/>
      </w:pPr>
      <w:bookmarkStart w:id="16" w:name="_Hlk127982491"/>
      <w:bookmarkStart w:id="17" w:name="_Hlk129174797"/>
      <w:r>
        <w:tab/>
      </w:r>
      <w:r w:rsidR="00743D68">
        <w:t>In an increasingly globalised world, where foreign influence has crept into the doorsteps of previously isolated villages, societal changes are inevitable, and the extent is even more significant.</w:t>
      </w:r>
      <w:r w:rsidR="0028034B">
        <w:t xml:space="preserve"> </w:t>
      </w:r>
      <w:r w:rsidR="00743D68">
        <w:t xml:space="preserve">These changes will undoubtedly influence how indigenous groups that depend on forests interact with the environment and the ecological feedback resulting from that interaction, as argued by the </w:t>
      </w:r>
      <w:r w:rsidR="00743D68" w:rsidRPr="00AD5846">
        <w:t>Intergovernmental Science-Policy Platform on Biodiversity and Ecosystem Services (IPBES)</w:t>
      </w:r>
      <w:r w:rsidR="00743D68">
        <w:t xml:space="preserve"> (2022).</w:t>
      </w:r>
      <w:r w:rsidR="00FB2066">
        <w:t xml:space="preserve"> </w:t>
      </w:r>
      <w:bookmarkEnd w:id="16"/>
      <w:r w:rsidR="00D56823">
        <w:t>Therefore, the resilience of the forest as an interrelated socio-ecological system and the livelihoods of local communities are at risk of being compromised without effective awareness and arrangements to address social and ecological changes (Folke et al., 2016).</w:t>
      </w:r>
    </w:p>
    <w:p w14:paraId="277808A8" w14:textId="77777777" w:rsidR="0028034B" w:rsidRDefault="0028034B" w:rsidP="00772DAC">
      <w:pPr>
        <w:pStyle w:val="Heading2"/>
        <w:ind w:left="0"/>
      </w:pPr>
      <w:bookmarkStart w:id="18" w:name="_Toc202197585"/>
      <w:bookmarkEnd w:id="17"/>
      <w:r>
        <w:t>Background</w:t>
      </w:r>
      <w:r w:rsidR="00010F68">
        <w:t xml:space="preserve"> to the Study</w:t>
      </w:r>
      <w:bookmarkEnd w:id="18"/>
      <w:r w:rsidR="00010F68">
        <w:t xml:space="preserve"> </w:t>
      </w:r>
    </w:p>
    <w:p w14:paraId="42F0D445" w14:textId="77777777" w:rsidR="00D950EE" w:rsidRDefault="00010F68" w:rsidP="00D950EE">
      <w:pPr>
        <w:ind w:left="0" w:firstLine="0"/>
      </w:pPr>
      <w:bookmarkStart w:id="19" w:name="_Hlk141887388"/>
      <w:bookmarkStart w:id="20" w:name="_Hlk129175055"/>
      <w:r>
        <w:tab/>
      </w:r>
      <w:bookmarkStart w:id="21" w:name="_Hlk129179103"/>
      <w:bookmarkStart w:id="22" w:name="_Hlk124951818"/>
      <w:bookmarkEnd w:id="19"/>
      <w:bookmarkEnd w:id="20"/>
      <w:r w:rsidR="00D950EE">
        <w:t>Land use and conservation of forests will remain crucial to meeting the United Nations' Sustainable Development Goals (SDGs) according to the United Nations (2016). SDGs 2, 13, and 15 are central to this study because they aim to guarantee sustainable forest management: (</w:t>
      </w:r>
      <w:proofErr w:type="spellStart"/>
      <w:r w:rsidR="00D950EE">
        <w:t>i</w:t>
      </w:r>
      <w:proofErr w:type="spellEnd"/>
      <w:r w:rsidR="00D950EE">
        <w:t>) goal 2 seeks to eliminate hunger, attain food security and improved nutrition, and encourage sustainable agriculture; (ii) goal 13 aims to combat climate change and its consequences; and (iii) goal 15 aims to protect, restore, and encourage the sustainable use of terrestrial ecosystems, rationally conserve forests, combat desertification, stop and reverse land degradation, and habitat destruction.</w:t>
      </w:r>
    </w:p>
    <w:p w14:paraId="6D16E5C7" w14:textId="144BD139" w:rsidR="00D950EE" w:rsidRDefault="00D950EE" w:rsidP="00D950EE">
      <w:pPr>
        <w:spacing w:after="0"/>
        <w:ind w:left="0" w:firstLine="0"/>
      </w:pPr>
      <w:r>
        <w:tab/>
      </w:r>
      <w:bookmarkStart w:id="23" w:name="_Hlk141887555"/>
      <w:r>
        <w:t xml:space="preserve">Given the value of forests, </w:t>
      </w:r>
      <w:proofErr w:type="spellStart"/>
      <w:r>
        <w:t>Trouillier</w:t>
      </w:r>
      <w:proofErr w:type="spellEnd"/>
      <w:r>
        <w:t xml:space="preserve"> et al. (2020) and Sahoo et al. (2020) advocate that forest supplies are critical for socioeconomic growth because they foster forest businesses and poverty reduction through employment,</w:t>
      </w:r>
      <w:r w:rsidR="00993D0E">
        <w:t xml:space="preserve"> </w:t>
      </w:r>
      <w:r>
        <w:t xml:space="preserve">sequester </w:t>
      </w:r>
      <w:r>
        <w:lastRenderedPageBreak/>
        <w:t xml:space="preserve">carbon </w:t>
      </w:r>
      <w:r w:rsidR="00993D0E">
        <w:t>and further provide</w:t>
      </w:r>
      <w:r>
        <w:t xml:space="preserve"> psychological and physiological relaxation. </w:t>
      </w:r>
      <w:bookmarkEnd w:id="23"/>
      <w:r>
        <w:t xml:space="preserve">Doimo et al. (2020) </w:t>
      </w:r>
      <w:r w:rsidR="005B6662">
        <w:t xml:space="preserve">and Lamptey (2021) </w:t>
      </w:r>
      <w:r>
        <w:t xml:space="preserve">expanded the importance of forests by claiming that they </w:t>
      </w:r>
      <w:r w:rsidR="005B6662">
        <w:t xml:space="preserve">help maintain land fertility, </w:t>
      </w:r>
      <w:r>
        <w:t>promote a community's social well-being, encompassing self-esteem, value systems, and spirituality.</w:t>
      </w:r>
      <w:r w:rsidR="005B6662">
        <w:t xml:space="preserve"> Despite these functions, forest resources are threatened by unsustainable use, leading to their degradation.</w:t>
      </w:r>
    </w:p>
    <w:p w14:paraId="5A9AF589" w14:textId="3D4A0C7B" w:rsidR="00D950EE" w:rsidRDefault="00D950EE" w:rsidP="00D950EE">
      <w:pPr>
        <w:pStyle w:val="BodyText"/>
        <w:spacing w:after="0"/>
        <w:ind w:left="0" w:firstLine="0"/>
        <w:rPr>
          <w:rFonts w:cs="Times New Roman"/>
          <w:szCs w:val="24"/>
        </w:rPr>
      </w:pPr>
      <w:bookmarkStart w:id="24" w:name="_Hlk129175164"/>
      <w:r>
        <w:tab/>
      </w:r>
      <w:r w:rsidRPr="00870511">
        <w:rPr>
          <w:rFonts w:cs="Times New Roman"/>
          <w:szCs w:val="24"/>
        </w:rPr>
        <w:t xml:space="preserve">Lange </w:t>
      </w:r>
      <w:r>
        <w:rPr>
          <w:rFonts w:cs="Times New Roman"/>
          <w:szCs w:val="24"/>
        </w:rPr>
        <w:t>and</w:t>
      </w:r>
      <w:r w:rsidRPr="00870511">
        <w:rPr>
          <w:rFonts w:cs="Times New Roman"/>
          <w:szCs w:val="24"/>
        </w:rPr>
        <w:t xml:space="preserve"> </w:t>
      </w:r>
      <w:proofErr w:type="spellStart"/>
      <w:r w:rsidRPr="00870511">
        <w:rPr>
          <w:rFonts w:cs="Times New Roman"/>
          <w:szCs w:val="24"/>
        </w:rPr>
        <w:t>Dewitte</w:t>
      </w:r>
      <w:proofErr w:type="spellEnd"/>
      <w:r w:rsidRPr="00870511">
        <w:rPr>
          <w:rFonts w:cs="Times New Roman"/>
          <w:szCs w:val="24"/>
        </w:rPr>
        <w:t xml:space="preserve"> </w:t>
      </w:r>
      <w:r>
        <w:rPr>
          <w:rFonts w:cs="Times New Roman"/>
          <w:szCs w:val="24"/>
        </w:rPr>
        <w:t>(</w:t>
      </w:r>
      <w:r w:rsidRPr="00870511">
        <w:rPr>
          <w:rFonts w:cs="Times New Roman"/>
          <w:szCs w:val="24"/>
        </w:rPr>
        <w:t>2019</w:t>
      </w:r>
      <w:r>
        <w:rPr>
          <w:rFonts w:cs="Times New Roman"/>
          <w:szCs w:val="24"/>
        </w:rPr>
        <w:t>),</w:t>
      </w:r>
      <w:r w:rsidRPr="00870511">
        <w:rPr>
          <w:rFonts w:cs="Times New Roman"/>
          <w:szCs w:val="24"/>
        </w:rPr>
        <w:t xml:space="preserve"> </w:t>
      </w:r>
      <w:proofErr w:type="spellStart"/>
      <w:r w:rsidRPr="00870511">
        <w:rPr>
          <w:rFonts w:cs="Times New Roman"/>
          <w:szCs w:val="24"/>
        </w:rPr>
        <w:t>Thondhlana</w:t>
      </w:r>
      <w:proofErr w:type="spellEnd"/>
      <w:r w:rsidRPr="00870511">
        <w:rPr>
          <w:rFonts w:cs="Times New Roman"/>
          <w:szCs w:val="24"/>
        </w:rPr>
        <w:t xml:space="preserve"> </w:t>
      </w:r>
      <w:r>
        <w:rPr>
          <w:rFonts w:cs="Times New Roman"/>
          <w:szCs w:val="24"/>
        </w:rPr>
        <w:t>and</w:t>
      </w:r>
      <w:r w:rsidRPr="00870511">
        <w:rPr>
          <w:rFonts w:cs="Times New Roman"/>
          <w:szCs w:val="24"/>
        </w:rPr>
        <w:t xml:space="preserve"> Hlatshwayo</w:t>
      </w:r>
      <w:r>
        <w:rPr>
          <w:rFonts w:cs="Times New Roman"/>
          <w:szCs w:val="24"/>
        </w:rPr>
        <w:t xml:space="preserve"> (</w:t>
      </w:r>
      <w:r w:rsidRPr="00870511">
        <w:rPr>
          <w:rFonts w:cs="Times New Roman"/>
          <w:szCs w:val="24"/>
        </w:rPr>
        <w:t>2018</w:t>
      </w:r>
      <w:r>
        <w:rPr>
          <w:rFonts w:cs="Times New Roman"/>
          <w:szCs w:val="24"/>
        </w:rPr>
        <w:t>), and</w:t>
      </w:r>
      <w:r w:rsidRPr="00870511">
        <w:rPr>
          <w:rFonts w:cs="Times New Roman"/>
          <w:szCs w:val="24"/>
        </w:rPr>
        <w:t xml:space="preserve"> </w:t>
      </w:r>
      <w:proofErr w:type="spellStart"/>
      <w:r w:rsidRPr="00870511">
        <w:rPr>
          <w:rFonts w:cs="Times New Roman"/>
          <w:szCs w:val="24"/>
        </w:rPr>
        <w:t>Raeisi</w:t>
      </w:r>
      <w:proofErr w:type="spellEnd"/>
      <w:r w:rsidRPr="00870511">
        <w:rPr>
          <w:rFonts w:cs="Times New Roman"/>
          <w:szCs w:val="24"/>
        </w:rPr>
        <w:t xml:space="preserve"> et al. </w:t>
      </w:r>
      <w:r>
        <w:rPr>
          <w:rFonts w:cs="Times New Roman"/>
          <w:szCs w:val="24"/>
        </w:rPr>
        <w:t>(</w:t>
      </w:r>
      <w:r w:rsidRPr="00870511">
        <w:rPr>
          <w:rFonts w:cs="Times New Roman"/>
          <w:szCs w:val="24"/>
        </w:rPr>
        <w:t>2018</w:t>
      </w:r>
      <w:r>
        <w:rPr>
          <w:rFonts w:cs="Times New Roman"/>
          <w:szCs w:val="24"/>
        </w:rPr>
        <w:t xml:space="preserve">) argued that global warming, air pollution, soil erosion, loss of natural resources, deforestation, biodiversity loss, and desertification are all consequences of forest degradation, whereas </w:t>
      </w:r>
      <w:r w:rsidRPr="00870511">
        <w:rPr>
          <w:rFonts w:cs="Times New Roman"/>
          <w:szCs w:val="24"/>
        </w:rPr>
        <w:t xml:space="preserve">Vicente-Molina et al. </w:t>
      </w:r>
      <w:r>
        <w:rPr>
          <w:rFonts w:cs="Times New Roman"/>
          <w:szCs w:val="24"/>
        </w:rPr>
        <w:t>(</w:t>
      </w:r>
      <w:r w:rsidRPr="00870511">
        <w:rPr>
          <w:rFonts w:cs="Times New Roman"/>
          <w:szCs w:val="24"/>
        </w:rPr>
        <w:t>2013</w:t>
      </w:r>
      <w:r>
        <w:rPr>
          <w:rFonts w:cs="Times New Roman"/>
          <w:szCs w:val="24"/>
        </w:rPr>
        <w:t xml:space="preserve">) and </w:t>
      </w:r>
      <w:r w:rsidRPr="00870511">
        <w:rPr>
          <w:rFonts w:cs="Times New Roman"/>
          <w:szCs w:val="24"/>
        </w:rPr>
        <w:t xml:space="preserve">Krajewski et al. </w:t>
      </w:r>
      <w:r>
        <w:rPr>
          <w:rFonts w:cs="Times New Roman"/>
          <w:szCs w:val="24"/>
        </w:rPr>
        <w:t>(</w:t>
      </w:r>
      <w:r w:rsidRPr="00870511">
        <w:rPr>
          <w:rFonts w:cs="Times New Roman"/>
          <w:szCs w:val="24"/>
        </w:rPr>
        <w:t>2018</w:t>
      </w:r>
      <w:r>
        <w:rPr>
          <w:rFonts w:cs="Times New Roman"/>
          <w:szCs w:val="24"/>
        </w:rPr>
        <w:t xml:space="preserve">) believe that most environmental crises stem from humankind's reckless behaviour in nature. The authors maintained that changes in forest landscapes are linked to human activities. As a result, these researchers concur that the primary cause of environmental difficulties was artificial, and that new kinds of </w:t>
      </w:r>
      <w:r w:rsidR="00E03AA1">
        <w:rPr>
          <w:rFonts w:cs="Times New Roman"/>
          <w:szCs w:val="24"/>
        </w:rPr>
        <w:t xml:space="preserve">forest </w:t>
      </w:r>
      <w:r w:rsidR="00993D0E">
        <w:rPr>
          <w:rFonts w:cs="Times New Roman"/>
          <w:szCs w:val="24"/>
        </w:rPr>
        <w:t>management</w:t>
      </w:r>
      <w:r>
        <w:rPr>
          <w:rFonts w:cs="Times New Roman"/>
          <w:szCs w:val="24"/>
        </w:rPr>
        <w:t xml:space="preserve"> were required.</w:t>
      </w:r>
    </w:p>
    <w:p w14:paraId="35360B86" w14:textId="34ABFA72" w:rsidR="00993D0E" w:rsidRDefault="00993D0E" w:rsidP="00993D0E">
      <w:pPr>
        <w:ind w:left="0"/>
        <w:rPr>
          <w:lang w:eastAsia="en-GB"/>
        </w:rPr>
      </w:pPr>
      <w:r>
        <w:rPr>
          <w:lang w:eastAsia="en-GB"/>
        </w:rPr>
        <w:t>Hardin (1968), Ostrom, (1990)</w:t>
      </w:r>
      <w:r w:rsidR="000E0FFB">
        <w:rPr>
          <w:lang w:eastAsia="en-GB"/>
        </w:rPr>
        <w:t xml:space="preserve"> and Thomson (1992) described f</w:t>
      </w:r>
      <w:r>
        <w:rPr>
          <w:lang w:eastAsia="en-GB"/>
        </w:rPr>
        <w:t xml:space="preserve">orest management regimes </w:t>
      </w:r>
      <w:r w:rsidR="000E0FFB">
        <w:rPr>
          <w:lang w:eastAsia="en-GB"/>
        </w:rPr>
        <w:t xml:space="preserve">as </w:t>
      </w:r>
      <w:r>
        <w:rPr>
          <w:lang w:eastAsia="en-GB"/>
        </w:rPr>
        <w:t>encompass</w:t>
      </w:r>
      <w:r w:rsidR="000E0FFB">
        <w:rPr>
          <w:lang w:eastAsia="en-GB"/>
        </w:rPr>
        <w:t>ing</w:t>
      </w:r>
      <w:r>
        <w:rPr>
          <w:lang w:eastAsia="en-GB"/>
        </w:rPr>
        <w:t xml:space="preserve"> the systems and methods utilised to oversee and manage forests, and can be classified into four types: private, public, common pool, and open resource regimes. Each category has its own set of benefits and drawbacks, and its efficiency is influenced by several factors, including the size of the forest, the number of users, and the level of surveillance and protection</w:t>
      </w:r>
      <w:r w:rsidR="000E0FFB">
        <w:rPr>
          <w:lang w:eastAsia="en-GB"/>
        </w:rPr>
        <w:t>.</w:t>
      </w:r>
    </w:p>
    <w:p w14:paraId="6A1CCB48" w14:textId="5756F2CC" w:rsidR="000E0FFB" w:rsidRPr="000E0FFB" w:rsidRDefault="000E0FFB" w:rsidP="000E0FFB">
      <w:pPr>
        <w:pStyle w:val="BodyText"/>
        <w:ind w:left="0" w:firstLine="0"/>
        <w:rPr>
          <w:lang w:eastAsia="en-GB"/>
        </w:rPr>
      </w:pPr>
      <w:r>
        <w:rPr>
          <w:lang w:eastAsia="en-GB"/>
        </w:rPr>
        <w:tab/>
        <w:t xml:space="preserve">Sustainable forest management on the other hand </w:t>
      </w:r>
      <w:r w:rsidR="00D437BC">
        <w:rPr>
          <w:lang w:eastAsia="en-GB"/>
        </w:rPr>
        <w:t xml:space="preserve">involves </w:t>
      </w:r>
      <w:r w:rsidR="00D437BC">
        <w:rPr>
          <w:rFonts w:cs="Times New Roman"/>
          <w:szCs w:val="24"/>
        </w:rPr>
        <w:t xml:space="preserve">using forests and forest lands in a way that maintains their biodiversity, productivity, regeneration capacity, and potential to fulfil ecological, economic, and social </w:t>
      </w:r>
      <w:r w:rsidR="00D437BC">
        <w:rPr>
          <w:rFonts w:cs="Times New Roman"/>
          <w:szCs w:val="24"/>
        </w:rPr>
        <w:lastRenderedPageBreak/>
        <w:t>functions at local, national, and global levels, without harming other ecosystems (MCPFE, 1993</w:t>
      </w:r>
      <w:r w:rsidR="00DE5AEC">
        <w:rPr>
          <w:rFonts w:cs="Times New Roman"/>
          <w:szCs w:val="24"/>
        </w:rPr>
        <w:t>)</w:t>
      </w:r>
      <w:r w:rsidR="00CF5537">
        <w:rPr>
          <w:rFonts w:cs="Times New Roman"/>
          <w:szCs w:val="24"/>
        </w:rPr>
        <w:t xml:space="preserve">. </w:t>
      </w:r>
      <w:r w:rsidR="00CF5537" w:rsidRPr="00054FCC">
        <w:rPr>
          <w:rFonts w:cs="Times New Roman"/>
          <w:szCs w:val="24"/>
        </w:rPr>
        <w:t xml:space="preserve">The subsequent notion, as articulated by MCPFE in 1993, synthesises ecological and socioeconomic factors across diverse management </w:t>
      </w:r>
      <w:r w:rsidR="00CF5537">
        <w:rPr>
          <w:rFonts w:cs="Times New Roman"/>
          <w:szCs w:val="24"/>
        </w:rPr>
        <w:t>regimes.</w:t>
      </w:r>
    </w:p>
    <w:p w14:paraId="05CA7F16" w14:textId="427759E2" w:rsidR="00D950EE" w:rsidRPr="005B3EC3" w:rsidRDefault="00E03AA1" w:rsidP="000E0FFB">
      <w:pPr>
        <w:pStyle w:val="BodyText"/>
        <w:spacing w:after="0"/>
        <w:ind w:left="0"/>
        <w:rPr>
          <w:rFonts w:cs="Times New Roman"/>
          <w:szCs w:val="24"/>
        </w:rPr>
      </w:pPr>
      <w:r>
        <w:t>The dominant approaches to forest management, which are mainly focused on timber production and markets (</w:t>
      </w:r>
      <w:proofErr w:type="spellStart"/>
      <w:r>
        <w:t>Puettmann</w:t>
      </w:r>
      <w:proofErr w:type="spellEnd"/>
      <w:r>
        <w:t xml:space="preserve"> et al.,</w:t>
      </w:r>
      <w:r w:rsidR="00C02E24">
        <w:t xml:space="preserve"> </w:t>
      </w:r>
      <w:r>
        <w:t>2015), may inadvertently disregard and diminish the provision of other forest ecosystem services (FES) (</w:t>
      </w:r>
      <w:proofErr w:type="spellStart"/>
      <w:r>
        <w:t>Angelstam</w:t>
      </w:r>
      <w:proofErr w:type="spellEnd"/>
      <w:r>
        <w:t xml:space="preserve"> et al., 2018; Lindahl et al., 2017). These services include biodiversity conservation (</w:t>
      </w:r>
      <w:proofErr w:type="spellStart"/>
      <w:r>
        <w:t>Brockerhoff</w:t>
      </w:r>
      <w:proofErr w:type="spellEnd"/>
      <w:r>
        <w:t xml:space="preserve"> et al., 2017), climate change mitigation and adaptation (Makkonen et al., 2015), and cultural and recreational benefits (</w:t>
      </w:r>
      <w:proofErr w:type="spellStart"/>
      <w:r>
        <w:t>Plieninger</w:t>
      </w:r>
      <w:proofErr w:type="spellEnd"/>
      <w:r>
        <w:t xml:space="preserve"> et al., 2015). </w:t>
      </w:r>
      <w:r w:rsidR="00D950EE" w:rsidRPr="005B3EC3">
        <w:rPr>
          <w:rFonts w:cs="Times New Roman"/>
          <w:szCs w:val="24"/>
        </w:rPr>
        <w:t>In the writing of Hovis et al. (2022)</w:t>
      </w:r>
      <w:r w:rsidR="00D950EE">
        <w:rPr>
          <w:rFonts w:cs="Times New Roman"/>
          <w:szCs w:val="24"/>
        </w:rPr>
        <w:t>, these traditional strategies were primarily focused on timber and non-timber products. However, the broad variety of ecological functions of forests has become critical.</w:t>
      </w:r>
    </w:p>
    <w:p w14:paraId="447A1B33" w14:textId="3B951159" w:rsidR="00D950EE" w:rsidRDefault="00D950EE" w:rsidP="00D950EE">
      <w:pPr>
        <w:pStyle w:val="BodyText"/>
        <w:ind w:left="0" w:firstLine="0"/>
        <w:rPr>
          <w:rFonts w:cs="Times New Roman"/>
          <w:szCs w:val="24"/>
        </w:rPr>
      </w:pPr>
      <w:r>
        <w:rPr>
          <w:rFonts w:cs="Times New Roman"/>
          <w:szCs w:val="24"/>
        </w:rPr>
        <w:tab/>
      </w:r>
      <w:r w:rsidRPr="005B3EC3">
        <w:rPr>
          <w:rFonts w:cs="Times New Roman"/>
          <w:szCs w:val="24"/>
        </w:rPr>
        <w:t xml:space="preserve">Adding to the discussion, Simon (2008) </w:t>
      </w:r>
      <w:r>
        <w:rPr>
          <w:rFonts w:cs="Times New Roman"/>
          <w:szCs w:val="24"/>
        </w:rPr>
        <w:t>believed that during the New Order era (1966 - 1998), the state played a significant role in forest management, known as state-based forest management. At that time, the primary focus was on using forest resources to meet industrial raw material and export needs.</w:t>
      </w:r>
      <w:r w:rsidRPr="005B3EC3">
        <w:rPr>
          <w:rFonts w:cs="Times New Roman"/>
          <w:szCs w:val="24"/>
        </w:rPr>
        <w:t xml:space="preserve"> In addition, Nath et al. (2022) </w:t>
      </w:r>
      <w:r>
        <w:rPr>
          <w:rFonts w:cs="Times New Roman"/>
          <w:szCs w:val="24"/>
        </w:rPr>
        <w:t>revealed that with scientific management or a centralistic system, forests were divided into sections of reserved and protected forests and subjected to state-led and marketised forest administration targeted at wood extraction for economic prosperity.</w:t>
      </w:r>
    </w:p>
    <w:p w14:paraId="1B7253D0" w14:textId="77777777" w:rsidR="00D950EE" w:rsidRPr="005B3EC3" w:rsidRDefault="00D950EE" w:rsidP="00D950EE">
      <w:pPr>
        <w:ind w:left="0"/>
        <w:rPr>
          <w:rFonts w:cs="Times New Roman"/>
          <w:szCs w:val="24"/>
        </w:rPr>
      </w:pPr>
      <w:bookmarkStart w:id="25" w:name="_Hlk141726875"/>
      <w:r>
        <w:t>The FAO (2020)</w:t>
      </w:r>
      <w:bookmarkEnd w:id="25"/>
      <w:r>
        <w:t xml:space="preserve"> defined Forest Reserves as areas for the conservation and protection of forests and their associated biodiversity. Forest reserves are essential for preserving ecological processes and functions, and for providing </w:t>
      </w:r>
      <w:r>
        <w:lastRenderedPageBreak/>
        <w:t xml:space="preserve">various ecosystem services, such as water management, carbon storage, and soil protection. Moreover, </w:t>
      </w:r>
      <w:bookmarkStart w:id="26" w:name="_Hlk141726889"/>
      <w:r>
        <w:t xml:space="preserve">Ostrom (2009) </w:t>
      </w:r>
      <w:bookmarkEnd w:id="26"/>
      <w:r>
        <w:t>maintained that forest reserves could support local livelihoods and generate economic advantages through sustainable forest management methods such as ecotourism and non-timber forest product harvesting. Therefore, forest reserves are crucial for guaranteeing the long-term sustainability of forest resources and for attaining global biodiversity conservation goals.</w:t>
      </w:r>
    </w:p>
    <w:p w14:paraId="0C0615B4" w14:textId="580F2FA7" w:rsidR="00D950EE" w:rsidRDefault="00D950EE" w:rsidP="00D950EE">
      <w:pPr>
        <w:pStyle w:val="BodyText"/>
        <w:spacing w:after="0"/>
        <w:ind w:left="0" w:firstLine="0"/>
        <w:rPr>
          <w:rFonts w:cs="Times New Roman"/>
          <w:szCs w:val="24"/>
        </w:rPr>
      </w:pPr>
      <w:r>
        <w:rPr>
          <w:rFonts w:cs="Times New Roman"/>
          <w:szCs w:val="24"/>
        </w:rPr>
        <w:tab/>
      </w:r>
      <w:r w:rsidRPr="005B3EC3">
        <w:rPr>
          <w:rFonts w:cs="Times New Roman"/>
          <w:szCs w:val="24"/>
        </w:rPr>
        <w:t>The centrali</w:t>
      </w:r>
      <w:r>
        <w:rPr>
          <w:rFonts w:cs="Times New Roman"/>
          <w:szCs w:val="24"/>
        </w:rPr>
        <w:t>s</w:t>
      </w:r>
      <w:r w:rsidRPr="005B3EC3">
        <w:rPr>
          <w:rFonts w:cs="Times New Roman"/>
          <w:szCs w:val="24"/>
        </w:rPr>
        <w:t xml:space="preserve">ed and extractive forest management model during the New Order era, according to  </w:t>
      </w:r>
      <w:bookmarkStart w:id="27" w:name="_Hlk141726907"/>
      <w:proofErr w:type="spellStart"/>
      <w:r w:rsidRPr="005B3EC3">
        <w:rPr>
          <w:rFonts w:cs="Times New Roman"/>
          <w:szCs w:val="24"/>
        </w:rPr>
        <w:t>Yuwono</w:t>
      </w:r>
      <w:proofErr w:type="spellEnd"/>
      <w:r w:rsidRPr="005B3EC3">
        <w:rPr>
          <w:rFonts w:cs="Times New Roman"/>
          <w:szCs w:val="24"/>
        </w:rPr>
        <w:t xml:space="preserve"> and </w:t>
      </w:r>
      <w:proofErr w:type="spellStart"/>
      <w:r w:rsidRPr="005B3EC3">
        <w:rPr>
          <w:rFonts w:cs="Times New Roman"/>
          <w:szCs w:val="24"/>
        </w:rPr>
        <w:t>Wiyono</w:t>
      </w:r>
      <w:proofErr w:type="spellEnd"/>
      <w:r w:rsidRPr="005B3EC3">
        <w:rPr>
          <w:rFonts w:cs="Times New Roman"/>
          <w:szCs w:val="24"/>
        </w:rPr>
        <w:t xml:space="preserve"> (2008) and Awang (2006)</w:t>
      </w:r>
      <w:bookmarkEnd w:id="27"/>
      <w:r>
        <w:rPr>
          <w:rFonts w:cs="Times New Roman"/>
          <w:szCs w:val="24"/>
        </w:rPr>
        <w:t>,</w:t>
      </w:r>
      <w:r w:rsidRPr="005B3EC3">
        <w:rPr>
          <w:rFonts w:cs="Times New Roman"/>
          <w:szCs w:val="24"/>
        </w:rPr>
        <w:t xml:space="preserve"> </w:t>
      </w:r>
      <w:r>
        <w:rPr>
          <w:rFonts w:cs="Times New Roman"/>
          <w:szCs w:val="24"/>
        </w:rPr>
        <w:t xml:space="preserve">generated a variety of detrimental effects on the environment and local communities, including </w:t>
      </w:r>
      <w:r w:rsidRPr="005B3EC3">
        <w:rPr>
          <w:rFonts w:cs="Times New Roman"/>
          <w:szCs w:val="24"/>
        </w:rPr>
        <w:t>(</w:t>
      </w:r>
      <w:proofErr w:type="spellStart"/>
      <w:r w:rsidR="008903A5">
        <w:rPr>
          <w:rFonts w:cs="Times New Roman"/>
          <w:szCs w:val="24"/>
        </w:rPr>
        <w:t>i</w:t>
      </w:r>
      <w:proofErr w:type="spellEnd"/>
      <w:r w:rsidRPr="005B3EC3">
        <w:rPr>
          <w:rFonts w:cs="Times New Roman"/>
          <w:szCs w:val="24"/>
        </w:rPr>
        <w:t xml:space="preserve">) </w:t>
      </w:r>
      <w:r>
        <w:rPr>
          <w:rFonts w:cs="Times New Roman"/>
          <w:szCs w:val="24"/>
        </w:rPr>
        <w:t>extensive forest destruction</w:t>
      </w:r>
      <w:r w:rsidRPr="005B3EC3">
        <w:rPr>
          <w:rFonts w:cs="Times New Roman"/>
          <w:szCs w:val="24"/>
        </w:rPr>
        <w:t>, (</w:t>
      </w:r>
      <w:r w:rsidR="008903A5">
        <w:rPr>
          <w:rFonts w:cs="Times New Roman"/>
          <w:szCs w:val="24"/>
        </w:rPr>
        <w:t>ii</w:t>
      </w:r>
      <w:r w:rsidRPr="005B3EC3">
        <w:rPr>
          <w:rFonts w:cs="Times New Roman"/>
          <w:szCs w:val="24"/>
        </w:rPr>
        <w:t xml:space="preserve">) </w:t>
      </w:r>
      <w:r>
        <w:rPr>
          <w:rFonts w:cs="Times New Roman"/>
          <w:szCs w:val="24"/>
        </w:rPr>
        <w:t>reduced forest species diversity</w:t>
      </w:r>
      <w:r w:rsidRPr="005B3EC3">
        <w:rPr>
          <w:rFonts w:cs="Times New Roman"/>
          <w:szCs w:val="24"/>
        </w:rPr>
        <w:t>, (</w:t>
      </w:r>
      <w:r w:rsidR="008903A5">
        <w:rPr>
          <w:rFonts w:cs="Times New Roman"/>
          <w:szCs w:val="24"/>
        </w:rPr>
        <w:t>iii</w:t>
      </w:r>
      <w:r w:rsidRPr="005B3EC3">
        <w:rPr>
          <w:rFonts w:cs="Times New Roman"/>
          <w:szCs w:val="24"/>
        </w:rPr>
        <w:t xml:space="preserve">) </w:t>
      </w:r>
      <w:r>
        <w:rPr>
          <w:rFonts w:cs="Times New Roman"/>
          <w:szCs w:val="24"/>
        </w:rPr>
        <w:t>rampant</w:t>
      </w:r>
      <w:r w:rsidRPr="005B3EC3">
        <w:rPr>
          <w:rFonts w:cs="Times New Roman"/>
          <w:szCs w:val="24"/>
        </w:rPr>
        <w:t xml:space="preserve"> natural </w:t>
      </w:r>
      <w:r>
        <w:rPr>
          <w:rFonts w:cs="Times New Roman"/>
          <w:szCs w:val="24"/>
        </w:rPr>
        <w:t>calamities</w:t>
      </w:r>
      <w:r w:rsidRPr="005B3EC3">
        <w:rPr>
          <w:rFonts w:cs="Times New Roman"/>
          <w:szCs w:val="24"/>
        </w:rPr>
        <w:t xml:space="preserve"> such as floods and landslides, (</w:t>
      </w:r>
      <w:r w:rsidR="008903A5">
        <w:rPr>
          <w:rFonts w:cs="Times New Roman"/>
          <w:szCs w:val="24"/>
        </w:rPr>
        <w:t>iv</w:t>
      </w:r>
      <w:r w:rsidRPr="005B3EC3">
        <w:rPr>
          <w:rFonts w:cs="Times New Roman"/>
          <w:szCs w:val="24"/>
        </w:rPr>
        <w:t xml:space="preserve">) </w:t>
      </w:r>
      <w:r>
        <w:rPr>
          <w:rFonts w:cs="Times New Roman"/>
          <w:szCs w:val="24"/>
        </w:rPr>
        <w:t>access to forest products by the local community becoming increasingly limited</w:t>
      </w:r>
      <w:r w:rsidRPr="005B3EC3">
        <w:rPr>
          <w:rFonts w:cs="Times New Roman"/>
          <w:szCs w:val="24"/>
        </w:rPr>
        <w:t>, (</w:t>
      </w:r>
      <w:r w:rsidR="008903A5">
        <w:rPr>
          <w:rFonts w:cs="Times New Roman"/>
          <w:szCs w:val="24"/>
        </w:rPr>
        <w:t>v</w:t>
      </w:r>
      <w:r w:rsidRPr="005B3EC3">
        <w:rPr>
          <w:rFonts w:cs="Times New Roman"/>
          <w:szCs w:val="24"/>
        </w:rPr>
        <w:t xml:space="preserve">) </w:t>
      </w:r>
      <w:r>
        <w:rPr>
          <w:rFonts w:cs="Times New Roman"/>
          <w:szCs w:val="24"/>
        </w:rPr>
        <w:t>local expertise in forest administration</w:t>
      </w:r>
      <w:r w:rsidRPr="005B3EC3">
        <w:rPr>
          <w:rFonts w:cs="Times New Roman"/>
          <w:szCs w:val="24"/>
        </w:rPr>
        <w:t>, (</w:t>
      </w:r>
      <w:r w:rsidR="008903A5">
        <w:rPr>
          <w:rFonts w:cs="Times New Roman"/>
          <w:szCs w:val="24"/>
        </w:rPr>
        <w:t>vi</w:t>
      </w:r>
      <w:r w:rsidRPr="005B3EC3">
        <w:rPr>
          <w:rFonts w:cs="Times New Roman"/>
          <w:szCs w:val="24"/>
        </w:rPr>
        <w:t xml:space="preserve">) </w:t>
      </w:r>
      <w:r>
        <w:rPr>
          <w:rFonts w:cs="Times New Roman"/>
          <w:szCs w:val="24"/>
        </w:rPr>
        <w:t>local governments' or traditional institutions' control over forest resources eroding</w:t>
      </w:r>
      <w:r w:rsidRPr="005B3EC3">
        <w:rPr>
          <w:rFonts w:cs="Times New Roman"/>
          <w:szCs w:val="24"/>
        </w:rPr>
        <w:t>, and (</w:t>
      </w:r>
      <w:r w:rsidR="008903A5">
        <w:rPr>
          <w:rFonts w:cs="Times New Roman"/>
          <w:szCs w:val="24"/>
        </w:rPr>
        <w:t>vii</w:t>
      </w:r>
      <w:r w:rsidRPr="005B3EC3">
        <w:rPr>
          <w:rFonts w:cs="Times New Roman"/>
          <w:szCs w:val="24"/>
        </w:rPr>
        <w:t xml:space="preserve">) </w:t>
      </w:r>
      <w:r>
        <w:rPr>
          <w:rFonts w:cs="Times New Roman"/>
          <w:szCs w:val="24"/>
        </w:rPr>
        <w:t>the rise of disputes over the control of forest resources</w:t>
      </w:r>
      <w:r w:rsidRPr="009E7BD2">
        <w:rPr>
          <w:rFonts w:cs="Times New Roman"/>
          <w:szCs w:val="24"/>
        </w:rPr>
        <w:t xml:space="preserve"> </w:t>
      </w:r>
      <w:r>
        <w:rPr>
          <w:rFonts w:cs="Times New Roman"/>
          <w:szCs w:val="24"/>
        </w:rPr>
        <w:t>management</w:t>
      </w:r>
      <w:r w:rsidRPr="005B3EC3">
        <w:rPr>
          <w:rFonts w:cs="Times New Roman"/>
          <w:szCs w:val="24"/>
        </w:rPr>
        <w:t xml:space="preserve">. </w:t>
      </w:r>
    </w:p>
    <w:p w14:paraId="73F71FDF" w14:textId="16D81733" w:rsidR="00D950EE" w:rsidRDefault="00D950EE" w:rsidP="005B6662">
      <w:pPr>
        <w:pStyle w:val="BodyText"/>
        <w:ind w:left="0" w:firstLine="0"/>
        <w:rPr>
          <w:rFonts w:cs="Times New Roman"/>
          <w:szCs w:val="24"/>
        </w:rPr>
      </w:pPr>
      <w:r>
        <w:rPr>
          <w:rFonts w:cs="Times New Roman"/>
          <w:szCs w:val="24"/>
        </w:rPr>
        <w:tab/>
        <w:t>Similarly</w:t>
      </w:r>
      <w:r w:rsidRPr="005B3EC3">
        <w:rPr>
          <w:rFonts w:cs="Times New Roman"/>
          <w:szCs w:val="24"/>
        </w:rPr>
        <w:t xml:space="preserve">, Nath et al. (2022) </w:t>
      </w:r>
      <w:r>
        <w:rPr>
          <w:rFonts w:cs="Times New Roman"/>
          <w:szCs w:val="24"/>
        </w:rPr>
        <w:t>highlighted that forest classifications limited the indigenes’ entry into and practice of indigenous forest administration and related rights. This has provoked disputes between authorities and community members, contributing to its inability to achieve the aims of (top-down) forest management.</w:t>
      </w:r>
    </w:p>
    <w:p w14:paraId="6A8EA42C" w14:textId="3DAD6DC7" w:rsidR="00D950EE" w:rsidRPr="0067577B" w:rsidRDefault="00E03AA1" w:rsidP="00E03AA1">
      <w:pPr>
        <w:ind w:left="0"/>
        <w:rPr>
          <w:rFonts w:cs="Times New Roman"/>
          <w:color w:val="FF0000"/>
          <w:szCs w:val="24"/>
        </w:rPr>
      </w:pPr>
      <w:bookmarkStart w:id="28" w:name="_Hlk141726999"/>
      <w:r>
        <w:t xml:space="preserve">The benefits of forests are evident at global, regional, and local levels (Viszlai, et al., 2016). However, their condition and capacity to offer ecosystem services and sustain the livelihoods of those who depend on it is determined by how the forests are utilised and the management practices employed at the local </w:t>
      </w:r>
      <w:r>
        <w:lastRenderedPageBreak/>
        <w:t xml:space="preserve">level (Sing et al., 2018). </w:t>
      </w:r>
      <w:r>
        <w:rPr>
          <w:rFonts w:cs="Times New Roman"/>
          <w:szCs w:val="24"/>
        </w:rPr>
        <w:t xml:space="preserve">In addition, </w:t>
      </w:r>
      <w:r w:rsidR="00D950EE">
        <w:rPr>
          <w:rFonts w:cs="Times New Roman"/>
          <w:szCs w:val="24"/>
        </w:rPr>
        <w:t>Chao (2012) and Cox (2016)</w:t>
      </w:r>
      <w:bookmarkEnd w:id="28"/>
      <w:r w:rsidR="00D950EE">
        <w:rPr>
          <w:rFonts w:cs="Times New Roman"/>
          <w:szCs w:val="24"/>
        </w:rPr>
        <w:t xml:space="preserve"> made a compelling case that indigenous people were sometimes considered a barrier to forestry development and intruders into state-owned woods</w:t>
      </w:r>
      <w:r w:rsidR="00D950EE" w:rsidRPr="005B3EC3">
        <w:rPr>
          <w:rFonts w:cs="Times New Roman"/>
          <w:szCs w:val="24"/>
        </w:rPr>
        <w:t xml:space="preserve">. </w:t>
      </w:r>
      <w:bookmarkStart w:id="29" w:name="_Hlk141727012"/>
      <w:r w:rsidR="00D950EE">
        <w:rPr>
          <w:rFonts w:cs="Times New Roman"/>
          <w:szCs w:val="24"/>
        </w:rPr>
        <w:t xml:space="preserve">Larson </w:t>
      </w:r>
      <w:r w:rsidR="00BF4A73">
        <w:rPr>
          <w:rFonts w:cs="Times New Roman"/>
          <w:szCs w:val="24"/>
        </w:rPr>
        <w:t xml:space="preserve">and </w:t>
      </w:r>
      <w:proofErr w:type="spellStart"/>
      <w:r w:rsidR="00BF4A73">
        <w:rPr>
          <w:rFonts w:cs="Times New Roman"/>
          <w:szCs w:val="24"/>
        </w:rPr>
        <w:t>Pulhin</w:t>
      </w:r>
      <w:proofErr w:type="spellEnd"/>
      <w:r w:rsidR="00D950EE">
        <w:rPr>
          <w:rFonts w:cs="Times New Roman"/>
          <w:szCs w:val="24"/>
        </w:rPr>
        <w:t xml:space="preserve"> (2012) </w:t>
      </w:r>
      <w:bookmarkEnd w:id="29"/>
      <w:r w:rsidR="00D950EE">
        <w:rPr>
          <w:rFonts w:cs="Times New Roman"/>
          <w:szCs w:val="24"/>
        </w:rPr>
        <w:t>pointed out that, for numerous forests managed by the state, the local community is the first to be impacted by biodiversity loss due to its proximity to the forest.</w:t>
      </w:r>
    </w:p>
    <w:bookmarkEnd w:id="24"/>
    <w:p w14:paraId="7D3D170E" w14:textId="6FE0EE1B" w:rsidR="00D950EE" w:rsidRPr="00887499" w:rsidRDefault="00D950EE" w:rsidP="00D950EE">
      <w:pPr>
        <w:spacing w:after="0"/>
        <w:ind w:left="0" w:firstLine="0"/>
      </w:pPr>
      <w:r>
        <w:tab/>
      </w:r>
      <w:bookmarkStart w:id="30" w:name="_Hlk141727031"/>
      <w:r w:rsidRPr="00887499">
        <w:t xml:space="preserve">Agrawal et al. </w:t>
      </w:r>
      <w:r>
        <w:t>(</w:t>
      </w:r>
      <w:r w:rsidRPr="00887499">
        <w:t>2018</w:t>
      </w:r>
      <w:r>
        <w:t xml:space="preserve">) </w:t>
      </w:r>
      <w:bookmarkEnd w:id="30"/>
      <w:r>
        <w:t xml:space="preserve">discussed how models of forest resource </w:t>
      </w:r>
      <w:r w:rsidR="00592DD7">
        <w:t>management</w:t>
      </w:r>
      <w:r>
        <w:t>, such as Community-Based Forest Management, have developed in response to a growing understanding and appreciation of the benefits that forests provide. Community-Based Forestry (CBF), as described by Hovis et al.</w:t>
      </w:r>
      <w:r w:rsidRPr="00887499">
        <w:t xml:space="preserve"> </w:t>
      </w:r>
      <w:r>
        <w:t>(2022), entails giving local communities a more significant say in the decisions that affect them and in the benefits from the forest</w:t>
      </w:r>
      <w:r w:rsidRPr="00887499">
        <w:t xml:space="preserve">. </w:t>
      </w:r>
      <w:r>
        <w:t xml:space="preserve">They further maintained that </w:t>
      </w:r>
      <w:r w:rsidRPr="00887499">
        <w:t>C</w:t>
      </w:r>
      <w:r>
        <w:t>B</w:t>
      </w:r>
      <w:r w:rsidRPr="00887499">
        <w:t>Fs have been p</w:t>
      </w:r>
      <w:r>
        <w:t>roposed</w:t>
      </w:r>
      <w:r w:rsidRPr="00887499">
        <w:t xml:space="preserve"> as a </w:t>
      </w:r>
      <w:r>
        <w:t xml:space="preserve">novel possibility for improving local livelihoods and forest conservation in ways that conventional policy instruments often do not do. </w:t>
      </w:r>
    </w:p>
    <w:p w14:paraId="42BB0965" w14:textId="6F9EDCDA" w:rsidR="00D950EE" w:rsidRDefault="00D950EE" w:rsidP="00D950EE">
      <w:pPr>
        <w:pStyle w:val="BodyText"/>
        <w:spacing w:after="0"/>
        <w:ind w:left="0" w:firstLine="0"/>
        <w:rPr>
          <w:rFonts w:cs="Times New Roman"/>
          <w:szCs w:val="24"/>
        </w:rPr>
      </w:pPr>
      <w:bookmarkStart w:id="31" w:name="_Hlk141727049"/>
      <w:r>
        <w:rPr>
          <w:rFonts w:cs="Times New Roman"/>
          <w:szCs w:val="24"/>
        </w:rPr>
        <w:tab/>
      </w:r>
      <w:bookmarkStart w:id="32" w:name="_Hlk129175229"/>
      <w:bookmarkStart w:id="33" w:name="_Hlk165320601"/>
      <w:bookmarkEnd w:id="31"/>
      <w:r>
        <w:rPr>
          <w:rFonts w:cs="Times New Roman"/>
          <w:szCs w:val="24"/>
        </w:rPr>
        <w:t xml:space="preserve">In the same breath, </w:t>
      </w:r>
      <w:bookmarkStart w:id="34" w:name="_Hlk141727095"/>
      <w:proofErr w:type="spellStart"/>
      <w:r>
        <w:rPr>
          <w:rFonts w:cs="Times New Roman"/>
          <w:szCs w:val="24"/>
        </w:rPr>
        <w:t>Djoma</w:t>
      </w:r>
      <w:proofErr w:type="spellEnd"/>
      <w:r>
        <w:rPr>
          <w:rFonts w:cs="Times New Roman"/>
          <w:szCs w:val="24"/>
        </w:rPr>
        <w:t xml:space="preserve"> et al. (2018)</w:t>
      </w:r>
      <w:bookmarkEnd w:id="34"/>
      <w:r>
        <w:rPr>
          <w:rFonts w:cs="Times New Roman"/>
          <w:szCs w:val="24"/>
        </w:rPr>
        <w:t xml:space="preserve"> suggested that</w:t>
      </w:r>
      <w:r w:rsidRPr="00191A6B">
        <w:rPr>
          <w:rFonts w:cs="Times New Roman"/>
          <w:szCs w:val="24"/>
        </w:rPr>
        <w:t xml:space="preserve"> the </w:t>
      </w:r>
      <w:r>
        <w:rPr>
          <w:rFonts w:cs="Times New Roman"/>
          <w:szCs w:val="24"/>
        </w:rPr>
        <w:t>successful involvement of people residing in and around forests plays a crucial role in reinforcing the notion that their successful participation is critical in advancing sustainable development. Therefore, according to Andersson (2013) and Secco et al. (2014), local participation in forest governance is a vital tool for sustainable forest management as it enhances local expertise, increases accountability, and increases the legitimacy of forest governance.</w:t>
      </w:r>
    </w:p>
    <w:p w14:paraId="1C643F5C" w14:textId="77777777" w:rsidR="00D950EE" w:rsidRDefault="00D950EE" w:rsidP="00D950EE">
      <w:pPr>
        <w:pStyle w:val="BodyText"/>
        <w:spacing w:after="0"/>
        <w:ind w:left="0" w:firstLine="0"/>
        <w:rPr>
          <w:rFonts w:cs="Times New Roman"/>
          <w:szCs w:val="24"/>
        </w:rPr>
      </w:pPr>
      <w:bookmarkStart w:id="35" w:name="_Hlk129175494"/>
      <w:bookmarkEnd w:id="32"/>
      <w:r>
        <w:rPr>
          <w:rFonts w:cs="Times New Roman"/>
          <w:szCs w:val="24"/>
        </w:rPr>
        <w:tab/>
        <w:t>Furthermore, to protect forest resources and promote sustainable development</w:t>
      </w:r>
      <w:r w:rsidRPr="00755289">
        <w:rPr>
          <w:rFonts w:cs="Times New Roman"/>
          <w:szCs w:val="24"/>
        </w:rPr>
        <w:t xml:space="preserve">, </w:t>
      </w:r>
      <w:bookmarkStart w:id="36" w:name="_Hlk141727129"/>
      <w:r w:rsidRPr="00755289">
        <w:rPr>
          <w:rFonts w:cs="Times New Roman"/>
          <w:szCs w:val="24"/>
        </w:rPr>
        <w:t xml:space="preserve">Marchi et al. </w:t>
      </w:r>
      <w:r>
        <w:rPr>
          <w:rFonts w:cs="Times New Roman"/>
          <w:szCs w:val="24"/>
        </w:rPr>
        <w:t>(</w:t>
      </w:r>
      <w:r w:rsidRPr="00755289">
        <w:rPr>
          <w:rFonts w:cs="Times New Roman"/>
          <w:szCs w:val="24"/>
        </w:rPr>
        <w:t>2018</w:t>
      </w:r>
      <w:r>
        <w:rPr>
          <w:rFonts w:cs="Times New Roman"/>
          <w:szCs w:val="24"/>
        </w:rPr>
        <w:t>)</w:t>
      </w:r>
      <w:bookmarkEnd w:id="36"/>
      <w:r>
        <w:rPr>
          <w:rFonts w:cs="Times New Roman"/>
          <w:szCs w:val="24"/>
        </w:rPr>
        <w:t xml:space="preserve"> prescribe </w:t>
      </w:r>
      <w:r w:rsidRPr="00755289">
        <w:rPr>
          <w:rFonts w:cs="Times New Roman"/>
          <w:szCs w:val="24"/>
        </w:rPr>
        <w:t>solicit</w:t>
      </w:r>
      <w:r>
        <w:rPr>
          <w:rFonts w:cs="Times New Roman"/>
          <w:szCs w:val="24"/>
        </w:rPr>
        <w:t>ing</w:t>
      </w:r>
      <w:r w:rsidRPr="00755289">
        <w:rPr>
          <w:rFonts w:cs="Times New Roman"/>
          <w:szCs w:val="24"/>
        </w:rPr>
        <w:t xml:space="preserve"> </w:t>
      </w:r>
      <w:r>
        <w:rPr>
          <w:rFonts w:cs="Times New Roman"/>
          <w:szCs w:val="24"/>
        </w:rPr>
        <w:t xml:space="preserve">the involvement of </w:t>
      </w:r>
      <w:r w:rsidRPr="00755289">
        <w:rPr>
          <w:rFonts w:cs="Times New Roman"/>
          <w:szCs w:val="24"/>
        </w:rPr>
        <w:t>all</w:t>
      </w:r>
      <w:r>
        <w:rPr>
          <w:rFonts w:cs="Times New Roman"/>
          <w:szCs w:val="24"/>
        </w:rPr>
        <w:t xml:space="preserve"> individuals</w:t>
      </w:r>
      <w:r w:rsidRPr="00755289">
        <w:rPr>
          <w:rFonts w:cs="Times New Roman"/>
          <w:szCs w:val="24"/>
        </w:rPr>
        <w:t xml:space="preserve">, </w:t>
      </w:r>
      <w:r>
        <w:rPr>
          <w:rFonts w:cs="Times New Roman"/>
          <w:szCs w:val="24"/>
        </w:rPr>
        <w:t xml:space="preserve">particularly </w:t>
      </w:r>
      <w:r w:rsidRPr="00755289">
        <w:rPr>
          <w:rFonts w:cs="Times New Roman"/>
          <w:szCs w:val="24"/>
        </w:rPr>
        <w:t xml:space="preserve">those who </w:t>
      </w:r>
      <w:r>
        <w:rPr>
          <w:rFonts w:cs="Times New Roman"/>
          <w:szCs w:val="24"/>
        </w:rPr>
        <w:t>depend</w:t>
      </w:r>
      <w:r w:rsidRPr="00755289">
        <w:rPr>
          <w:rFonts w:cs="Times New Roman"/>
          <w:szCs w:val="24"/>
        </w:rPr>
        <w:t xml:space="preserve"> </w:t>
      </w:r>
      <w:r>
        <w:rPr>
          <w:rFonts w:cs="Times New Roman"/>
          <w:szCs w:val="24"/>
        </w:rPr>
        <w:t>on the</w:t>
      </w:r>
      <w:r w:rsidRPr="00755289">
        <w:rPr>
          <w:rFonts w:cs="Times New Roman"/>
          <w:szCs w:val="24"/>
        </w:rPr>
        <w:t xml:space="preserve"> </w:t>
      </w:r>
      <w:r>
        <w:rPr>
          <w:rFonts w:cs="Times New Roman"/>
          <w:szCs w:val="24"/>
        </w:rPr>
        <w:t>forest</w:t>
      </w:r>
      <w:r w:rsidRPr="00755289">
        <w:rPr>
          <w:rFonts w:cs="Times New Roman"/>
          <w:szCs w:val="24"/>
        </w:rPr>
        <w:t xml:space="preserve">. </w:t>
      </w:r>
      <w:r>
        <w:rPr>
          <w:rFonts w:cs="Times New Roman"/>
          <w:szCs w:val="24"/>
        </w:rPr>
        <w:t xml:space="preserve">As a result, </w:t>
      </w:r>
      <w:bookmarkStart w:id="37" w:name="_Hlk141727140"/>
      <w:r w:rsidRPr="00755289">
        <w:rPr>
          <w:rFonts w:cs="Times New Roman"/>
          <w:szCs w:val="24"/>
        </w:rPr>
        <w:t xml:space="preserve">Colombo </w:t>
      </w:r>
      <w:r w:rsidRPr="00755289">
        <w:rPr>
          <w:rFonts w:cs="Times New Roman"/>
          <w:szCs w:val="24"/>
        </w:rPr>
        <w:lastRenderedPageBreak/>
        <w:t xml:space="preserve">et al. </w:t>
      </w:r>
      <w:r>
        <w:rPr>
          <w:rFonts w:cs="Times New Roman"/>
          <w:szCs w:val="24"/>
        </w:rPr>
        <w:t>(</w:t>
      </w:r>
      <w:r w:rsidRPr="00755289">
        <w:rPr>
          <w:rFonts w:cs="Times New Roman"/>
          <w:szCs w:val="24"/>
        </w:rPr>
        <w:t>2012</w:t>
      </w:r>
      <w:r>
        <w:rPr>
          <w:rFonts w:cs="Times New Roman"/>
          <w:szCs w:val="24"/>
        </w:rPr>
        <w:t>)</w:t>
      </w:r>
      <w:bookmarkEnd w:id="37"/>
      <w:r>
        <w:rPr>
          <w:rFonts w:cs="Times New Roman"/>
          <w:szCs w:val="24"/>
        </w:rPr>
        <w:t xml:space="preserve"> suggested that importance should be attached to the engagement of local people to ensure the responsible use of forest products. Similarly, the </w:t>
      </w:r>
      <w:bookmarkStart w:id="38" w:name="_Hlk141727159"/>
      <w:r w:rsidRPr="00755289">
        <w:rPr>
          <w:rFonts w:cs="Times New Roman"/>
          <w:szCs w:val="24"/>
        </w:rPr>
        <w:t>F</w:t>
      </w:r>
      <w:r>
        <w:rPr>
          <w:rFonts w:cs="Times New Roman"/>
          <w:szCs w:val="24"/>
        </w:rPr>
        <w:t xml:space="preserve">ood and </w:t>
      </w:r>
      <w:r w:rsidRPr="00755289">
        <w:rPr>
          <w:rFonts w:cs="Times New Roman"/>
          <w:szCs w:val="24"/>
        </w:rPr>
        <w:t>A</w:t>
      </w:r>
      <w:r>
        <w:rPr>
          <w:rFonts w:cs="Times New Roman"/>
          <w:szCs w:val="24"/>
        </w:rPr>
        <w:t xml:space="preserve">gricultural </w:t>
      </w:r>
      <w:r w:rsidRPr="00755289">
        <w:rPr>
          <w:rFonts w:cs="Times New Roman"/>
          <w:szCs w:val="24"/>
        </w:rPr>
        <w:t>Organization</w:t>
      </w:r>
      <w:r>
        <w:rPr>
          <w:rFonts w:cs="Times New Roman"/>
          <w:szCs w:val="24"/>
        </w:rPr>
        <w:t xml:space="preserve"> (FAO) in </w:t>
      </w:r>
      <w:r w:rsidRPr="00755289">
        <w:rPr>
          <w:rFonts w:cs="Times New Roman"/>
          <w:szCs w:val="24"/>
        </w:rPr>
        <w:t>2015</w:t>
      </w:r>
      <w:r>
        <w:rPr>
          <w:rFonts w:cs="Times New Roman"/>
          <w:szCs w:val="24"/>
        </w:rPr>
        <w:t xml:space="preserve"> </w:t>
      </w:r>
      <w:bookmarkEnd w:id="38"/>
      <w:r>
        <w:rPr>
          <w:rFonts w:cs="Times New Roman"/>
          <w:szCs w:val="24"/>
        </w:rPr>
        <w:t>indicated that strategies such as participatory decision-making processes, multi-stakeholder collaboration, strengthening community decision-making institutions, capacity building, recognition of customary rights, and promoting sustainable livelihoods to improve rural communities' involvement as the primary stakeholders in decisions about managing forest resources have been established</w:t>
      </w:r>
      <w:r w:rsidRPr="00755289">
        <w:rPr>
          <w:rFonts w:cs="Times New Roman"/>
          <w:szCs w:val="24"/>
        </w:rPr>
        <w:t xml:space="preserve">. </w:t>
      </w:r>
    </w:p>
    <w:p w14:paraId="336B69D4" w14:textId="19511ACC" w:rsidR="00D950EE" w:rsidRDefault="00D950EE" w:rsidP="00D950EE">
      <w:pPr>
        <w:pStyle w:val="BodyText"/>
        <w:spacing w:after="0"/>
        <w:ind w:left="0" w:firstLine="0"/>
        <w:rPr>
          <w:rFonts w:cs="Times New Roman"/>
          <w:szCs w:val="24"/>
        </w:rPr>
      </w:pPr>
      <w:r>
        <w:rPr>
          <w:rFonts w:cs="Times New Roman"/>
          <w:szCs w:val="24"/>
        </w:rPr>
        <w:tab/>
      </w:r>
      <w:bookmarkStart w:id="39" w:name="_Hlk129175690"/>
      <w:bookmarkEnd w:id="33"/>
      <w:bookmarkEnd w:id="35"/>
      <w:r>
        <w:rPr>
          <w:rFonts w:cs="Times New Roman"/>
          <w:szCs w:val="24"/>
        </w:rPr>
        <w:t xml:space="preserve">Despite the various benefits of local people’s participation in forest stewardship, studies by </w:t>
      </w:r>
      <w:bookmarkStart w:id="40" w:name="_Hlk141727218"/>
      <w:proofErr w:type="spellStart"/>
      <w:r>
        <w:rPr>
          <w:rFonts w:cs="Times New Roman"/>
          <w:szCs w:val="24"/>
        </w:rPr>
        <w:t>deMarsh</w:t>
      </w:r>
      <w:proofErr w:type="spellEnd"/>
      <w:r>
        <w:rPr>
          <w:rFonts w:cs="Times New Roman"/>
          <w:szCs w:val="24"/>
        </w:rPr>
        <w:t xml:space="preserve"> et al. (2014) and </w:t>
      </w:r>
      <w:proofErr w:type="spellStart"/>
      <w:r>
        <w:rPr>
          <w:rFonts w:cs="Times New Roman"/>
          <w:szCs w:val="24"/>
        </w:rPr>
        <w:t>Pasiecznik</w:t>
      </w:r>
      <w:proofErr w:type="spellEnd"/>
      <w:r>
        <w:rPr>
          <w:rFonts w:cs="Times New Roman"/>
          <w:szCs w:val="24"/>
        </w:rPr>
        <w:t xml:space="preserve"> and </w:t>
      </w:r>
      <w:proofErr w:type="spellStart"/>
      <w:r>
        <w:rPr>
          <w:rFonts w:cs="Times New Roman"/>
          <w:szCs w:val="24"/>
        </w:rPr>
        <w:t>Savenije</w:t>
      </w:r>
      <w:proofErr w:type="spellEnd"/>
      <w:r>
        <w:rPr>
          <w:rFonts w:cs="Times New Roman"/>
          <w:szCs w:val="24"/>
        </w:rPr>
        <w:t xml:space="preserve"> (2015) </w:t>
      </w:r>
      <w:bookmarkEnd w:id="40"/>
      <w:r>
        <w:rPr>
          <w:rFonts w:cs="Times New Roman"/>
          <w:szCs w:val="24"/>
        </w:rPr>
        <w:t>identified issues such as poor information access, uncertain land rights, limited access to finance, inadequate infrastructure, distance and separation from markets, lack of decision-making authority, and the socioeconomic structure which results in varying degrees of community participation in the decision-making process.</w:t>
      </w:r>
    </w:p>
    <w:p w14:paraId="3AC7AD60" w14:textId="77777777" w:rsidR="00D950EE" w:rsidRDefault="00D950EE" w:rsidP="00D950EE">
      <w:pPr>
        <w:spacing w:after="0"/>
        <w:ind w:left="0" w:firstLine="0"/>
      </w:pPr>
      <w:bookmarkStart w:id="41" w:name="_Hlk141889045"/>
      <w:bookmarkStart w:id="42" w:name="_Hlk126159837"/>
      <w:r>
        <w:rPr>
          <w:rFonts w:cs="Times New Roman"/>
          <w:szCs w:val="24"/>
        </w:rPr>
        <w:tab/>
      </w:r>
      <w:bookmarkStart w:id="43" w:name="_Hlk195260155"/>
      <w:r>
        <w:rPr>
          <w:rFonts w:cs="Times New Roman"/>
          <w:szCs w:val="24"/>
        </w:rPr>
        <w:t xml:space="preserve">Similarly, </w:t>
      </w:r>
      <w:r>
        <w:t xml:space="preserve">not all stakeholders have equal access to forest resources or their associated benefits. </w:t>
      </w:r>
      <w:bookmarkEnd w:id="41"/>
      <w:r>
        <w:t xml:space="preserve">According to </w:t>
      </w:r>
      <w:bookmarkStart w:id="44" w:name="_Hlk141727236"/>
      <w:r>
        <w:t>Khatri et al. (2018)</w:t>
      </w:r>
      <w:bookmarkEnd w:id="44"/>
      <w:r>
        <w:t xml:space="preserve">, marginalised groups are those in the community whose ideas are disregarded or unheard of by local elites and have almost no influence on decision-making. According to Khatri et al., these groups are frequently subject to discrimination because of their race, age, gender, and line of work. In addition to what Khatri et al. claimed, </w:t>
      </w:r>
      <w:bookmarkStart w:id="45" w:name="_Hlk141727280"/>
      <w:r>
        <w:t xml:space="preserve">Berkes et al. (1991) </w:t>
      </w:r>
      <w:bookmarkEnd w:id="45"/>
      <w:r>
        <w:t>explained that the management system sometimes serves as the basis for exclusion in decision-making since state-level management views the local community's management as lacking a scientific foundation.</w:t>
      </w:r>
      <w:bookmarkEnd w:id="43"/>
    </w:p>
    <w:p w14:paraId="612A2A0C" w14:textId="2DD699F8" w:rsidR="00D950EE" w:rsidRDefault="00D950EE" w:rsidP="0051302C">
      <w:pPr>
        <w:pStyle w:val="BodyText"/>
        <w:spacing w:after="0"/>
        <w:ind w:left="0" w:firstLine="0"/>
        <w:rPr>
          <w:rFonts w:cs="Times New Roman"/>
          <w:szCs w:val="24"/>
        </w:rPr>
      </w:pPr>
      <w:bookmarkStart w:id="46" w:name="_Hlk144470575"/>
      <w:r>
        <w:rPr>
          <w:rFonts w:cs="Times New Roman"/>
          <w:szCs w:val="24"/>
        </w:rPr>
        <w:lastRenderedPageBreak/>
        <w:tab/>
      </w:r>
      <w:bookmarkStart w:id="47" w:name="_Hlk141727327"/>
      <w:bookmarkEnd w:id="46"/>
      <w:proofErr w:type="spellStart"/>
      <w:r w:rsidRPr="00B46DB0">
        <w:rPr>
          <w:rFonts w:cs="Times New Roman"/>
          <w:szCs w:val="24"/>
        </w:rPr>
        <w:t>Diansyah</w:t>
      </w:r>
      <w:proofErr w:type="spellEnd"/>
      <w:r w:rsidRPr="00B46DB0">
        <w:rPr>
          <w:rFonts w:cs="Times New Roman"/>
          <w:szCs w:val="24"/>
        </w:rPr>
        <w:t xml:space="preserve"> et al. </w:t>
      </w:r>
      <w:r>
        <w:rPr>
          <w:rFonts w:cs="Times New Roman"/>
          <w:szCs w:val="24"/>
        </w:rPr>
        <w:t>(</w:t>
      </w:r>
      <w:r w:rsidRPr="00B46DB0">
        <w:rPr>
          <w:rFonts w:cs="Times New Roman"/>
          <w:szCs w:val="24"/>
        </w:rPr>
        <w:t>2021</w:t>
      </w:r>
      <w:r>
        <w:rPr>
          <w:rFonts w:cs="Times New Roman"/>
          <w:szCs w:val="24"/>
        </w:rPr>
        <w:t xml:space="preserve">) </w:t>
      </w:r>
      <w:bookmarkEnd w:id="47"/>
      <w:r>
        <w:rPr>
          <w:rFonts w:cs="Times New Roman"/>
          <w:szCs w:val="24"/>
        </w:rPr>
        <w:t>believed that although</w:t>
      </w:r>
      <w:r w:rsidRPr="00B46DB0">
        <w:rPr>
          <w:rFonts w:cs="Times New Roman"/>
          <w:szCs w:val="24"/>
        </w:rPr>
        <w:t xml:space="preserve"> </w:t>
      </w:r>
      <w:r>
        <w:rPr>
          <w:rFonts w:cs="Times New Roman"/>
          <w:szCs w:val="24"/>
        </w:rPr>
        <w:t xml:space="preserve">outcomes </w:t>
      </w:r>
      <w:r w:rsidRPr="00B46DB0">
        <w:rPr>
          <w:rFonts w:cs="Times New Roman"/>
          <w:szCs w:val="24"/>
        </w:rPr>
        <w:t xml:space="preserve">may </w:t>
      </w:r>
      <w:r>
        <w:rPr>
          <w:rFonts w:cs="Times New Roman"/>
          <w:szCs w:val="24"/>
        </w:rPr>
        <w:t>vary</w:t>
      </w:r>
      <w:r w:rsidRPr="00B46DB0">
        <w:rPr>
          <w:rFonts w:cs="Times New Roman"/>
          <w:szCs w:val="24"/>
        </w:rPr>
        <w:t xml:space="preserve"> across </w:t>
      </w:r>
      <w:r>
        <w:rPr>
          <w:rFonts w:cs="Times New Roman"/>
          <w:szCs w:val="24"/>
        </w:rPr>
        <w:t>numerous settings</w:t>
      </w:r>
      <w:r w:rsidRPr="00B46DB0">
        <w:rPr>
          <w:rFonts w:cs="Times New Roman"/>
          <w:szCs w:val="24"/>
        </w:rPr>
        <w:t>, C</w:t>
      </w:r>
      <w:r>
        <w:rPr>
          <w:rFonts w:cs="Times New Roman"/>
          <w:szCs w:val="24"/>
        </w:rPr>
        <w:t>BF</w:t>
      </w:r>
      <w:r w:rsidRPr="00B46DB0">
        <w:rPr>
          <w:rFonts w:cs="Times New Roman"/>
          <w:szCs w:val="24"/>
        </w:rPr>
        <w:t xml:space="preserve"> has been </w:t>
      </w:r>
      <w:r>
        <w:rPr>
          <w:rFonts w:cs="Times New Roman"/>
          <w:szCs w:val="24"/>
        </w:rPr>
        <w:t>observed</w:t>
      </w:r>
      <w:r w:rsidRPr="00B46DB0">
        <w:rPr>
          <w:rFonts w:cs="Times New Roman"/>
          <w:szCs w:val="24"/>
        </w:rPr>
        <w:t xml:space="preserve"> to</w:t>
      </w:r>
      <w:r>
        <w:rPr>
          <w:rFonts w:cs="Times New Roman"/>
          <w:szCs w:val="24"/>
        </w:rPr>
        <w:t xml:space="preserve"> demonstrate</w:t>
      </w:r>
      <w:r w:rsidRPr="00B46DB0">
        <w:rPr>
          <w:rFonts w:cs="Times New Roman"/>
          <w:szCs w:val="24"/>
        </w:rPr>
        <w:t xml:space="preserve"> only those outcomes. </w:t>
      </w:r>
      <w:bookmarkStart w:id="48" w:name="_Hlk144470651"/>
      <w:r>
        <w:rPr>
          <w:rFonts w:cs="Times New Roman"/>
          <w:szCs w:val="24"/>
        </w:rPr>
        <w:t>Moreso, IPBES (2022) states that tenure arrangements such as CBF offer secure rights over land and resources that can encourage conservation, sustainable usage, and a spectrum of livelihoods that enhance human well-being while guaranteeing that ecological conditions are preserved.</w:t>
      </w:r>
    </w:p>
    <w:p w14:paraId="299BEECB" w14:textId="77777777" w:rsidR="00D950EE" w:rsidRDefault="00D950EE" w:rsidP="00D950EE">
      <w:pPr>
        <w:pStyle w:val="BodyText"/>
        <w:spacing w:after="0"/>
        <w:ind w:left="0" w:firstLine="0"/>
        <w:rPr>
          <w:rFonts w:cs="Times New Roman"/>
          <w:szCs w:val="24"/>
        </w:rPr>
      </w:pPr>
      <w:bookmarkStart w:id="49" w:name="_Hlk144470691"/>
      <w:bookmarkEnd w:id="42"/>
      <w:bookmarkEnd w:id="48"/>
      <w:r>
        <w:rPr>
          <w:rFonts w:cs="Times New Roman"/>
          <w:szCs w:val="24"/>
        </w:rPr>
        <w:tab/>
      </w:r>
      <w:bookmarkStart w:id="50" w:name="_Hlk141727369"/>
      <w:bookmarkStart w:id="51" w:name="_Hlk165450420"/>
      <w:r w:rsidRPr="00191A6B">
        <w:rPr>
          <w:rFonts w:cs="Times New Roman"/>
          <w:szCs w:val="24"/>
        </w:rPr>
        <w:t xml:space="preserve">Participation </w:t>
      </w:r>
      <w:r>
        <w:rPr>
          <w:rFonts w:cs="Times New Roman"/>
          <w:szCs w:val="24"/>
        </w:rPr>
        <w:t xml:space="preserve">enhances the validity of decisions and quality of planning in forestry, according to </w:t>
      </w:r>
      <w:r w:rsidRPr="00191A6B">
        <w:rPr>
          <w:rFonts w:cs="Times New Roman"/>
          <w:szCs w:val="24"/>
        </w:rPr>
        <w:t xml:space="preserve">Weber </w:t>
      </w:r>
      <w:r>
        <w:rPr>
          <w:rFonts w:cs="Times New Roman"/>
          <w:szCs w:val="24"/>
        </w:rPr>
        <w:t>(</w:t>
      </w:r>
      <w:r w:rsidRPr="00191A6B">
        <w:rPr>
          <w:rFonts w:cs="Times New Roman"/>
          <w:szCs w:val="24"/>
        </w:rPr>
        <w:t xml:space="preserve">2018). </w:t>
      </w:r>
      <w:r>
        <w:rPr>
          <w:rFonts w:cs="Times New Roman"/>
          <w:szCs w:val="24"/>
        </w:rPr>
        <w:t xml:space="preserve">Rantala and German (2013) </w:t>
      </w:r>
      <w:bookmarkEnd w:id="50"/>
      <w:r>
        <w:rPr>
          <w:rFonts w:cs="Times New Roman"/>
          <w:szCs w:val="24"/>
        </w:rPr>
        <w:t xml:space="preserve">indicated in the same context that legitimacy connects to management as it complies with a society's existing values, norms, and principles, including transparency, the rule of law, participation, and fairness.  </w:t>
      </w:r>
    </w:p>
    <w:p w14:paraId="5E24B2D1" w14:textId="77777777" w:rsidR="00D950EE" w:rsidRDefault="00D950EE" w:rsidP="00D950EE">
      <w:pPr>
        <w:pStyle w:val="BodyText"/>
        <w:spacing w:after="0"/>
        <w:ind w:left="0" w:firstLine="0"/>
        <w:rPr>
          <w:rFonts w:cs="Times New Roman"/>
          <w:szCs w:val="24"/>
        </w:rPr>
      </w:pPr>
      <w:bookmarkStart w:id="52" w:name="_Hlk143249533"/>
      <w:bookmarkEnd w:id="49"/>
      <w:bookmarkEnd w:id="51"/>
      <w:r>
        <w:rPr>
          <w:rFonts w:cs="Times New Roman"/>
          <w:szCs w:val="24"/>
        </w:rPr>
        <w:tab/>
        <w:t xml:space="preserve">Based on the philosophies of participation, inclusion, and consequentialism, this study argues that if </w:t>
      </w:r>
      <w:r w:rsidRPr="001259A7">
        <w:rPr>
          <w:rFonts w:cs="Times New Roman"/>
          <w:szCs w:val="24"/>
        </w:rPr>
        <w:t>communities</w:t>
      </w:r>
      <w:r>
        <w:rPr>
          <w:rFonts w:cs="Times New Roman"/>
          <w:szCs w:val="24"/>
        </w:rPr>
        <w:t>,</w:t>
      </w:r>
      <w:r w:rsidRPr="001259A7">
        <w:rPr>
          <w:rFonts w:cs="Times New Roman"/>
          <w:szCs w:val="24"/>
        </w:rPr>
        <w:t xml:space="preserve"> including user groups</w:t>
      </w:r>
      <w:r>
        <w:rPr>
          <w:rFonts w:cs="Times New Roman"/>
          <w:szCs w:val="24"/>
        </w:rPr>
        <w:t>,</w:t>
      </w:r>
      <w:r w:rsidRPr="001259A7">
        <w:rPr>
          <w:rFonts w:cs="Times New Roman"/>
          <w:szCs w:val="24"/>
        </w:rPr>
        <w:t xml:space="preserve"> have an appreciable say in the negotiation, definition, and guarantee an equitable share of the management functions, entitlements, and responsibilities for a given set of forest resources, there will be sustainable community-based forestry</w:t>
      </w:r>
      <w:r>
        <w:rPr>
          <w:rFonts w:cs="Times New Roman"/>
          <w:szCs w:val="24"/>
        </w:rPr>
        <w:t>. The Social Exchange Theory highlights this</w:t>
      </w:r>
      <w:r w:rsidRPr="00191A6B">
        <w:rPr>
          <w:rFonts w:cs="Times New Roman"/>
          <w:szCs w:val="24"/>
        </w:rPr>
        <w:t>.</w:t>
      </w:r>
      <w:r>
        <w:rPr>
          <w:rFonts w:cs="Times New Roman"/>
          <w:szCs w:val="24"/>
        </w:rPr>
        <w:t xml:space="preserve"> </w:t>
      </w:r>
    </w:p>
    <w:bookmarkEnd w:id="52"/>
    <w:p w14:paraId="40ECEA4C" w14:textId="77777777" w:rsidR="00D950EE" w:rsidRDefault="00D950EE" w:rsidP="00D950EE">
      <w:pPr>
        <w:spacing w:after="0"/>
        <w:ind w:left="0" w:firstLine="0"/>
      </w:pPr>
      <w:r>
        <w:tab/>
        <w:t xml:space="preserve">A critical insight of Social Exchange Theory is that social relationships are characterised by rewards and punishments, where individuals or groups exchange resources, favours, and benefits, as discussed by </w:t>
      </w:r>
      <w:bookmarkStart w:id="53" w:name="_Hlk141727399"/>
      <w:r>
        <w:t>Blau (1964)</w:t>
      </w:r>
      <w:bookmarkEnd w:id="53"/>
      <w:r>
        <w:t xml:space="preserve">. In forest management, stakeholders may collaborate to exchange knowledge, expertise, and resources to benefit from each other. These benefits can be tangible or not. For example, forest managers may collaborate with local communities to gain access to local knowledge regarding forest use and conservation practices. In </w:t>
      </w:r>
      <w:r>
        <w:lastRenderedPageBreak/>
        <w:t xml:space="preserve">contrast, the community may return the favour of safeguarding the resource if they perceive a benefit in such an endeavour. </w:t>
      </w:r>
    </w:p>
    <w:p w14:paraId="5BE52E70" w14:textId="77777777" w:rsidR="00D950EE" w:rsidRDefault="00D950EE" w:rsidP="00D950EE">
      <w:pPr>
        <w:spacing w:after="0"/>
        <w:ind w:left="0" w:firstLine="0"/>
      </w:pPr>
      <w:bookmarkStart w:id="54" w:name="_Hlk141727416"/>
      <w:r>
        <w:rPr>
          <w:rFonts w:cs="Times New Roman"/>
          <w:szCs w:val="24"/>
        </w:rPr>
        <w:tab/>
      </w:r>
      <w:proofErr w:type="spellStart"/>
      <w:r w:rsidRPr="00191A6B">
        <w:rPr>
          <w:rFonts w:cs="Times New Roman"/>
          <w:szCs w:val="24"/>
        </w:rPr>
        <w:t>Diawuo</w:t>
      </w:r>
      <w:proofErr w:type="spellEnd"/>
      <w:r w:rsidRPr="00191A6B">
        <w:rPr>
          <w:rFonts w:cs="Times New Roman"/>
          <w:szCs w:val="24"/>
        </w:rPr>
        <w:t xml:space="preserve"> </w:t>
      </w:r>
      <w:r>
        <w:rPr>
          <w:rFonts w:cs="Times New Roman"/>
          <w:szCs w:val="24"/>
        </w:rPr>
        <w:t>and</w:t>
      </w:r>
      <w:r w:rsidRPr="00191A6B">
        <w:rPr>
          <w:rFonts w:cs="Times New Roman"/>
          <w:szCs w:val="24"/>
        </w:rPr>
        <w:t xml:space="preserve"> </w:t>
      </w:r>
      <w:proofErr w:type="spellStart"/>
      <w:r w:rsidRPr="00191A6B">
        <w:rPr>
          <w:rFonts w:cs="Times New Roman"/>
          <w:szCs w:val="24"/>
        </w:rPr>
        <w:t>Issifu</w:t>
      </w:r>
      <w:proofErr w:type="spellEnd"/>
      <w:r w:rsidRPr="00191A6B">
        <w:rPr>
          <w:rFonts w:cs="Times New Roman"/>
          <w:szCs w:val="24"/>
        </w:rPr>
        <w:t xml:space="preserve"> </w:t>
      </w:r>
      <w:r>
        <w:rPr>
          <w:rFonts w:cs="Times New Roman"/>
          <w:szCs w:val="24"/>
        </w:rPr>
        <w:t>(</w:t>
      </w:r>
      <w:r w:rsidRPr="00191A6B">
        <w:rPr>
          <w:rFonts w:cs="Times New Roman"/>
          <w:szCs w:val="24"/>
        </w:rPr>
        <w:t>2015</w:t>
      </w:r>
      <w:r>
        <w:rPr>
          <w:rFonts w:cs="Times New Roman"/>
          <w:szCs w:val="24"/>
        </w:rPr>
        <w:t>)</w:t>
      </w:r>
      <w:bookmarkEnd w:id="54"/>
      <w:r>
        <w:rPr>
          <w:rFonts w:cs="Times New Roman"/>
          <w:szCs w:val="24"/>
        </w:rPr>
        <w:t xml:space="preserve"> complimented Blua (1964) by asserting that norms are important in forest management, especially at the local level, since they ensure that people comply or conform to the requirements controlling resource usage. However, Social Exchange Theory is silent on how </w:t>
      </w:r>
      <w:r>
        <w:t>individuals and organisations make rational choices within institutional constraints; hence, the study will be augmented by Rational Choice Institutional Theory.</w:t>
      </w:r>
    </w:p>
    <w:p w14:paraId="02336DCF" w14:textId="77777777" w:rsidR="00D950EE" w:rsidRDefault="00D950EE" w:rsidP="00D950EE">
      <w:pPr>
        <w:spacing w:after="0"/>
        <w:ind w:left="0" w:firstLine="0"/>
      </w:pPr>
      <w:r>
        <w:tab/>
      </w:r>
      <w:proofErr w:type="gramStart"/>
      <w:r>
        <w:t>In order to</w:t>
      </w:r>
      <w:proofErr w:type="gramEnd"/>
      <w:r>
        <w:t xml:space="preserve"> ensure successful stakeholder cooperation in forest management, </w:t>
      </w:r>
      <w:bookmarkStart w:id="55" w:name="_Hlk141727433"/>
      <w:r>
        <w:t xml:space="preserve">Agrawal and Gibson (1999) </w:t>
      </w:r>
      <w:bookmarkEnd w:id="55"/>
      <w:r>
        <w:t>contended that Rational Choice Institutional Theory highlights the significance of explicit and enforceable rules and regulations. Building trust and minimising conflicts among various stakeholders can be assisted by institutions that offer clear guidelines and rewards for appropriate behaviour.</w:t>
      </w:r>
    </w:p>
    <w:p w14:paraId="0A085FFD" w14:textId="77777777" w:rsidR="00D950EE" w:rsidRDefault="00D950EE" w:rsidP="00D950EE">
      <w:pPr>
        <w:ind w:left="0" w:firstLine="0"/>
        <w:rPr>
          <w:rFonts w:cs="Times New Roman"/>
          <w:szCs w:val="24"/>
        </w:rPr>
      </w:pPr>
      <w:bookmarkStart w:id="56" w:name="_Hlk124950542"/>
      <w:r>
        <w:rPr>
          <w:rFonts w:cs="Times New Roman"/>
          <w:szCs w:val="24"/>
        </w:rPr>
        <w:tab/>
        <w:t xml:space="preserve">Several researchers, including </w:t>
      </w:r>
      <w:bookmarkStart w:id="57" w:name="_Hlk141727448"/>
      <w:r>
        <w:rPr>
          <w:rFonts w:cs="Times New Roman"/>
          <w:szCs w:val="24"/>
        </w:rPr>
        <w:t xml:space="preserve">Asante et al. (2017), </w:t>
      </w:r>
      <w:bookmarkEnd w:id="57"/>
      <w:r>
        <w:rPr>
          <w:rFonts w:cs="Times New Roman"/>
          <w:szCs w:val="24"/>
        </w:rPr>
        <w:t xml:space="preserve">have pointed out that in contrast to technically managed forests, which are rife with destruction, local </w:t>
      </w:r>
      <w:proofErr w:type="gramStart"/>
      <w:r>
        <w:rPr>
          <w:rFonts w:cs="Times New Roman"/>
          <w:szCs w:val="24"/>
        </w:rPr>
        <w:t>communities'</w:t>
      </w:r>
      <w:proofErr w:type="gramEnd"/>
      <w:r>
        <w:rPr>
          <w:rFonts w:cs="Times New Roman"/>
          <w:szCs w:val="24"/>
        </w:rPr>
        <w:t xml:space="preserve"> culturally maintained woods remain protected. </w:t>
      </w:r>
      <w:bookmarkStart w:id="58" w:name="_Hlk141727459"/>
      <w:r>
        <w:rPr>
          <w:rFonts w:cs="Times New Roman"/>
          <w:szCs w:val="24"/>
        </w:rPr>
        <w:t>Anup (2017)</w:t>
      </w:r>
      <w:bookmarkEnd w:id="58"/>
      <w:r>
        <w:rPr>
          <w:rFonts w:cs="Times New Roman"/>
          <w:szCs w:val="24"/>
        </w:rPr>
        <w:t xml:space="preserve"> added that the involvement of indigenes in forestry management greatly aided the preservation of biodiversity in Nepal. As a result of the community-led forest administration, there were increases in biomass, carbon stock, soil organic carbon, forest cover, forest products, and forest resource benefits. Populations of wild animals in the forest, including leopards, porcupines, monkeys, and other birds, have also increased.</w:t>
      </w:r>
    </w:p>
    <w:p w14:paraId="7E5732D1" w14:textId="083488D0" w:rsidR="00D950EE" w:rsidRDefault="00D950EE" w:rsidP="00D950EE">
      <w:pPr>
        <w:pStyle w:val="BodyText"/>
        <w:spacing w:after="0"/>
        <w:ind w:left="0" w:firstLine="0"/>
        <w:rPr>
          <w:rFonts w:cs="Times New Roman"/>
          <w:szCs w:val="24"/>
        </w:rPr>
      </w:pPr>
      <w:bookmarkStart w:id="59" w:name="_Hlk143249482"/>
      <w:bookmarkStart w:id="60" w:name="_Hlk124950671"/>
      <w:bookmarkStart w:id="61" w:name="_Hlk129175974"/>
      <w:bookmarkEnd w:id="39"/>
      <w:bookmarkEnd w:id="56"/>
      <w:r>
        <w:rPr>
          <w:rFonts w:cs="Times New Roman"/>
          <w:szCs w:val="24"/>
        </w:rPr>
        <w:tab/>
      </w:r>
      <w:bookmarkStart w:id="62" w:name="_Hlk195259494"/>
      <w:bookmarkEnd w:id="59"/>
      <w:r w:rsidR="00057824">
        <w:rPr>
          <w:rFonts w:cs="Times New Roman"/>
          <w:szCs w:val="24"/>
        </w:rPr>
        <w:t>In the same vein</w:t>
      </w:r>
      <w:r>
        <w:rPr>
          <w:rFonts w:cs="Times New Roman"/>
          <w:szCs w:val="24"/>
        </w:rPr>
        <w:t xml:space="preserve">, </w:t>
      </w:r>
      <w:bookmarkStart w:id="63" w:name="_Hlk141727476"/>
      <w:r>
        <w:rPr>
          <w:rFonts w:cs="Times New Roman"/>
          <w:szCs w:val="24"/>
        </w:rPr>
        <w:t xml:space="preserve">Rijal et al. (2021) </w:t>
      </w:r>
      <w:bookmarkEnd w:id="63"/>
      <w:r>
        <w:rPr>
          <w:rFonts w:cs="Times New Roman"/>
          <w:szCs w:val="24"/>
        </w:rPr>
        <w:t xml:space="preserve">showed that achieving sustainable community forestry in Nepal was made possible by greater community </w:t>
      </w:r>
      <w:r>
        <w:rPr>
          <w:rFonts w:cs="Times New Roman"/>
          <w:szCs w:val="24"/>
        </w:rPr>
        <w:lastRenderedPageBreak/>
        <w:t xml:space="preserve">involvement in the management process, with particular attention paid to outlining their various roles and powers. </w:t>
      </w:r>
      <w:bookmarkStart w:id="64" w:name="_Hlk124950591"/>
      <w:r>
        <w:rPr>
          <w:rFonts w:cs="Times New Roman"/>
          <w:szCs w:val="24"/>
        </w:rPr>
        <w:t xml:space="preserve">In addition, </w:t>
      </w:r>
      <w:bookmarkStart w:id="65" w:name="_Hlk141727499"/>
      <w:r>
        <w:rPr>
          <w:rFonts w:cs="Times New Roman"/>
          <w:szCs w:val="24"/>
        </w:rPr>
        <w:t>Persson and Prowse (2017)</w:t>
      </w:r>
      <w:bookmarkEnd w:id="65"/>
      <w:r>
        <w:rPr>
          <w:rFonts w:cs="Times New Roman"/>
          <w:szCs w:val="24"/>
        </w:rPr>
        <w:t xml:space="preserve"> observed that the advantages garnered in favour of local people were more remarkable: the more involved they were in formulating a participatory forest management plan, raising and maintaining forests, and protecting and conserving forests. </w:t>
      </w:r>
      <w:bookmarkEnd w:id="64"/>
      <w:r>
        <w:rPr>
          <w:rFonts w:cs="Times New Roman"/>
          <w:szCs w:val="24"/>
        </w:rPr>
        <w:t xml:space="preserve">Similarly, </w:t>
      </w:r>
      <w:bookmarkStart w:id="66" w:name="_Hlk141727510"/>
      <w:r w:rsidR="00B47211">
        <w:rPr>
          <w:rFonts w:cs="Times New Roman"/>
          <w:szCs w:val="24"/>
        </w:rPr>
        <w:t>Ranji</w:t>
      </w:r>
      <w:r w:rsidR="007F5128">
        <w:rPr>
          <w:rFonts w:cs="Times New Roman"/>
          <w:szCs w:val="24"/>
        </w:rPr>
        <w:t>t</w:t>
      </w:r>
      <w:r>
        <w:rPr>
          <w:rFonts w:cs="Times New Roman"/>
          <w:szCs w:val="24"/>
        </w:rPr>
        <w:t xml:space="preserve"> (2014) </w:t>
      </w:r>
      <w:bookmarkEnd w:id="66"/>
      <w:r>
        <w:rPr>
          <w:rFonts w:cs="Times New Roman"/>
          <w:szCs w:val="24"/>
        </w:rPr>
        <w:t>stated that if individuals fully comprehend the short-</w:t>
      </w:r>
      <w:r w:rsidR="00BE405B">
        <w:rPr>
          <w:rFonts w:cs="Times New Roman"/>
          <w:szCs w:val="24"/>
        </w:rPr>
        <w:t>term</w:t>
      </w:r>
      <w:r>
        <w:rPr>
          <w:rFonts w:cs="Times New Roman"/>
          <w:szCs w:val="24"/>
        </w:rPr>
        <w:t xml:space="preserve"> and long-term benefits of forests, they will work to preserve them.</w:t>
      </w:r>
      <w:r w:rsidRPr="00755289">
        <w:rPr>
          <w:rFonts w:cs="Times New Roman"/>
          <w:szCs w:val="24"/>
        </w:rPr>
        <w:t xml:space="preserve"> </w:t>
      </w:r>
      <w:bookmarkEnd w:id="62"/>
    </w:p>
    <w:p w14:paraId="72457ED0" w14:textId="427403ED" w:rsidR="00D950EE" w:rsidRPr="00C83CE0" w:rsidRDefault="00D950EE" w:rsidP="00D950EE">
      <w:pPr>
        <w:pStyle w:val="BodyText"/>
        <w:ind w:left="0" w:firstLine="0"/>
      </w:pPr>
      <w:bookmarkStart w:id="67" w:name="_Hlk144471279"/>
      <w:bookmarkStart w:id="68" w:name="_Hlk143249432"/>
      <w:bookmarkStart w:id="69" w:name="_Hlk129176697"/>
      <w:bookmarkEnd w:id="60"/>
      <w:bookmarkEnd w:id="61"/>
      <w:r>
        <w:rPr>
          <w:rFonts w:cs="Times New Roman"/>
          <w:szCs w:val="24"/>
        </w:rPr>
        <w:tab/>
      </w:r>
      <w:bookmarkStart w:id="70" w:name="_Hlk195259614"/>
      <w:r>
        <w:rPr>
          <w:rFonts w:cs="Times New Roman"/>
          <w:szCs w:val="24"/>
        </w:rPr>
        <w:t>Reducing Emissions from Deforestation and Forest Degradation in Developing Countries (REDD) recognises the significance of community participation as a critical component in forest management</w:t>
      </w:r>
      <w:bookmarkEnd w:id="67"/>
      <w:r>
        <w:rPr>
          <w:rFonts w:cs="Times New Roman"/>
          <w:szCs w:val="24"/>
        </w:rPr>
        <w:t xml:space="preserve">. </w:t>
      </w:r>
      <w:bookmarkEnd w:id="68"/>
      <w:bookmarkEnd w:id="70"/>
      <w:r>
        <w:rPr>
          <w:rFonts w:cs="Times New Roman"/>
          <w:szCs w:val="24"/>
        </w:rPr>
        <w:t>The goal of the REDD initiative, a global initiative to reduce emissions from deforestation, forest degradation, and other forest management operations, is to slow global warming and promote sustainable development (</w:t>
      </w:r>
      <w:bookmarkStart w:id="71" w:name="_Hlk141727526"/>
      <w:r>
        <w:rPr>
          <w:rFonts w:cs="Times New Roman"/>
          <w:szCs w:val="24"/>
        </w:rPr>
        <w:t>UNFCCC, 2007)</w:t>
      </w:r>
      <w:bookmarkEnd w:id="71"/>
      <w:r>
        <w:rPr>
          <w:rFonts w:cs="Times New Roman"/>
          <w:szCs w:val="24"/>
        </w:rPr>
        <w:t xml:space="preserve">. </w:t>
      </w:r>
      <w:r>
        <w:t>The necessity of forestry co-management was stressed at the Rio Conference in 1992.</w:t>
      </w:r>
      <w:r w:rsidRPr="00C83CE0">
        <w:t xml:space="preserve"> </w:t>
      </w:r>
      <w:bookmarkStart w:id="72" w:name="_Hlk141727542"/>
      <w:r>
        <w:t xml:space="preserve">Barnaud et al. (2008) </w:t>
      </w:r>
      <w:bookmarkEnd w:id="72"/>
      <w:r>
        <w:t>argued that the conference pushed back against the State's centrali</w:t>
      </w:r>
      <w:r w:rsidR="00872044">
        <w:t>s</w:t>
      </w:r>
      <w:r>
        <w:t>ed administration of natural resources and promoted participation from other stakeholders like local government, NGOs, and local people.</w:t>
      </w:r>
    </w:p>
    <w:p w14:paraId="6F1EEF11" w14:textId="51938AA4" w:rsidR="00D950EE" w:rsidRDefault="00D950EE" w:rsidP="00D950EE">
      <w:pPr>
        <w:spacing w:after="0"/>
        <w:ind w:left="0" w:firstLine="0"/>
        <w:rPr>
          <w:rFonts w:cs="Times New Roman"/>
          <w:szCs w:val="24"/>
        </w:rPr>
      </w:pPr>
      <w:r>
        <w:rPr>
          <w:rFonts w:cs="Times New Roman"/>
        </w:rPr>
        <w:tab/>
      </w:r>
      <w:bookmarkStart w:id="73" w:name="_Hlk195259651"/>
      <w:r>
        <w:rPr>
          <w:rFonts w:cs="Times New Roman"/>
        </w:rPr>
        <w:t>Nepal's Forest Act (2019) recogni</w:t>
      </w:r>
      <w:r w:rsidR="00872044">
        <w:rPr>
          <w:rFonts w:cs="Times New Roman"/>
        </w:rPr>
        <w:t>s</w:t>
      </w:r>
      <w:r>
        <w:rPr>
          <w:rFonts w:cs="Times New Roman"/>
        </w:rPr>
        <w:t>es Community Forest User Groups (CFUG) as independent agents. It grants them access to forest resources per their authorised organi</w:t>
      </w:r>
      <w:r w:rsidR="00872044">
        <w:rPr>
          <w:rFonts w:cs="Times New Roman"/>
        </w:rPr>
        <w:t>s</w:t>
      </w:r>
      <w:r>
        <w:rPr>
          <w:rFonts w:cs="Times New Roman"/>
        </w:rPr>
        <w:t>ational structure and action plan determined by their relevant Division Forest Office (DFO).</w:t>
      </w:r>
      <w:bookmarkEnd w:id="73"/>
      <w:r>
        <w:rPr>
          <w:rFonts w:cs="Times New Roman"/>
        </w:rPr>
        <w:t xml:space="preserve"> Additionally, there are explicitly stated management rights, including harvesting and trade rights, granted to the CFUGs, and on the other hand, there is a prohibition on the use of forest land </w:t>
      </w:r>
      <w:r>
        <w:rPr>
          <w:rFonts w:cs="Times New Roman"/>
        </w:rPr>
        <w:lastRenderedPageBreak/>
        <w:t>outside of the scope of the action plan and the constitution that has been approved.</w:t>
      </w:r>
    </w:p>
    <w:p w14:paraId="20F60FA6" w14:textId="3B47D455" w:rsidR="00D950EE" w:rsidRDefault="00D950EE" w:rsidP="00D950EE">
      <w:pPr>
        <w:pStyle w:val="BodyText"/>
        <w:spacing w:after="0"/>
        <w:ind w:left="0" w:firstLine="0"/>
        <w:rPr>
          <w:rFonts w:cs="Times New Roman"/>
          <w:szCs w:val="24"/>
        </w:rPr>
      </w:pPr>
      <w:r>
        <w:rPr>
          <w:rFonts w:cs="Times New Roman"/>
          <w:szCs w:val="24"/>
        </w:rPr>
        <w:tab/>
      </w:r>
      <w:bookmarkStart w:id="74" w:name="_Hlk195259837"/>
      <w:bookmarkStart w:id="75" w:name="_Hlk124951588"/>
      <w:bookmarkEnd w:id="69"/>
      <w:r w:rsidRPr="00B575A8">
        <w:rPr>
          <w:rFonts w:cs="Times New Roman"/>
          <w:szCs w:val="24"/>
        </w:rPr>
        <w:t xml:space="preserve">In Malawi, </w:t>
      </w:r>
      <w:bookmarkStart w:id="76" w:name="_Hlk141727586"/>
      <w:r w:rsidRPr="00B575A8">
        <w:rPr>
          <w:rFonts w:cs="Times New Roman"/>
          <w:szCs w:val="24"/>
        </w:rPr>
        <w:t xml:space="preserve">Gondwe et al. </w:t>
      </w:r>
      <w:r>
        <w:rPr>
          <w:rFonts w:cs="Times New Roman"/>
          <w:szCs w:val="24"/>
        </w:rPr>
        <w:t>(</w:t>
      </w:r>
      <w:r w:rsidRPr="00B575A8">
        <w:rPr>
          <w:rFonts w:cs="Times New Roman"/>
          <w:szCs w:val="24"/>
        </w:rPr>
        <w:t>2021</w:t>
      </w:r>
      <w:r>
        <w:rPr>
          <w:rFonts w:cs="Times New Roman"/>
          <w:szCs w:val="24"/>
        </w:rPr>
        <w:t xml:space="preserve">) </w:t>
      </w:r>
      <w:bookmarkEnd w:id="76"/>
      <w:r>
        <w:rPr>
          <w:rFonts w:cs="Times New Roman"/>
          <w:szCs w:val="24"/>
        </w:rPr>
        <w:t xml:space="preserve">revealed that </w:t>
      </w:r>
      <w:r w:rsidRPr="00B575A8">
        <w:rPr>
          <w:rFonts w:cs="Times New Roman"/>
          <w:szCs w:val="24"/>
        </w:rPr>
        <w:t xml:space="preserve">forests and woodlands have been </w:t>
      </w:r>
      <w:r>
        <w:rPr>
          <w:rFonts w:cs="Times New Roman"/>
          <w:szCs w:val="24"/>
        </w:rPr>
        <w:t xml:space="preserve">gradually destroyed, as in </w:t>
      </w:r>
      <w:r w:rsidRPr="00B575A8">
        <w:rPr>
          <w:rFonts w:cs="Times New Roman"/>
          <w:szCs w:val="24"/>
        </w:rPr>
        <w:t>other</w:t>
      </w:r>
      <w:r>
        <w:rPr>
          <w:rFonts w:cs="Times New Roman"/>
          <w:szCs w:val="24"/>
        </w:rPr>
        <w:t xml:space="preserve"> nations worldwide</w:t>
      </w:r>
      <w:r w:rsidRPr="00B575A8">
        <w:rPr>
          <w:rFonts w:cs="Times New Roman"/>
          <w:szCs w:val="24"/>
        </w:rPr>
        <w:t xml:space="preserve">. </w:t>
      </w:r>
      <w:r>
        <w:rPr>
          <w:rFonts w:cs="Times New Roman"/>
          <w:szCs w:val="24"/>
        </w:rPr>
        <w:t xml:space="preserve">Nevertheless, </w:t>
      </w:r>
      <w:bookmarkStart w:id="77" w:name="_Hlk141727601"/>
      <w:r>
        <w:rPr>
          <w:rFonts w:cs="Times New Roman"/>
          <w:szCs w:val="24"/>
        </w:rPr>
        <w:t>Skole et al. (2021)</w:t>
      </w:r>
      <w:bookmarkEnd w:id="77"/>
      <w:r>
        <w:rPr>
          <w:rFonts w:cs="Times New Roman"/>
          <w:szCs w:val="24"/>
        </w:rPr>
        <w:t xml:space="preserve"> revealed that the Malawian government later switched from the traditional management method to participatory forest management, which led to the renewal and upkeeping of the country's forests.</w:t>
      </w:r>
    </w:p>
    <w:p w14:paraId="4951FC86" w14:textId="3B6EEF63" w:rsidR="00D950EE" w:rsidRDefault="00D950EE" w:rsidP="00FE1980">
      <w:pPr>
        <w:ind w:left="0" w:firstLine="0"/>
      </w:pPr>
      <w:bookmarkStart w:id="78" w:name="_Hlk124950800"/>
      <w:bookmarkEnd w:id="74"/>
      <w:r>
        <w:tab/>
      </w:r>
      <w:bookmarkStart w:id="79" w:name="_Hlk165456168"/>
      <w:bookmarkStart w:id="80" w:name="_Hlk129177749"/>
      <w:bookmarkStart w:id="81" w:name="_Hlk124951357"/>
      <w:bookmarkEnd w:id="78"/>
      <w:r>
        <w:rPr>
          <w:rFonts w:cs="Times New Roman"/>
          <w:szCs w:val="24"/>
        </w:rPr>
        <w:t xml:space="preserve">The forestry sector is among the key sectors in the Ghanaian economy regarding the generation of jobs, local community income, foreign exchange earnings from the export of timber products, and environmental protection. </w:t>
      </w:r>
      <w:bookmarkEnd w:id="79"/>
      <w:r>
        <w:rPr>
          <w:rFonts w:cs="Times New Roman"/>
          <w:szCs w:val="24"/>
        </w:rPr>
        <w:t xml:space="preserve">In the writing of </w:t>
      </w:r>
      <w:bookmarkStart w:id="82" w:name="_Hlk141727680"/>
      <w:r w:rsidRPr="00946779">
        <w:t>Obiri</w:t>
      </w:r>
      <w:r>
        <w:t xml:space="preserve"> et al. (2019</w:t>
      </w:r>
      <w:bookmarkEnd w:id="82"/>
      <w:r>
        <w:t xml:space="preserve">), approximately 6% of the Gross Domestic Product (GDP) is contributed by the forestry industry (GDP). </w:t>
      </w:r>
      <w:bookmarkStart w:id="83" w:name="_Hlk129177711"/>
      <w:bookmarkEnd w:id="80"/>
      <w:r>
        <w:t xml:space="preserve">As of June 2021, </w:t>
      </w:r>
      <w:bookmarkStart w:id="84" w:name="_Hlk141727698"/>
      <w:r>
        <w:t xml:space="preserve">Sasu (2023) </w:t>
      </w:r>
      <w:bookmarkEnd w:id="84"/>
      <w:r>
        <w:t>reported that Ghana's exports of timber and wood products were worth 73.35 million dollars. In 2020, the commodity was exported at USD 134 million.</w:t>
      </w:r>
    </w:p>
    <w:p w14:paraId="0EB64D33" w14:textId="3119892D" w:rsidR="00D950EE" w:rsidRDefault="00D950EE" w:rsidP="0051302C">
      <w:pPr>
        <w:spacing w:after="0"/>
        <w:ind w:left="0" w:firstLine="0"/>
        <w:rPr>
          <w:rFonts w:cs="Times New Roman"/>
          <w:szCs w:val="24"/>
        </w:rPr>
      </w:pPr>
      <w:r>
        <w:rPr>
          <w:rFonts w:cs="Times New Roman"/>
          <w:szCs w:val="24"/>
        </w:rPr>
        <w:tab/>
      </w:r>
      <w:bookmarkEnd w:id="75"/>
      <w:bookmarkEnd w:id="81"/>
      <w:bookmarkEnd w:id="83"/>
      <w:r>
        <w:rPr>
          <w:rFonts w:cs="Times New Roman"/>
          <w:szCs w:val="24"/>
        </w:rPr>
        <w:t xml:space="preserve">The Bobiri Forest Reserve and the Southern Scarp Forest Reserve are found in Ghana's Ashanti and Eastern regions. Aside from their ecotourism contributions, these reserves provide immense benefits, covering non-timber reserve supplies, wood products, and forage, as reported by </w:t>
      </w:r>
      <w:bookmarkStart w:id="85" w:name="_Hlk141727772"/>
      <w:r>
        <w:rPr>
          <w:rFonts w:cs="Times New Roman"/>
          <w:szCs w:val="24"/>
        </w:rPr>
        <w:t>FORIG (2011)</w:t>
      </w:r>
      <w:bookmarkEnd w:id="85"/>
      <w:r>
        <w:rPr>
          <w:rFonts w:cs="Times New Roman"/>
          <w:szCs w:val="24"/>
        </w:rPr>
        <w:t xml:space="preserve">. The Forestry Research Institute of Ghana (FORIG) </w:t>
      </w:r>
      <w:r w:rsidR="00451A7E">
        <w:rPr>
          <w:rFonts w:cs="Times New Roman"/>
          <w:szCs w:val="24"/>
        </w:rPr>
        <w:t xml:space="preserve">and the Forestry Services Division </w:t>
      </w:r>
      <w:r w:rsidR="00711684">
        <w:rPr>
          <w:rFonts w:cs="Times New Roman"/>
          <w:szCs w:val="24"/>
        </w:rPr>
        <w:t xml:space="preserve">(FSD) of the Forestry Commission </w:t>
      </w:r>
      <w:r>
        <w:rPr>
          <w:rFonts w:cs="Times New Roman"/>
          <w:szCs w:val="24"/>
        </w:rPr>
        <w:t>manage the Bobiri Forest Reserve, and the Southern Scarp Forest is controlled by the Forestry Commission’s Forest Management Unit 39 (FMU 39).</w:t>
      </w:r>
      <w:r w:rsidRPr="00E92AF3">
        <w:rPr>
          <w:rFonts w:cs="Times New Roman"/>
          <w:szCs w:val="24"/>
        </w:rPr>
        <w:t xml:space="preserve"> </w:t>
      </w:r>
      <w:r>
        <w:rPr>
          <w:rFonts w:cs="Times New Roman"/>
          <w:szCs w:val="24"/>
        </w:rPr>
        <w:t xml:space="preserve">Based on this, the management regimes in the two study areas can be described as centralised. </w:t>
      </w:r>
      <w:bookmarkStart w:id="86" w:name="_Hlk141727787"/>
      <w:r>
        <w:rPr>
          <w:rFonts w:cs="Times New Roman"/>
          <w:szCs w:val="24"/>
        </w:rPr>
        <w:t>Cinner et al. (2012)</w:t>
      </w:r>
      <w:bookmarkEnd w:id="86"/>
      <w:r>
        <w:rPr>
          <w:rFonts w:cs="Times New Roman"/>
          <w:szCs w:val="24"/>
        </w:rPr>
        <w:t xml:space="preserve"> noted </w:t>
      </w:r>
      <w:r>
        <w:rPr>
          <w:rFonts w:cs="Times New Roman"/>
          <w:szCs w:val="24"/>
        </w:rPr>
        <w:lastRenderedPageBreak/>
        <w:t xml:space="preserve">that, in a centralised co-management regime, decision-making is primarily the responsibility of government agencies at the expense of the community people. </w:t>
      </w:r>
    </w:p>
    <w:p w14:paraId="02BC52CE" w14:textId="77777777" w:rsidR="00D950EE" w:rsidRDefault="00D950EE" w:rsidP="00D950EE">
      <w:pPr>
        <w:pStyle w:val="BodyText"/>
        <w:spacing w:after="0"/>
        <w:ind w:left="0" w:firstLine="0"/>
        <w:rPr>
          <w:rFonts w:cs="Times New Roman"/>
          <w:szCs w:val="24"/>
        </w:rPr>
      </w:pPr>
      <w:r>
        <w:rPr>
          <w:rFonts w:cs="Times New Roman"/>
          <w:szCs w:val="24"/>
        </w:rPr>
        <w:tab/>
      </w:r>
      <w:bookmarkStart w:id="87" w:name="_Hlk195259958"/>
      <w:r>
        <w:rPr>
          <w:rFonts w:cs="Times New Roman"/>
          <w:szCs w:val="24"/>
        </w:rPr>
        <w:t xml:space="preserve">The </w:t>
      </w:r>
      <w:r w:rsidRPr="00A51854">
        <w:rPr>
          <w:rFonts w:cs="Times New Roman"/>
          <w:szCs w:val="24"/>
        </w:rPr>
        <w:t>B</w:t>
      </w:r>
      <w:r>
        <w:rPr>
          <w:rFonts w:cs="Times New Roman"/>
          <w:szCs w:val="24"/>
        </w:rPr>
        <w:t xml:space="preserve">obiri </w:t>
      </w:r>
      <w:r w:rsidRPr="00A51854">
        <w:rPr>
          <w:rFonts w:cs="Times New Roman"/>
          <w:szCs w:val="24"/>
        </w:rPr>
        <w:t>F</w:t>
      </w:r>
      <w:r>
        <w:rPr>
          <w:rFonts w:cs="Times New Roman"/>
          <w:szCs w:val="24"/>
        </w:rPr>
        <w:t xml:space="preserve">orest </w:t>
      </w:r>
      <w:r w:rsidRPr="00A51854">
        <w:rPr>
          <w:rFonts w:cs="Times New Roman"/>
          <w:szCs w:val="24"/>
        </w:rPr>
        <w:t>R</w:t>
      </w:r>
      <w:r>
        <w:rPr>
          <w:rFonts w:cs="Times New Roman"/>
          <w:szCs w:val="24"/>
        </w:rPr>
        <w:t xml:space="preserve">eserve </w:t>
      </w:r>
      <w:r w:rsidRPr="00A51854">
        <w:rPr>
          <w:rFonts w:cs="Times New Roman"/>
          <w:szCs w:val="24"/>
        </w:rPr>
        <w:t>B</w:t>
      </w:r>
      <w:r>
        <w:rPr>
          <w:rFonts w:cs="Times New Roman"/>
          <w:szCs w:val="24"/>
        </w:rPr>
        <w:t xml:space="preserve">utterfly </w:t>
      </w:r>
      <w:r w:rsidRPr="00A51854">
        <w:rPr>
          <w:rFonts w:cs="Times New Roman"/>
          <w:szCs w:val="24"/>
        </w:rPr>
        <w:t>S</w:t>
      </w:r>
      <w:r>
        <w:rPr>
          <w:rFonts w:cs="Times New Roman"/>
          <w:szCs w:val="24"/>
        </w:rPr>
        <w:t xml:space="preserve">anctuary (BFRBS) </w:t>
      </w:r>
      <w:r w:rsidRPr="00A51854">
        <w:rPr>
          <w:rFonts w:cs="Times New Roman"/>
          <w:szCs w:val="24"/>
        </w:rPr>
        <w:t xml:space="preserve">is </w:t>
      </w:r>
      <w:r>
        <w:rPr>
          <w:rFonts w:cs="Times New Roman"/>
          <w:szCs w:val="24"/>
        </w:rPr>
        <w:t>among West Africa’s most stunning forest reserves, with over 340 butterfly species and a Bobiri Guest House. The Bobiri Forest Arboretum, which has around 100 native tree species and 120 bird species, is located within the reserve.</w:t>
      </w:r>
      <w:r w:rsidRPr="00A51854">
        <w:rPr>
          <w:rFonts w:cs="Times New Roman"/>
          <w:szCs w:val="24"/>
        </w:rPr>
        <w:t xml:space="preserve"> </w:t>
      </w:r>
      <w:r>
        <w:rPr>
          <w:rFonts w:cs="Times New Roman"/>
          <w:szCs w:val="24"/>
        </w:rPr>
        <w:t>The BFRBS has 80–100 plant species per acre, making it a biodiversity hotspot.</w:t>
      </w:r>
    </w:p>
    <w:p w14:paraId="0DC161EF" w14:textId="183F3592" w:rsidR="00D950EE" w:rsidRDefault="00D950EE" w:rsidP="00D950EE">
      <w:pPr>
        <w:pStyle w:val="BodyText"/>
        <w:spacing w:after="0"/>
        <w:ind w:left="0" w:firstLine="0"/>
        <w:rPr>
          <w:rFonts w:cs="Times New Roman"/>
          <w:szCs w:val="24"/>
        </w:rPr>
      </w:pPr>
      <w:r>
        <w:rPr>
          <w:rFonts w:cs="Times New Roman"/>
          <w:szCs w:val="24"/>
        </w:rPr>
        <w:tab/>
        <w:t xml:space="preserve">Likewise, various cultures congregate at the Southern Scarp Forest Reserve in the Kwahu South Municipality, particularly during the Easter celebrations and burials. Additionally, the Reserve </w:t>
      </w:r>
      <w:bookmarkStart w:id="88" w:name="_Hlk165456887"/>
      <w:r>
        <w:rPr>
          <w:rFonts w:cs="Times New Roman"/>
          <w:szCs w:val="24"/>
        </w:rPr>
        <w:t xml:space="preserve">hosts a few tourist attractions, such as paragliding at </w:t>
      </w:r>
      <w:proofErr w:type="spellStart"/>
      <w:r>
        <w:rPr>
          <w:rFonts w:cs="Times New Roman"/>
          <w:szCs w:val="24"/>
        </w:rPr>
        <w:t>Odweanoma</w:t>
      </w:r>
      <w:proofErr w:type="spellEnd"/>
      <w:r>
        <w:rPr>
          <w:rFonts w:cs="Times New Roman"/>
          <w:szCs w:val="24"/>
        </w:rPr>
        <w:t xml:space="preserve"> Mountain and the </w:t>
      </w:r>
      <w:proofErr w:type="spellStart"/>
      <w:r>
        <w:rPr>
          <w:rFonts w:cs="Times New Roman"/>
          <w:szCs w:val="24"/>
        </w:rPr>
        <w:t>Nkofieho</w:t>
      </w:r>
      <w:proofErr w:type="spellEnd"/>
      <w:r>
        <w:rPr>
          <w:rFonts w:cs="Times New Roman"/>
          <w:szCs w:val="24"/>
        </w:rPr>
        <w:t xml:space="preserve"> Life Cave near </w:t>
      </w:r>
      <w:proofErr w:type="spellStart"/>
      <w:r>
        <w:rPr>
          <w:rFonts w:cs="Times New Roman"/>
          <w:szCs w:val="24"/>
        </w:rPr>
        <w:t>Twenedurase</w:t>
      </w:r>
      <w:bookmarkEnd w:id="88"/>
      <w:proofErr w:type="spellEnd"/>
      <w:r>
        <w:rPr>
          <w:rFonts w:cs="Times New Roman"/>
          <w:szCs w:val="24"/>
        </w:rPr>
        <w:t xml:space="preserve">. The </w:t>
      </w:r>
      <w:proofErr w:type="spellStart"/>
      <w:r>
        <w:rPr>
          <w:rFonts w:cs="Times New Roman"/>
          <w:szCs w:val="24"/>
        </w:rPr>
        <w:t>Pra</w:t>
      </w:r>
      <w:proofErr w:type="spellEnd"/>
      <w:r>
        <w:rPr>
          <w:rFonts w:cs="Times New Roman"/>
          <w:szCs w:val="24"/>
        </w:rPr>
        <w:t xml:space="preserve"> River and other smaller rivers have watersheds in the Southern Scarp Forest Reserve </w:t>
      </w:r>
      <w:bookmarkStart w:id="89" w:name="_Hlk141727819"/>
      <w:r>
        <w:rPr>
          <w:rFonts w:cs="Times New Roman"/>
          <w:szCs w:val="24"/>
        </w:rPr>
        <w:t>(K</w:t>
      </w:r>
      <w:r w:rsidR="004B78B8">
        <w:rPr>
          <w:rFonts w:cs="Times New Roman"/>
          <w:szCs w:val="24"/>
        </w:rPr>
        <w:t xml:space="preserve">wahu </w:t>
      </w:r>
      <w:r>
        <w:rPr>
          <w:rFonts w:cs="Times New Roman"/>
          <w:szCs w:val="24"/>
        </w:rPr>
        <w:t>S</w:t>
      </w:r>
      <w:r w:rsidR="004B78B8">
        <w:rPr>
          <w:rFonts w:cs="Times New Roman"/>
          <w:szCs w:val="24"/>
        </w:rPr>
        <w:t xml:space="preserve">outh </w:t>
      </w:r>
      <w:r>
        <w:rPr>
          <w:rFonts w:cs="Times New Roman"/>
          <w:szCs w:val="24"/>
        </w:rPr>
        <w:t>D</w:t>
      </w:r>
      <w:r w:rsidR="004B78B8">
        <w:rPr>
          <w:rFonts w:cs="Times New Roman"/>
          <w:szCs w:val="24"/>
        </w:rPr>
        <w:t xml:space="preserve">istrict </w:t>
      </w:r>
      <w:r>
        <w:rPr>
          <w:rFonts w:cs="Times New Roman"/>
          <w:szCs w:val="24"/>
        </w:rPr>
        <w:t>C</w:t>
      </w:r>
      <w:r w:rsidR="004B78B8">
        <w:rPr>
          <w:rFonts w:cs="Times New Roman"/>
          <w:szCs w:val="24"/>
        </w:rPr>
        <w:t xml:space="preserve">omposite </w:t>
      </w:r>
      <w:r>
        <w:rPr>
          <w:rFonts w:cs="Times New Roman"/>
          <w:szCs w:val="24"/>
        </w:rPr>
        <w:t>B</w:t>
      </w:r>
      <w:r w:rsidR="004B78B8">
        <w:rPr>
          <w:rFonts w:cs="Times New Roman"/>
          <w:szCs w:val="24"/>
        </w:rPr>
        <w:t>u</w:t>
      </w:r>
      <w:r w:rsidR="0084611A">
        <w:rPr>
          <w:rFonts w:cs="Times New Roman"/>
          <w:szCs w:val="24"/>
        </w:rPr>
        <w:t>dget</w:t>
      </w:r>
      <w:r>
        <w:rPr>
          <w:rFonts w:cs="Times New Roman"/>
          <w:szCs w:val="24"/>
        </w:rPr>
        <w:t>, 2022)</w:t>
      </w:r>
      <w:bookmarkEnd w:id="89"/>
      <w:r>
        <w:rPr>
          <w:rFonts w:cs="Times New Roman"/>
          <w:szCs w:val="24"/>
        </w:rPr>
        <w:t xml:space="preserve">. </w:t>
      </w:r>
    </w:p>
    <w:p w14:paraId="55C1DF70" w14:textId="3B3499B6" w:rsidR="000F61B9" w:rsidRDefault="00D950EE" w:rsidP="00D950EE">
      <w:pPr>
        <w:pStyle w:val="BodyText"/>
        <w:spacing w:after="0"/>
        <w:ind w:left="0" w:firstLine="0"/>
        <w:rPr>
          <w:rFonts w:cs="Times New Roman"/>
          <w:szCs w:val="24"/>
        </w:rPr>
      </w:pPr>
      <w:bookmarkStart w:id="90" w:name="_Hlk127995374"/>
      <w:bookmarkStart w:id="91" w:name="_Hlk129178668"/>
      <w:bookmarkStart w:id="92" w:name="_Hlk124951096"/>
      <w:bookmarkEnd w:id="87"/>
      <w:r>
        <w:tab/>
      </w:r>
      <w:bookmarkStart w:id="93" w:name="_Hlk195259933"/>
      <w:r>
        <w:t xml:space="preserve">Like many other nations, Ghana has a set of rules and laws regarding who can access, use, and manage forest resources. </w:t>
      </w:r>
      <w:bookmarkStart w:id="94" w:name="_Hlk141727840"/>
      <w:r w:rsidRPr="00191A6B">
        <w:rPr>
          <w:rFonts w:cs="Times New Roman"/>
          <w:szCs w:val="24"/>
        </w:rPr>
        <w:t>Foli et</w:t>
      </w:r>
      <w:r>
        <w:rPr>
          <w:rFonts w:cs="Times New Roman"/>
          <w:szCs w:val="24"/>
        </w:rPr>
        <w:t xml:space="preserve"> </w:t>
      </w:r>
      <w:r w:rsidRPr="00191A6B">
        <w:rPr>
          <w:rFonts w:cs="Times New Roman"/>
          <w:szCs w:val="24"/>
        </w:rPr>
        <w:t>al.</w:t>
      </w:r>
      <w:r>
        <w:rPr>
          <w:rFonts w:cs="Times New Roman"/>
          <w:szCs w:val="24"/>
        </w:rPr>
        <w:t xml:space="preserve"> (</w:t>
      </w:r>
      <w:r w:rsidRPr="00191A6B">
        <w:rPr>
          <w:rFonts w:cs="Times New Roman"/>
          <w:szCs w:val="24"/>
        </w:rPr>
        <w:t>2018</w:t>
      </w:r>
      <w:r>
        <w:rPr>
          <w:rFonts w:cs="Times New Roman"/>
          <w:szCs w:val="24"/>
        </w:rPr>
        <w:t xml:space="preserve">) </w:t>
      </w:r>
      <w:bookmarkEnd w:id="94"/>
      <w:r>
        <w:rPr>
          <w:rFonts w:cs="Times New Roman"/>
          <w:szCs w:val="24"/>
        </w:rPr>
        <w:t>identified s</w:t>
      </w:r>
      <w:r>
        <w:t xml:space="preserve">uch policies as </w:t>
      </w:r>
      <w:r>
        <w:rPr>
          <w:rFonts w:cs="Times New Roman"/>
          <w:szCs w:val="24"/>
        </w:rPr>
        <w:t>t</w:t>
      </w:r>
      <w:r w:rsidRPr="00191A6B">
        <w:rPr>
          <w:rFonts w:cs="Times New Roman"/>
          <w:szCs w:val="24"/>
        </w:rPr>
        <w:t xml:space="preserve">he 2012 </w:t>
      </w:r>
      <w:r>
        <w:rPr>
          <w:rFonts w:cs="Times New Roman"/>
          <w:szCs w:val="24"/>
        </w:rPr>
        <w:t>F</w:t>
      </w:r>
      <w:r w:rsidRPr="00191A6B">
        <w:rPr>
          <w:rFonts w:cs="Times New Roman"/>
          <w:szCs w:val="24"/>
        </w:rPr>
        <w:t xml:space="preserve">orest and </w:t>
      </w:r>
      <w:r>
        <w:rPr>
          <w:rFonts w:cs="Times New Roman"/>
          <w:szCs w:val="24"/>
        </w:rPr>
        <w:t>W</w:t>
      </w:r>
      <w:r w:rsidRPr="00191A6B">
        <w:rPr>
          <w:rFonts w:cs="Times New Roman"/>
          <w:szCs w:val="24"/>
        </w:rPr>
        <w:t xml:space="preserve">ildlife </w:t>
      </w:r>
      <w:r>
        <w:rPr>
          <w:rFonts w:cs="Times New Roman"/>
          <w:szCs w:val="24"/>
        </w:rPr>
        <w:t>P</w:t>
      </w:r>
      <w:r w:rsidRPr="00191A6B">
        <w:rPr>
          <w:rFonts w:cs="Times New Roman"/>
          <w:szCs w:val="24"/>
        </w:rPr>
        <w:t xml:space="preserve">olicy and the 2016 20-year Ghana Forestry Development Master Plan </w:t>
      </w:r>
      <w:r>
        <w:rPr>
          <w:rFonts w:cs="Times New Roman"/>
          <w:szCs w:val="24"/>
        </w:rPr>
        <w:t xml:space="preserve">(FDMP) </w:t>
      </w:r>
      <w:r w:rsidRPr="00191A6B">
        <w:rPr>
          <w:rFonts w:cs="Times New Roman"/>
          <w:szCs w:val="24"/>
        </w:rPr>
        <w:t xml:space="preserve">documents </w:t>
      </w:r>
      <w:r>
        <w:rPr>
          <w:rFonts w:cs="Times New Roman"/>
          <w:szCs w:val="24"/>
        </w:rPr>
        <w:t xml:space="preserve">which </w:t>
      </w:r>
      <w:r w:rsidRPr="00191A6B">
        <w:rPr>
          <w:rFonts w:cs="Times New Roman"/>
          <w:szCs w:val="24"/>
        </w:rPr>
        <w:t>emphasi</w:t>
      </w:r>
      <w:r>
        <w:rPr>
          <w:rFonts w:cs="Times New Roman"/>
          <w:szCs w:val="24"/>
        </w:rPr>
        <w:t>s</w:t>
      </w:r>
      <w:r w:rsidRPr="00191A6B">
        <w:rPr>
          <w:rFonts w:cs="Times New Roman"/>
          <w:szCs w:val="24"/>
        </w:rPr>
        <w:t>e participatory forest and wildlife management a</w:t>
      </w:r>
      <w:r>
        <w:rPr>
          <w:rFonts w:cs="Times New Roman"/>
          <w:szCs w:val="24"/>
        </w:rPr>
        <w:t>nd</w:t>
      </w:r>
      <w:r w:rsidRPr="00191A6B">
        <w:rPr>
          <w:rFonts w:cs="Times New Roman"/>
          <w:szCs w:val="24"/>
        </w:rPr>
        <w:t xml:space="preserve"> collaborative resource management programmes</w:t>
      </w:r>
      <w:r>
        <w:rPr>
          <w:rFonts w:cs="Times New Roman"/>
          <w:szCs w:val="24"/>
        </w:rPr>
        <w:t xml:space="preserve">. </w:t>
      </w:r>
      <w:r w:rsidRPr="00191A6B">
        <w:rPr>
          <w:rFonts w:cs="Times New Roman"/>
          <w:szCs w:val="24"/>
        </w:rPr>
        <w:t xml:space="preserve"> </w:t>
      </w:r>
      <w:bookmarkEnd w:id="90"/>
      <w:r w:rsidR="000F61B9">
        <w:rPr>
          <w:rFonts w:cs="Times New Roman"/>
          <w:szCs w:val="24"/>
        </w:rPr>
        <w:t>The forestry development masterplan (2016-2036) intends to promote the rehabilitation and restoration of degraded landscapes through approaches such as community-based forestry, informed by appropriate land-use practices to enhance environmental quality and sustain the supply of raw materials for domestic and industrial consumption and environmental protection.</w:t>
      </w:r>
    </w:p>
    <w:bookmarkEnd w:id="91"/>
    <w:bookmarkEnd w:id="93"/>
    <w:p w14:paraId="7BD080AA" w14:textId="3BCB0F2A" w:rsidR="00D950EE" w:rsidRPr="00A4123F" w:rsidRDefault="00D950EE" w:rsidP="000F61B9">
      <w:pPr>
        <w:pStyle w:val="BodyText"/>
        <w:spacing w:after="0"/>
        <w:ind w:left="0" w:firstLine="0"/>
        <w:rPr>
          <w:rFonts w:cs="Times New Roman"/>
          <w:szCs w:val="24"/>
        </w:rPr>
      </w:pPr>
      <w:r>
        <w:rPr>
          <w:rFonts w:cs="Times New Roman"/>
          <w:szCs w:val="24"/>
        </w:rPr>
        <w:lastRenderedPageBreak/>
        <w:tab/>
      </w:r>
      <w:bookmarkStart w:id="95" w:name="_Hlk127995623"/>
      <w:bookmarkStart w:id="96" w:name="_Hlk143249717"/>
      <w:r>
        <w:t>Despite measures with good intentions and international collaborations to enhance forest administration,</w:t>
      </w:r>
      <w:r w:rsidRPr="0060533F">
        <w:t xml:space="preserve"> </w:t>
      </w:r>
      <w:bookmarkStart w:id="97" w:name="_Hlk141727983"/>
      <w:r w:rsidRPr="0060533F">
        <w:t xml:space="preserve">Baker et al. </w:t>
      </w:r>
      <w:r>
        <w:t>(</w:t>
      </w:r>
      <w:r w:rsidRPr="0060533F">
        <w:t>2018</w:t>
      </w:r>
      <w:r>
        <w:t xml:space="preserve">) </w:t>
      </w:r>
      <w:bookmarkEnd w:id="97"/>
      <w:r>
        <w:t xml:space="preserve">argued that these regulations were state-centric and neglected the local community's needs regarding the responsible management of forests and biodiversity. </w:t>
      </w:r>
    </w:p>
    <w:p w14:paraId="08E4F11F" w14:textId="77777777" w:rsidR="00D950EE" w:rsidRPr="00191A6B" w:rsidRDefault="00D950EE" w:rsidP="00D950EE">
      <w:pPr>
        <w:pStyle w:val="Heading2"/>
        <w:ind w:left="0"/>
        <w:rPr>
          <w:rFonts w:cs="Times New Roman"/>
          <w:szCs w:val="24"/>
        </w:rPr>
      </w:pPr>
      <w:bookmarkStart w:id="98" w:name="_Toc202197586"/>
      <w:bookmarkStart w:id="99" w:name="_Hlk195260411"/>
      <w:bookmarkEnd w:id="92"/>
      <w:bookmarkEnd w:id="95"/>
      <w:bookmarkEnd w:id="96"/>
      <w:r w:rsidRPr="00191A6B">
        <w:rPr>
          <w:rFonts w:cs="Times New Roman"/>
          <w:szCs w:val="24"/>
        </w:rPr>
        <w:t>P</w:t>
      </w:r>
      <w:r>
        <w:rPr>
          <w:rFonts w:cs="Times New Roman"/>
          <w:szCs w:val="24"/>
        </w:rPr>
        <w:t>roblem S</w:t>
      </w:r>
      <w:r w:rsidRPr="00191A6B">
        <w:rPr>
          <w:rFonts w:cs="Times New Roman"/>
          <w:szCs w:val="24"/>
        </w:rPr>
        <w:t>tatement</w:t>
      </w:r>
      <w:bookmarkEnd w:id="98"/>
    </w:p>
    <w:p w14:paraId="5202F360" w14:textId="6B560259" w:rsidR="00D950EE" w:rsidRDefault="00D950EE" w:rsidP="00D950EE">
      <w:pPr>
        <w:autoSpaceDE w:val="0"/>
        <w:autoSpaceDN w:val="0"/>
        <w:adjustRightInd w:val="0"/>
        <w:spacing w:after="0"/>
        <w:ind w:left="0" w:firstLine="0"/>
        <w:rPr>
          <w:rFonts w:cs="Times New Roman"/>
          <w:szCs w:val="24"/>
        </w:rPr>
      </w:pPr>
      <w:bookmarkStart w:id="100" w:name="_Hlk104385422"/>
      <w:r>
        <w:rPr>
          <w:rFonts w:cs="Times New Roman"/>
          <w:szCs w:val="24"/>
        </w:rPr>
        <w:tab/>
      </w:r>
      <w:proofErr w:type="gramStart"/>
      <w:r>
        <w:rPr>
          <w:rFonts w:cs="Times New Roman"/>
          <w:szCs w:val="24"/>
        </w:rPr>
        <w:t xml:space="preserve">The </w:t>
      </w:r>
      <w:r w:rsidR="00D454F6">
        <w:rPr>
          <w:rFonts w:cs="Times New Roman"/>
          <w:szCs w:val="24"/>
        </w:rPr>
        <w:t>R</w:t>
      </w:r>
      <w:r>
        <w:rPr>
          <w:rFonts w:cs="Times New Roman"/>
          <w:szCs w:val="24"/>
        </w:rPr>
        <w:t xml:space="preserve">evised </w:t>
      </w:r>
      <w:r w:rsidR="00D454F6">
        <w:rPr>
          <w:rFonts w:cs="Times New Roman"/>
          <w:szCs w:val="24"/>
        </w:rPr>
        <w:t xml:space="preserve">Guidelines for </w:t>
      </w:r>
      <w:r>
        <w:rPr>
          <w:rFonts w:cs="Times New Roman"/>
          <w:szCs w:val="24"/>
        </w:rPr>
        <w:t>Social Responsibility Agreement (</w:t>
      </w:r>
      <w:r w:rsidR="007C53E3">
        <w:rPr>
          <w:rFonts w:cs="Times New Roman"/>
          <w:szCs w:val="24"/>
        </w:rPr>
        <w:t>RG</w:t>
      </w:r>
      <w:r>
        <w:rPr>
          <w:rFonts w:cs="Times New Roman"/>
          <w:szCs w:val="24"/>
        </w:rPr>
        <w:t xml:space="preserve">SRA) (2016) policy </w:t>
      </w:r>
      <w:r w:rsidR="0053070D">
        <w:rPr>
          <w:rFonts w:cs="Times New Roman"/>
          <w:szCs w:val="24"/>
        </w:rPr>
        <w:t>of Ghana,</w:t>
      </w:r>
      <w:proofErr w:type="gramEnd"/>
      <w:r w:rsidR="0053070D">
        <w:rPr>
          <w:rFonts w:cs="Times New Roman"/>
          <w:szCs w:val="24"/>
        </w:rPr>
        <w:t xml:space="preserve"> </w:t>
      </w:r>
      <w:r>
        <w:rPr>
          <w:rFonts w:cs="Times New Roman"/>
          <w:szCs w:val="24"/>
        </w:rPr>
        <w:t xml:space="preserve">acknowledges that </w:t>
      </w:r>
      <w:r w:rsidRPr="00A732EE">
        <w:rPr>
          <w:rFonts w:cs="Times New Roman"/>
          <w:szCs w:val="24"/>
        </w:rPr>
        <w:t>Collaborative Resource Management has been identifi</w:t>
      </w:r>
      <w:r>
        <w:rPr>
          <w:rFonts w:cs="Times New Roman"/>
          <w:szCs w:val="24"/>
        </w:rPr>
        <w:t>ed as</w:t>
      </w:r>
      <w:r w:rsidRPr="00A732EE">
        <w:rPr>
          <w:rFonts w:cs="Times New Roman"/>
          <w:szCs w:val="24"/>
        </w:rPr>
        <w:t xml:space="preserve"> one of the </w:t>
      </w:r>
      <w:r>
        <w:rPr>
          <w:rFonts w:cs="Times New Roman"/>
          <w:szCs w:val="24"/>
        </w:rPr>
        <w:t>central</w:t>
      </w:r>
      <w:r w:rsidRPr="00A732EE">
        <w:rPr>
          <w:rFonts w:cs="Times New Roman"/>
          <w:szCs w:val="24"/>
        </w:rPr>
        <w:t xml:space="preserve"> pillars for</w:t>
      </w:r>
      <w:r>
        <w:rPr>
          <w:rFonts w:cs="Times New Roman"/>
          <w:szCs w:val="24"/>
        </w:rPr>
        <w:t xml:space="preserve"> </w:t>
      </w:r>
      <w:r w:rsidRPr="00A732EE">
        <w:rPr>
          <w:rFonts w:cs="Times New Roman"/>
          <w:szCs w:val="24"/>
        </w:rPr>
        <w:t xml:space="preserve">achieving sustainable </w:t>
      </w:r>
      <w:r>
        <w:rPr>
          <w:rFonts w:cs="Times New Roman"/>
          <w:szCs w:val="24"/>
        </w:rPr>
        <w:t>forest</w:t>
      </w:r>
      <w:r w:rsidRPr="00A732EE">
        <w:rPr>
          <w:rFonts w:cs="Times New Roman"/>
          <w:szCs w:val="24"/>
        </w:rPr>
        <w:t xml:space="preserve"> managem</w:t>
      </w:r>
      <w:r>
        <w:rPr>
          <w:rFonts w:cs="Times New Roman"/>
          <w:szCs w:val="24"/>
        </w:rPr>
        <w:t>ent</w:t>
      </w:r>
      <w:r w:rsidRPr="00A732EE">
        <w:rPr>
          <w:rFonts w:cs="Times New Roman"/>
          <w:szCs w:val="24"/>
        </w:rPr>
        <w:t xml:space="preserve"> within the National Forestry Policy document</w:t>
      </w:r>
      <w:r w:rsidR="0053070D">
        <w:rPr>
          <w:rFonts w:cs="Times New Roman"/>
          <w:szCs w:val="24"/>
        </w:rPr>
        <w:t xml:space="preserve"> of Ghana</w:t>
      </w:r>
      <w:r>
        <w:rPr>
          <w:rFonts w:cs="Times New Roman"/>
          <w:szCs w:val="24"/>
        </w:rPr>
        <w:t xml:space="preserve">. Nevertheless, the </w:t>
      </w:r>
      <w:bookmarkStart w:id="101" w:name="_Hlk141728088"/>
      <w:r>
        <w:rPr>
          <w:rFonts w:cs="Times New Roman"/>
          <w:szCs w:val="24"/>
        </w:rPr>
        <w:t>Forestry Development Master Plan (FDMP) (2016–2036)</w:t>
      </w:r>
      <w:bookmarkEnd w:id="101"/>
      <w:r>
        <w:rPr>
          <w:rFonts w:cs="Times New Roman"/>
          <w:szCs w:val="24"/>
        </w:rPr>
        <w:t xml:space="preserve"> acknowledges the misalignment of the roles and responsibilities of forestry sector stakeholders at the decision-making level, particularly at the local level. In support of this, the </w:t>
      </w:r>
      <w:bookmarkStart w:id="102" w:name="_Hlk141728190"/>
      <w:r>
        <w:rPr>
          <w:rFonts w:cs="Times New Roman"/>
          <w:szCs w:val="24"/>
        </w:rPr>
        <w:t>World Bank (2020)</w:t>
      </w:r>
      <w:bookmarkEnd w:id="102"/>
      <w:r>
        <w:rPr>
          <w:rFonts w:cs="Times New Roman"/>
          <w:szCs w:val="24"/>
        </w:rPr>
        <w:t xml:space="preserve"> noted that </w:t>
      </w:r>
      <w:r w:rsidR="007D4D20">
        <w:rPr>
          <w:rFonts w:cs="Times New Roman"/>
          <w:szCs w:val="24"/>
        </w:rPr>
        <w:t xml:space="preserve">the </w:t>
      </w:r>
      <w:r>
        <w:rPr>
          <w:rFonts w:cs="Times New Roman"/>
          <w:szCs w:val="24"/>
        </w:rPr>
        <w:t xml:space="preserve">architecture specifying stakeholder roles and responsibilities lacks clarity. </w:t>
      </w:r>
    </w:p>
    <w:p w14:paraId="563F7DCB" w14:textId="5003B017" w:rsidR="00D950EE" w:rsidRDefault="00D950EE" w:rsidP="00D950EE">
      <w:pPr>
        <w:spacing w:after="0"/>
        <w:ind w:left="0" w:firstLine="0"/>
      </w:pPr>
      <w:r>
        <w:tab/>
      </w:r>
      <w:r w:rsidRPr="007E13AE">
        <w:t xml:space="preserve">As outlined in </w:t>
      </w:r>
      <w:bookmarkStart w:id="103" w:name="_Hlk165319370"/>
      <w:r w:rsidRPr="007E13AE">
        <w:t>the FDMP (2016-2036), forestry issues revolve around community perspectives, beliefs, rights, and welfare</w:t>
      </w:r>
      <w:r>
        <w:t>; however, community</w:t>
      </w:r>
      <w:r w:rsidRPr="007E13AE">
        <w:t xml:space="preserve"> </w:t>
      </w:r>
      <w:r>
        <w:t>members</w:t>
      </w:r>
      <w:bookmarkEnd w:id="103"/>
      <w:r>
        <w:t xml:space="preserve"> are absent in the management process. The community’s</w:t>
      </w:r>
      <w:r w:rsidRPr="007E13AE">
        <w:t xml:space="preserve"> omission </w:t>
      </w:r>
      <w:r>
        <w:t xml:space="preserve">from the </w:t>
      </w:r>
      <w:r w:rsidR="005A7C11">
        <w:t>management</w:t>
      </w:r>
      <w:r>
        <w:t xml:space="preserve"> process,</w:t>
      </w:r>
      <w:r w:rsidRPr="007E13AE">
        <w:t xml:space="preserve"> particularly in the Bobiri and Southern Scarp Forest reserves, could result in conflicts and </w:t>
      </w:r>
      <w:r>
        <w:t>legitimacy</w:t>
      </w:r>
      <w:r w:rsidRPr="007E13AE">
        <w:t xml:space="preserve"> issues. Similarly, the World Bank (2020) argues that excluding local community insights and involvement in decision making hampers policy effectiveness in achieving the intended objectives.</w:t>
      </w:r>
    </w:p>
    <w:p w14:paraId="5CC9BF5E" w14:textId="128BFFB6" w:rsidR="00D950EE" w:rsidRPr="007A0CDA" w:rsidRDefault="00D950EE" w:rsidP="00D950EE">
      <w:pPr>
        <w:autoSpaceDE w:val="0"/>
        <w:autoSpaceDN w:val="0"/>
        <w:adjustRightInd w:val="0"/>
        <w:spacing w:after="0"/>
        <w:ind w:left="0" w:firstLine="0"/>
        <w:rPr>
          <w:rFonts w:cs="Times New Roman"/>
          <w:szCs w:val="24"/>
        </w:rPr>
      </w:pPr>
      <w:r>
        <w:rPr>
          <w:rFonts w:cs="Times New Roman"/>
          <w:szCs w:val="24"/>
        </w:rPr>
        <w:tab/>
        <w:t xml:space="preserve">In the context of capacity building, The World Bank (2020) contends that not enough is done to assist local populations, such as those at the Bobiri and Southern Scarp Forest Reserves, in resource management, and little is </w:t>
      </w:r>
      <w:r>
        <w:rPr>
          <w:rFonts w:cs="Times New Roman"/>
          <w:szCs w:val="24"/>
        </w:rPr>
        <w:lastRenderedPageBreak/>
        <w:t xml:space="preserve">gained by the local population from resource earnings. In this light, co-management theories shed some light on the lack of community participation in decision making. </w:t>
      </w:r>
      <w:r>
        <w:t>Co-management theories argue that state-led forestry management is usually based on formal scientific data. In contrast, the local community's knowledge is based on its interactions with resources. However, there is the issue of which local norms and practices are to be assimilated into management practices to reflect the culture of the people, and hence the existence of information asymmetry (Berkes</w:t>
      </w:r>
      <w:r w:rsidR="008B22DB">
        <w:t xml:space="preserve"> et al.</w:t>
      </w:r>
      <w:r>
        <w:t xml:space="preserve">, 1991). </w:t>
      </w:r>
    </w:p>
    <w:p w14:paraId="42BF6532" w14:textId="77777777" w:rsidR="00D950EE" w:rsidRDefault="00D950EE" w:rsidP="00D950EE">
      <w:pPr>
        <w:ind w:left="0"/>
        <w:rPr>
          <w:rFonts w:cs="Times New Roman"/>
          <w:szCs w:val="24"/>
        </w:rPr>
      </w:pPr>
      <w:bookmarkStart w:id="104" w:name="_Hlk141729430"/>
      <w:r w:rsidRPr="00542222">
        <w:t xml:space="preserve">Additionally, </w:t>
      </w:r>
      <w:r>
        <w:t xml:space="preserve">the Bobiri and Southern Scarp Forest Reserves are managed by the state with the capacity for community involvement, as enshrined in the FDMP (2016), yet are undergoing degradation, as revealed by </w:t>
      </w:r>
      <w:bookmarkStart w:id="105" w:name="_Hlk165319930"/>
      <w:r w:rsidRPr="00542222">
        <w:t xml:space="preserve">Addo-Fordjour and Ankomah (2017) and Baffour-Ata et al. </w:t>
      </w:r>
      <w:bookmarkEnd w:id="104"/>
      <w:r w:rsidRPr="00542222">
        <w:t>(2021)</w:t>
      </w:r>
      <w:r>
        <w:t>,</w:t>
      </w:r>
      <w:r w:rsidRPr="00542222">
        <w:t xml:space="preserve"> </w:t>
      </w:r>
      <w:bookmarkStart w:id="106" w:name="_Hlk141729448"/>
      <w:r>
        <w:t>Boamah (2020)</w:t>
      </w:r>
      <w:bookmarkEnd w:id="105"/>
      <w:bookmarkEnd w:id="106"/>
      <w:r w:rsidRPr="00542222">
        <w:t xml:space="preserve">, </w:t>
      </w:r>
      <w:r>
        <w:t xml:space="preserve">and </w:t>
      </w:r>
      <w:bookmarkStart w:id="107" w:name="_Hlk141729463"/>
      <w:r>
        <w:t>the Kwahu South Composite Budget (2022)</w:t>
      </w:r>
      <w:bookmarkEnd w:id="107"/>
      <w:r>
        <w:t xml:space="preserve">.  These studies examined </w:t>
      </w:r>
      <w:r w:rsidRPr="00542222">
        <w:t>the fac</w:t>
      </w:r>
      <w:r>
        <w:t xml:space="preserve">tors </w:t>
      </w:r>
      <w:r w:rsidRPr="00542222">
        <w:t>caus</w:t>
      </w:r>
      <w:r>
        <w:t xml:space="preserve">ing </w:t>
      </w:r>
      <w:r w:rsidRPr="00542222">
        <w:t xml:space="preserve">degradation, </w:t>
      </w:r>
      <w:r>
        <w:t xml:space="preserve">but not community participation, in the management process. Therefore, </w:t>
      </w:r>
      <w:r w:rsidRPr="00542222">
        <w:t>th</w:t>
      </w:r>
      <w:r>
        <w:t>is</w:t>
      </w:r>
      <w:r w:rsidRPr="00542222">
        <w:t xml:space="preserve"> study </w:t>
      </w:r>
      <w:r>
        <w:t>explored</w:t>
      </w:r>
      <w:r w:rsidRPr="00542222">
        <w:t xml:space="preserve"> how stakeholder </w:t>
      </w:r>
      <w:r>
        <w:t>participation in management</w:t>
      </w:r>
      <w:r w:rsidRPr="00542222">
        <w:t xml:space="preserve"> </w:t>
      </w:r>
      <w:r>
        <w:t xml:space="preserve">processes </w:t>
      </w:r>
      <w:r w:rsidRPr="00542222">
        <w:t>c</w:t>
      </w:r>
      <w:r>
        <w:t>ould</w:t>
      </w:r>
      <w:r w:rsidRPr="00542222">
        <w:t xml:space="preserve"> shape sustainable community</w:t>
      </w:r>
      <w:r>
        <w:t>-based</w:t>
      </w:r>
      <w:r w:rsidRPr="00542222">
        <w:t xml:space="preserve"> forestry in </w:t>
      </w:r>
      <w:r>
        <w:t xml:space="preserve">Ghana's Bobiri and Southern Scarp Forest reserves. </w:t>
      </w:r>
      <w:bookmarkEnd w:id="100"/>
    </w:p>
    <w:p w14:paraId="439A0628" w14:textId="77777777" w:rsidR="00384D21" w:rsidRPr="00191A6B" w:rsidRDefault="00384D21" w:rsidP="00D950EE">
      <w:pPr>
        <w:pStyle w:val="Heading2"/>
        <w:ind w:left="0"/>
      </w:pPr>
      <w:bookmarkStart w:id="108" w:name="_Toc202197587"/>
      <w:r w:rsidRPr="00191A6B">
        <w:t xml:space="preserve">Objectives </w:t>
      </w:r>
      <w:r w:rsidR="007A0CDA">
        <w:t>of the Study</w:t>
      </w:r>
      <w:bookmarkEnd w:id="108"/>
      <w:r w:rsidR="007A0CDA">
        <w:t xml:space="preserve"> </w:t>
      </w:r>
    </w:p>
    <w:p w14:paraId="06EB01F4" w14:textId="77777777" w:rsidR="00384D21" w:rsidRPr="00191A6B" w:rsidRDefault="007A0CDA" w:rsidP="00772DAC">
      <w:pPr>
        <w:ind w:left="0" w:firstLine="0"/>
        <w:rPr>
          <w:rFonts w:cs="Times New Roman"/>
          <w:szCs w:val="24"/>
        </w:rPr>
      </w:pPr>
      <w:r>
        <w:rPr>
          <w:rFonts w:cs="Times New Roman"/>
          <w:szCs w:val="24"/>
        </w:rPr>
        <w:tab/>
      </w:r>
      <w:r w:rsidR="00384D21" w:rsidRPr="00191A6B">
        <w:rPr>
          <w:rFonts w:cs="Times New Roman"/>
          <w:szCs w:val="24"/>
        </w:rPr>
        <w:t xml:space="preserve">The main objective of the study </w:t>
      </w:r>
      <w:r w:rsidR="00D74726">
        <w:rPr>
          <w:rFonts w:cs="Times New Roman"/>
          <w:szCs w:val="24"/>
        </w:rPr>
        <w:t>was</w:t>
      </w:r>
      <w:r w:rsidR="00384D21" w:rsidRPr="00191A6B">
        <w:rPr>
          <w:rFonts w:cs="Times New Roman"/>
          <w:szCs w:val="24"/>
        </w:rPr>
        <w:t xml:space="preserve"> to</w:t>
      </w:r>
      <w:r w:rsidR="006D3FB7">
        <w:rPr>
          <w:rFonts w:cs="Times New Roman"/>
          <w:szCs w:val="24"/>
        </w:rPr>
        <w:t xml:space="preserve"> e</w:t>
      </w:r>
      <w:r w:rsidR="00F7172A">
        <w:rPr>
          <w:rFonts w:cs="Times New Roman"/>
          <w:szCs w:val="24"/>
        </w:rPr>
        <w:t>xplore</w:t>
      </w:r>
      <w:r w:rsidR="00384D21" w:rsidRPr="00191A6B">
        <w:rPr>
          <w:rFonts w:cs="Times New Roman"/>
          <w:szCs w:val="24"/>
        </w:rPr>
        <w:t xml:space="preserve"> stakeholder collaboration </w:t>
      </w:r>
      <w:r w:rsidR="00980038">
        <w:rPr>
          <w:rFonts w:cs="Times New Roman"/>
          <w:szCs w:val="24"/>
        </w:rPr>
        <w:t>and</w:t>
      </w:r>
      <w:r w:rsidR="001108BE">
        <w:rPr>
          <w:rFonts w:cs="Times New Roman"/>
          <w:szCs w:val="24"/>
        </w:rPr>
        <w:t xml:space="preserve"> </w:t>
      </w:r>
      <w:r w:rsidR="006D3FB7">
        <w:rPr>
          <w:rFonts w:cs="Times New Roman"/>
          <w:szCs w:val="24"/>
        </w:rPr>
        <w:t xml:space="preserve">sustainable </w:t>
      </w:r>
      <w:r w:rsidR="00384D21" w:rsidRPr="00191A6B">
        <w:rPr>
          <w:rFonts w:cs="Times New Roman"/>
          <w:szCs w:val="24"/>
        </w:rPr>
        <w:t>community forestry in th</w:t>
      </w:r>
      <w:r w:rsidR="006D3FB7">
        <w:rPr>
          <w:rFonts w:cs="Times New Roman"/>
          <w:szCs w:val="24"/>
        </w:rPr>
        <w:t xml:space="preserve">e </w:t>
      </w:r>
      <w:r w:rsidR="00384D21" w:rsidRPr="00191A6B">
        <w:rPr>
          <w:rFonts w:cs="Times New Roman"/>
          <w:szCs w:val="24"/>
        </w:rPr>
        <w:t xml:space="preserve">Bobiri </w:t>
      </w:r>
      <w:r w:rsidR="00FE635A">
        <w:rPr>
          <w:rFonts w:cs="Times New Roman"/>
          <w:szCs w:val="24"/>
        </w:rPr>
        <w:t xml:space="preserve">and </w:t>
      </w:r>
      <w:r w:rsidR="002C6D16">
        <w:rPr>
          <w:rFonts w:cs="Times New Roman"/>
          <w:szCs w:val="24"/>
        </w:rPr>
        <w:t xml:space="preserve">Southern Scarp </w:t>
      </w:r>
      <w:r w:rsidR="002C6D16" w:rsidRPr="00191A6B">
        <w:rPr>
          <w:rFonts w:cs="Times New Roman"/>
          <w:szCs w:val="24"/>
        </w:rPr>
        <w:t>Forest</w:t>
      </w:r>
      <w:r w:rsidR="00384D21" w:rsidRPr="00191A6B">
        <w:rPr>
          <w:rFonts w:cs="Times New Roman"/>
          <w:szCs w:val="24"/>
        </w:rPr>
        <w:t xml:space="preserve"> reserves in Ghana. Specifically, the study </w:t>
      </w:r>
      <w:r w:rsidR="00D74726">
        <w:rPr>
          <w:rFonts w:cs="Times New Roman"/>
          <w:szCs w:val="24"/>
        </w:rPr>
        <w:t>sought to</w:t>
      </w:r>
      <w:r w:rsidR="00384D21" w:rsidRPr="00191A6B">
        <w:rPr>
          <w:rFonts w:cs="Times New Roman"/>
          <w:szCs w:val="24"/>
        </w:rPr>
        <w:t>:</w:t>
      </w:r>
    </w:p>
    <w:p w14:paraId="00B6A3D1" w14:textId="4D2ECCF3" w:rsidR="00384D21" w:rsidRDefault="000B3953" w:rsidP="007A0CDA">
      <w:pPr>
        <w:pStyle w:val="ListParagraph"/>
        <w:numPr>
          <w:ilvl w:val="0"/>
          <w:numId w:val="1"/>
        </w:numPr>
        <w:spacing w:line="480" w:lineRule="auto"/>
        <w:ind w:left="360"/>
        <w:rPr>
          <w:rFonts w:cs="Times New Roman"/>
          <w:szCs w:val="24"/>
        </w:rPr>
      </w:pPr>
      <w:bookmarkStart w:id="109" w:name="_Hlk127997481"/>
      <w:r>
        <w:rPr>
          <w:rFonts w:cs="Times New Roman"/>
          <w:szCs w:val="24"/>
        </w:rPr>
        <w:t>Examine</w:t>
      </w:r>
      <w:r w:rsidR="00131C11">
        <w:rPr>
          <w:rFonts w:cs="Times New Roman"/>
          <w:szCs w:val="24"/>
        </w:rPr>
        <w:t xml:space="preserve"> </w:t>
      </w:r>
      <w:r w:rsidR="00FF1190">
        <w:rPr>
          <w:rFonts w:cs="Times New Roman"/>
          <w:szCs w:val="24"/>
        </w:rPr>
        <w:t xml:space="preserve">the </w:t>
      </w:r>
      <w:r w:rsidR="00C9225D">
        <w:rPr>
          <w:rFonts w:cs="Times New Roman"/>
          <w:szCs w:val="24"/>
        </w:rPr>
        <w:t>local</w:t>
      </w:r>
      <w:r w:rsidR="003B4407">
        <w:rPr>
          <w:rFonts w:cs="Times New Roman"/>
          <w:szCs w:val="24"/>
        </w:rPr>
        <w:t xml:space="preserve"> institutions</w:t>
      </w:r>
      <w:r w:rsidR="00FF1190">
        <w:rPr>
          <w:rFonts w:cs="Times New Roman"/>
          <w:szCs w:val="24"/>
        </w:rPr>
        <w:t xml:space="preserve"> for </w:t>
      </w:r>
      <w:r w:rsidR="00EE4F95">
        <w:rPr>
          <w:rFonts w:cs="Times New Roman"/>
          <w:szCs w:val="24"/>
        </w:rPr>
        <w:t xml:space="preserve">enhancing </w:t>
      </w:r>
      <w:r w:rsidR="0080354C">
        <w:rPr>
          <w:rFonts w:cs="Times New Roman"/>
          <w:szCs w:val="24"/>
        </w:rPr>
        <w:t xml:space="preserve">stakeholder </w:t>
      </w:r>
      <w:r w:rsidR="006F4579">
        <w:rPr>
          <w:rFonts w:cs="Times New Roman"/>
          <w:szCs w:val="24"/>
        </w:rPr>
        <w:t>participation</w:t>
      </w:r>
      <w:r w:rsidR="00E616D9">
        <w:rPr>
          <w:rFonts w:cs="Times New Roman"/>
          <w:szCs w:val="24"/>
        </w:rPr>
        <w:t xml:space="preserve"> </w:t>
      </w:r>
      <w:r w:rsidR="003606E8">
        <w:rPr>
          <w:rFonts w:cs="Times New Roman"/>
          <w:szCs w:val="24"/>
        </w:rPr>
        <w:t>in the</w:t>
      </w:r>
      <w:r w:rsidR="00131FCD">
        <w:rPr>
          <w:rFonts w:cs="Times New Roman"/>
          <w:szCs w:val="24"/>
        </w:rPr>
        <w:t xml:space="preserve"> sustainable</w:t>
      </w:r>
      <w:r w:rsidR="003606E8">
        <w:rPr>
          <w:rFonts w:cs="Times New Roman"/>
          <w:szCs w:val="24"/>
        </w:rPr>
        <w:t xml:space="preserve"> management </w:t>
      </w:r>
      <w:r w:rsidR="00143917">
        <w:rPr>
          <w:rFonts w:cs="Times New Roman"/>
          <w:szCs w:val="24"/>
        </w:rPr>
        <w:t xml:space="preserve">process </w:t>
      </w:r>
      <w:r w:rsidR="00AE2116">
        <w:rPr>
          <w:rFonts w:cs="Times New Roman"/>
          <w:szCs w:val="24"/>
        </w:rPr>
        <w:t xml:space="preserve">of </w:t>
      </w:r>
      <w:r w:rsidR="00FF1190">
        <w:rPr>
          <w:rFonts w:cs="Times New Roman"/>
          <w:szCs w:val="24"/>
        </w:rPr>
        <w:t xml:space="preserve">the Bobiri </w:t>
      </w:r>
      <w:r w:rsidR="00FE635A">
        <w:rPr>
          <w:rFonts w:cs="Times New Roman"/>
          <w:szCs w:val="24"/>
        </w:rPr>
        <w:t xml:space="preserve">and Southern Scarp </w:t>
      </w:r>
      <w:r w:rsidR="00FF1190">
        <w:rPr>
          <w:rFonts w:cs="Times New Roman"/>
          <w:szCs w:val="24"/>
        </w:rPr>
        <w:t>Forest reserve</w:t>
      </w:r>
      <w:r w:rsidR="00FE635A">
        <w:rPr>
          <w:rFonts w:cs="Times New Roman"/>
          <w:szCs w:val="24"/>
        </w:rPr>
        <w:t>s</w:t>
      </w:r>
      <w:r w:rsidR="00020B2C">
        <w:rPr>
          <w:rFonts w:cs="Times New Roman"/>
          <w:szCs w:val="24"/>
        </w:rPr>
        <w:t>.</w:t>
      </w:r>
    </w:p>
    <w:p w14:paraId="79B748E9" w14:textId="0BA6364B" w:rsidR="0038589B" w:rsidRDefault="00384D21" w:rsidP="007A0CDA">
      <w:pPr>
        <w:pStyle w:val="ListParagraph"/>
        <w:numPr>
          <w:ilvl w:val="0"/>
          <w:numId w:val="1"/>
        </w:numPr>
        <w:spacing w:line="480" w:lineRule="auto"/>
        <w:ind w:left="360"/>
        <w:rPr>
          <w:rFonts w:cs="Times New Roman"/>
          <w:szCs w:val="24"/>
        </w:rPr>
      </w:pPr>
      <w:bookmarkStart w:id="110" w:name="_Hlk170919479"/>
      <w:r w:rsidRPr="00191A6B">
        <w:rPr>
          <w:rFonts w:cs="Times New Roman"/>
          <w:szCs w:val="24"/>
        </w:rPr>
        <w:lastRenderedPageBreak/>
        <w:t xml:space="preserve">Examine the </w:t>
      </w:r>
      <w:r w:rsidR="00F73889">
        <w:rPr>
          <w:rFonts w:cs="Times New Roman"/>
          <w:szCs w:val="24"/>
        </w:rPr>
        <w:t xml:space="preserve">perceived </w:t>
      </w:r>
      <w:r w:rsidR="00163EDE">
        <w:rPr>
          <w:rFonts w:cs="Times New Roman"/>
          <w:szCs w:val="24"/>
        </w:rPr>
        <w:t>sustainability</w:t>
      </w:r>
      <w:r w:rsidR="00795028">
        <w:rPr>
          <w:rFonts w:cs="Times New Roman"/>
          <w:szCs w:val="24"/>
        </w:rPr>
        <w:t xml:space="preserve"> of</w:t>
      </w:r>
      <w:r w:rsidRPr="00191A6B">
        <w:rPr>
          <w:rFonts w:cs="Times New Roman"/>
          <w:szCs w:val="24"/>
        </w:rPr>
        <w:t xml:space="preserve"> the </w:t>
      </w:r>
      <w:r w:rsidR="003606E8">
        <w:rPr>
          <w:rFonts w:cs="Times New Roman"/>
          <w:szCs w:val="24"/>
        </w:rPr>
        <w:t>management</w:t>
      </w:r>
      <w:r w:rsidRPr="00191A6B">
        <w:rPr>
          <w:rFonts w:cs="Times New Roman"/>
          <w:szCs w:val="24"/>
        </w:rPr>
        <w:t xml:space="preserve"> </w:t>
      </w:r>
      <w:r w:rsidR="00131FCD">
        <w:rPr>
          <w:rFonts w:cs="Times New Roman"/>
          <w:szCs w:val="24"/>
        </w:rPr>
        <w:t>of</w:t>
      </w:r>
      <w:r w:rsidRPr="00191A6B">
        <w:rPr>
          <w:rFonts w:cs="Times New Roman"/>
          <w:szCs w:val="24"/>
        </w:rPr>
        <w:t xml:space="preserve"> Bobiri </w:t>
      </w:r>
      <w:r w:rsidR="00C62D27">
        <w:rPr>
          <w:rFonts w:cs="Times New Roman"/>
          <w:szCs w:val="24"/>
        </w:rPr>
        <w:t>and Southern Scarp Forest reserves.</w:t>
      </w:r>
      <w:r w:rsidR="0038589B" w:rsidRPr="0038589B">
        <w:rPr>
          <w:rFonts w:cs="Times New Roman"/>
          <w:szCs w:val="24"/>
        </w:rPr>
        <w:t xml:space="preserve"> </w:t>
      </w:r>
    </w:p>
    <w:bookmarkEnd w:id="110"/>
    <w:p w14:paraId="3213241A" w14:textId="23925CCF" w:rsidR="0038589B" w:rsidRDefault="0038589B" w:rsidP="007A0CDA">
      <w:pPr>
        <w:pStyle w:val="ListParagraph"/>
        <w:numPr>
          <w:ilvl w:val="0"/>
          <w:numId w:val="1"/>
        </w:numPr>
        <w:spacing w:line="480" w:lineRule="auto"/>
        <w:ind w:left="360"/>
        <w:rPr>
          <w:rFonts w:cs="Times New Roman"/>
          <w:szCs w:val="24"/>
        </w:rPr>
      </w:pPr>
      <w:r>
        <w:rPr>
          <w:rFonts w:cs="Times New Roman"/>
          <w:szCs w:val="24"/>
        </w:rPr>
        <w:t xml:space="preserve">Assess the level of community participation in the </w:t>
      </w:r>
      <w:r w:rsidR="00131FCD">
        <w:rPr>
          <w:rFonts w:cs="Times New Roman"/>
          <w:szCs w:val="24"/>
        </w:rPr>
        <w:t xml:space="preserve">sustainable </w:t>
      </w:r>
      <w:r w:rsidR="003606E8">
        <w:rPr>
          <w:rFonts w:cs="Times New Roman"/>
          <w:szCs w:val="24"/>
        </w:rPr>
        <w:t>management</w:t>
      </w:r>
      <w:r>
        <w:rPr>
          <w:rFonts w:cs="Times New Roman"/>
          <w:szCs w:val="24"/>
        </w:rPr>
        <w:t xml:space="preserve"> </w:t>
      </w:r>
      <w:r w:rsidR="00131FCD">
        <w:rPr>
          <w:rFonts w:cs="Times New Roman"/>
          <w:szCs w:val="24"/>
        </w:rPr>
        <w:t>of</w:t>
      </w:r>
      <w:r>
        <w:rPr>
          <w:rFonts w:cs="Times New Roman"/>
          <w:szCs w:val="24"/>
        </w:rPr>
        <w:t xml:space="preserve"> the Bobiri and Southern Scarp Forest Reserves.</w:t>
      </w:r>
    </w:p>
    <w:p w14:paraId="235CBF6E" w14:textId="2D389F09" w:rsidR="00213816" w:rsidRPr="00151BA4" w:rsidRDefault="00213816" w:rsidP="007A0CDA">
      <w:pPr>
        <w:pStyle w:val="ListParagraph"/>
        <w:numPr>
          <w:ilvl w:val="0"/>
          <w:numId w:val="1"/>
        </w:numPr>
        <w:spacing w:line="480" w:lineRule="auto"/>
        <w:ind w:left="360"/>
        <w:rPr>
          <w:rFonts w:cs="Times New Roman"/>
          <w:szCs w:val="24"/>
        </w:rPr>
      </w:pPr>
      <w:r>
        <w:rPr>
          <w:rFonts w:cs="Times New Roman"/>
          <w:szCs w:val="24"/>
        </w:rPr>
        <w:t xml:space="preserve">Analyse </w:t>
      </w:r>
      <w:r>
        <w:rPr>
          <w:szCs w:val="28"/>
        </w:rPr>
        <w:t xml:space="preserve">the factors influencing community participation in the </w:t>
      </w:r>
      <w:r w:rsidR="00131FCD">
        <w:rPr>
          <w:szCs w:val="28"/>
        </w:rPr>
        <w:t xml:space="preserve">sustainable </w:t>
      </w:r>
      <w:r w:rsidR="006F4579">
        <w:rPr>
          <w:szCs w:val="28"/>
        </w:rPr>
        <w:t>management</w:t>
      </w:r>
      <w:r>
        <w:rPr>
          <w:szCs w:val="28"/>
        </w:rPr>
        <w:t xml:space="preserve"> </w:t>
      </w:r>
      <w:r w:rsidR="00131FCD">
        <w:rPr>
          <w:szCs w:val="28"/>
        </w:rPr>
        <w:t>of</w:t>
      </w:r>
      <w:r>
        <w:rPr>
          <w:szCs w:val="28"/>
        </w:rPr>
        <w:t xml:space="preserve"> the Bobiri and Southern Scarp Forest Reserves.</w:t>
      </w:r>
    </w:p>
    <w:p w14:paraId="3828AB77" w14:textId="77777777" w:rsidR="00384D21" w:rsidRPr="00191A6B" w:rsidRDefault="00B25F2B" w:rsidP="00772DAC">
      <w:pPr>
        <w:pStyle w:val="Heading2"/>
        <w:ind w:left="0"/>
        <w:rPr>
          <w:rFonts w:cs="Times New Roman"/>
          <w:szCs w:val="24"/>
        </w:rPr>
      </w:pPr>
      <w:bookmarkStart w:id="111" w:name="_Toc202197588"/>
      <w:bookmarkStart w:id="112" w:name="_Hlk125024825"/>
      <w:bookmarkStart w:id="113" w:name="_Hlk127997770"/>
      <w:bookmarkEnd w:id="109"/>
      <w:r>
        <w:rPr>
          <w:rFonts w:cs="Times New Roman"/>
          <w:szCs w:val="24"/>
        </w:rPr>
        <w:t>Research Q</w:t>
      </w:r>
      <w:r w:rsidR="00384D21" w:rsidRPr="00191A6B">
        <w:rPr>
          <w:rFonts w:cs="Times New Roman"/>
          <w:szCs w:val="24"/>
        </w:rPr>
        <w:t>uestions</w:t>
      </w:r>
      <w:bookmarkEnd w:id="111"/>
    </w:p>
    <w:p w14:paraId="0B46B92B" w14:textId="01750126" w:rsidR="00384D21" w:rsidRDefault="0099187E" w:rsidP="007A0CDA">
      <w:pPr>
        <w:pStyle w:val="ListParagraph"/>
        <w:numPr>
          <w:ilvl w:val="0"/>
          <w:numId w:val="3"/>
        </w:numPr>
        <w:spacing w:line="480" w:lineRule="auto"/>
        <w:ind w:left="270" w:hanging="270"/>
        <w:rPr>
          <w:rFonts w:cs="Times New Roman"/>
          <w:szCs w:val="24"/>
        </w:rPr>
      </w:pPr>
      <w:r>
        <w:rPr>
          <w:rFonts w:cs="Times New Roman"/>
          <w:szCs w:val="24"/>
        </w:rPr>
        <w:t>How do the</w:t>
      </w:r>
      <w:r w:rsidR="0072631E">
        <w:rPr>
          <w:rFonts w:cs="Times New Roman"/>
          <w:szCs w:val="24"/>
        </w:rPr>
        <w:t xml:space="preserve"> </w:t>
      </w:r>
      <w:r w:rsidR="00C9225D">
        <w:rPr>
          <w:rFonts w:cs="Times New Roman"/>
          <w:szCs w:val="24"/>
        </w:rPr>
        <w:t>local</w:t>
      </w:r>
      <w:r w:rsidR="003B4407">
        <w:rPr>
          <w:rFonts w:cs="Times New Roman"/>
          <w:szCs w:val="24"/>
        </w:rPr>
        <w:t xml:space="preserve"> institutions</w:t>
      </w:r>
      <w:r w:rsidR="00FC60B7">
        <w:rPr>
          <w:rFonts w:cs="Times New Roman"/>
          <w:szCs w:val="24"/>
        </w:rPr>
        <w:t xml:space="preserve"> </w:t>
      </w:r>
      <w:r w:rsidR="00153337">
        <w:rPr>
          <w:rFonts w:cs="Times New Roman"/>
          <w:szCs w:val="24"/>
        </w:rPr>
        <w:t xml:space="preserve">encourage </w:t>
      </w:r>
      <w:r w:rsidR="001578CF">
        <w:rPr>
          <w:rFonts w:cs="Times New Roman"/>
          <w:szCs w:val="24"/>
        </w:rPr>
        <w:t>stakeholder</w:t>
      </w:r>
      <w:r w:rsidR="00E43A81">
        <w:rPr>
          <w:rFonts w:cs="Times New Roman"/>
          <w:szCs w:val="24"/>
        </w:rPr>
        <w:t xml:space="preserve"> </w:t>
      </w:r>
      <w:r w:rsidR="006F4579">
        <w:rPr>
          <w:rFonts w:cs="Times New Roman"/>
          <w:szCs w:val="24"/>
        </w:rPr>
        <w:t>participation</w:t>
      </w:r>
      <w:r w:rsidR="00857EEE">
        <w:rPr>
          <w:rFonts w:cs="Times New Roman"/>
          <w:szCs w:val="24"/>
        </w:rPr>
        <w:t xml:space="preserve"> in </w:t>
      </w:r>
      <w:r>
        <w:rPr>
          <w:rFonts w:cs="Times New Roman"/>
          <w:szCs w:val="24"/>
        </w:rPr>
        <w:t xml:space="preserve">the sustainable </w:t>
      </w:r>
      <w:r w:rsidR="001578CF">
        <w:rPr>
          <w:rFonts w:cs="Times New Roman"/>
          <w:szCs w:val="24"/>
        </w:rPr>
        <w:t xml:space="preserve">management of </w:t>
      </w:r>
      <w:r w:rsidR="00FC60B7">
        <w:rPr>
          <w:rFonts w:cs="Times New Roman"/>
          <w:szCs w:val="24"/>
        </w:rPr>
        <w:t xml:space="preserve">Bobiri </w:t>
      </w:r>
      <w:r w:rsidR="004B1459">
        <w:rPr>
          <w:rFonts w:cs="Times New Roman"/>
          <w:szCs w:val="24"/>
        </w:rPr>
        <w:t>and Southern Scarp F</w:t>
      </w:r>
      <w:r w:rsidR="0072631E">
        <w:rPr>
          <w:rFonts w:cs="Times New Roman"/>
          <w:szCs w:val="24"/>
        </w:rPr>
        <w:t>orest</w:t>
      </w:r>
      <w:r w:rsidR="00FC60B7">
        <w:rPr>
          <w:rFonts w:cs="Times New Roman"/>
          <w:szCs w:val="24"/>
        </w:rPr>
        <w:t xml:space="preserve"> reserve</w:t>
      </w:r>
      <w:r>
        <w:rPr>
          <w:rFonts w:cs="Times New Roman"/>
          <w:szCs w:val="24"/>
        </w:rPr>
        <w:t>s</w:t>
      </w:r>
      <w:r w:rsidR="00FC60B7">
        <w:rPr>
          <w:rFonts w:cs="Times New Roman"/>
          <w:szCs w:val="24"/>
        </w:rPr>
        <w:t>?</w:t>
      </w:r>
    </w:p>
    <w:p w14:paraId="333A5E4B" w14:textId="116294A0" w:rsidR="00C34975" w:rsidRDefault="006B2540" w:rsidP="007A0CDA">
      <w:pPr>
        <w:pStyle w:val="ListParagraph"/>
        <w:numPr>
          <w:ilvl w:val="0"/>
          <w:numId w:val="3"/>
        </w:numPr>
        <w:spacing w:line="480" w:lineRule="auto"/>
        <w:ind w:left="270" w:hanging="270"/>
        <w:rPr>
          <w:rFonts w:cs="Times New Roman"/>
          <w:szCs w:val="24"/>
        </w:rPr>
      </w:pPr>
      <w:r>
        <w:rPr>
          <w:rFonts w:cs="Times New Roman"/>
          <w:szCs w:val="24"/>
        </w:rPr>
        <w:t xml:space="preserve">How sustainable </w:t>
      </w:r>
      <w:r w:rsidR="00795028">
        <w:rPr>
          <w:rFonts w:cs="Times New Roman"/>
          <w:szCs w:val="24"/>
        </w:rPr>
        <w:t>is</w:t>
      </w:r>
      <w:r>
        <w:rPr>
          <w:rFonts w:cs="Times New Roman"/>
          <w:szCs w:val="24"/>
        </w:rPr>
        <w:t xml:space="preserve"> the management</w:t>
      </w:r>
      <w:r w:rsidR="0038261C">
        <w:rPr>
          <w:rFonts w:cs="Times New Roman"/>
          <w:szCs w:val="24"/>
        </w:rPr>
        <w:t xml:space="preserve"> </w:t>
      </w:r>
      <w:r w:rsidR="00795028">
        <w:rPr>
          <w:rFonts w:cs="Times New Roman"/>
          <w:szCs w:val="24"/>
        </w:rPr>
        <w:t>of</w:t>
      </w:r>
      <w:r w:rsidR="00C34975" w:rsidRPr="00E63AEA">
        <w:rPr>
          <w:rFonts w:cs="Times New Roman"/>
          <w:szCs w:val="24"/>
        </w:rPr>
        <w:t xml:space="preserve"> </w:t>
      </w:r>
      <w:r w:rsidR="00784025">
        <w:rPr>
          <w:rFonts w:cs="Times New Roman"/>
          <w:szCs w:val="24"/>
        </w:rPr>
        <w:t xml:space="preserve">the </w:t>
      </w:r>
      <w:r w:rsidR="00C34975" w:rsidRPr="00E63AEA">
        <w:rPr>
          <w:rFonts w:cs="Times New Roman"/>
          <w:szCs w:val="24"/>
        </w:rPr>
        <w:t xml:space="preserve">Bobiri </w:t>
      </w:r>
      <w:r w:rsidR="00C34975">
        <w:rPr>
          <w:rFonts w:cs="Times New Roman"/>
          <w:szCs w:val="24"/>
        </w:rPr>
        <w:t xml:space="preserve">and Southern Scarp </w:t>
      </w:r>
      <w:r w:rsidR="00C34975" w:rsidRPr="00191A6B">
        <w:rPr>
          <w:rFonts w:cs="Times New Roman"/>
          <w:szCs w:val="24"/>
        </w:rPr>
        <w:t xml:space="preserve">Forest </w:t>
      </w:r>
      <w:r w:rsidR="00784025">
        <w:rPr>
          <w:rFonts w:cs="Times New Roman"/>
          <w:szCs w:val="24"/>
        </w:rPr>
        <w:t>R</w:t>
      </w:r>
      <w:r w:rsidR="00C34975" w:rsidRPr="00191A6B">
        <w:rPr>
          <w:rFonts w:cs="Times New Roman"/>
          <w:szCs w:val="24"/>
        </w:rPr>
        <w:t>eserves</w:t>
      </w:r>
      <w:r w:rsidR="00C34975">
        <w:rPr>
          <w:rFonts w:cs="Times New Roman"/>
          <w:szCs w:val="24"/>
        </w:rPr>
        <w:t>?</w:t>
      </w:r>
    </w:p>
    <w:p w14:paraId="7837E960" w14:textId="078EDCE4" w:rsidR="00C9225D" w:rsidRDefault="00C34975" w:rsidP="007A0CDA">
      <w:pPr>
        <w:pStyle w:val="ListParagraph"/>
        <w:numPr>
          <w:ilvl w:val="0"/>
          <w:numId w:val="3"/>
        </w:numPr>
        <w:spacing w:line="480" w:lineRule="auto"/>
        <w:ind w:left="270" w:hanging="270"/>
        <w:rPr>
          <w:rFonts w:cs="Times New Roman"/>
          <w:szCs w:val="24"/>
        </w:rPr>
      </w:pPr>
      <w:r>
        <w:rPr>
          <w:rFonts w:cs="Times New Roman"/>
          <w:szCs w:val="24"/>
        </w:rPr>
        <w:t>To what extent do</w:t>
      </w:r>
      <w:r w:rsidR="00ED4700">
        <w:rPr>
          <w:rFonts w:cs="Times New Roman"/>
          <w:szCs w:val="24"/>
        </w:rPr>
        <w:t>es</w:t>
      </w:r>
      <w:r w:rsidR="00C9225D">
        <w:rPr>
          <w:rFonts w:cs="Times New Roman"/>
          <w:szCs w:val="24"/>
        </w:rPr>
        <w:t xml:space="preserve"> </w:t>
      </w:r>
      <w:r>
        <w:rPr>
          <w:rFonts w:cs="Times New Roman"/>
          <w:szCs w:val="24"/>
        </w:rPr>
        <w:t>the</w:t>
      </w:r>
      <w:r w:rsidR="00C9225D">
        <w:rPr>
          <w:rFonts w:cs="Times New Roman"/>
          <w:szCs w:val="24"/>
        </w:rPr>
        <w:t xml:space="preserve"> community participat</w:t>
      </w:r>
      <w:r>
        <w:rPr>
          <w:rFonts w:cs="Times New Roman"/>
          <w:szCs w:val="24"/>
        </w:rPr>
        <w:t>e</w:t>
      </w:r>
      <w:r w:rsidR="00C9225D">
        <w:rPr>
          <w:rFonts w:cs="Times New Roman"/>
          <w:szCs w:val="24"/>
        </w:rPr>
        <w:t xml:space="preserve"> in the </w:t>
      </w:r>
      <w:r w:rsidR="00784025">
        <w:rPr>
          <w:rFonts w:cs="Times New Roman"/>
          <w:szCs w:val="24"/>
        </w:rPr>
        <w:t>management</w:t>
      </w:r>
      <w:r w:rsidR="00BA18F2">
        <w:rPr>
          <w:rFonts w:cs="Times New Roman"/>
          <w:szCs w:val="24"/>
        </w:rPr>
        <w:t xml:space="preserve"> of</w:t>
      </w:r>
      <w:r w:rsidR="00826584">
        <w:rPr>
          <w:rFonts w:cs="Times New Roman"/>
          <w:szCs w:val="24"/>
        </w:rPr>
        <w:t xml:space="preserve"> </w:t>
      </w:r>
      <w:proofErr w:type="gramStart"/>
      <w:r w:rsidR="00826584">
        <w:rPr>
          <w:rFonts w:cs="Times New Roman"/>
          <w:szCs w:val="24"/>
        </w:rPr>
        <w:t xml:space="preserve">the </w:t>
      </w:r>
      <w:r w:rsidR="00BA18F2">
        <w:rPr>
          <w:rFonts w:cs="Times New Roman"/>
          <w:szCs w:val="24"/>
        </w:rPr>
        <w:t xml:space="preserve"> Bobiri</w:t>
      </w:r>
      <w:proofErr w:type="gramEnd"/>
      <w:r w:rsidR="00BA18F2">
        <w:rPr>
          <w:rFonts w:cs="Times New Roman"/>
          <w:szCs w:val="24"/>
        </w:rPr>
        <w:t xml:space="preserve"> and Southern Scarp Forest Reserv</w:t>
      </w:r>
      <w:r w:rsidR="00C9225D">
        <w:rPr>
          <w:rFonts w:cs="Times New Roman"/>
          <w:szCs w:val="24"/>
        </w:rPr>
        <w:t>es?</w:t>
      </w:r>
    </w:p>
    <w:p w14:paraId="14011172" w14:textId="77777777" w:rsidR="00213816" w:rsidRDefault="00213816" w:rsidP="00772DAC">
      <w:pPr>
        <w:pStyle w:val="Heading2"/>
        <w:ind w:left="0"/>
      </w:pPr>
      <w:bookmarkStart w:id="114" w:name="_Toc202197589"/>
      <w:r>
        <w:t>Hypothesis</w:t>
      </w:r>
      <w:bookmarkEnd w:id="114"/>
    </w:p>
    <w:p w14:paraId="080708C7" w14:textId="067EC999" w:rsidR="00213816" w:rsidRPr="00213816" w:rsidRDefault="00213816" w:rsidP="007A0CDA">
      <w:pPr>
        <w:pStyle w:val="BodyText"/>
        <w:numPr>
          <w:ilvl w:val="0"/>
          <w:numId w:val="3"/>
        </w:numPr>
        <w:spacing w:after="0"/>
        <w:ind w:left="270" w:hanging="270"/>
        <w:rPr>
          <w:bCs/>
        </w:rPr>
      </w:pPr>
      <w:r w:rsidRPr="003B4407">
        <w:rPr>
          <w:bCs/>
          <w:i/>
          <w:iCs/>
        </w:rPr>
        <w:t>H</w:t>
      </w:r>
      <w:r w:rsidRPr="003B4407">
        <w:rPr>
          <w:bCs/>
          <w:i/>
          <w:iCs/>
          <w:vertAlign w:val="subscript"/>
        </w:rPr>
        <w:t>o</w:t>
      </w:r>
      <w:r w:rsidRPr="00213816">
        <w:rPr>
          <w:bCs/>
        </w:rPr>
        <w:t xml:space="preserve">: </w:t>
      </w:r>
      <w:r w:rsidR="007B00B5">
        <w:rPr>
          <w:bCs/>
        </w:rPr>
        <w:t>Duration of stay</w:t>
      </w:r>
      <w:r w:rsidRPr="00213816">
        <w:rPr>
          <w:bCs/>
        </w:rPr>
        <w:t xml:space="preserve">, </w:t>
      </w:r>
      <w:r w:rsidR="00216320">
        <w:rPr>
          <w:bCs/>
        </w:rPr>
        <w:t>belonging to a group,</w:t>
      </w:r>
      <w:r w:rsidR="00480344">
        <w:rPr>
          <w:bCs/>
        </w:rPr>
        <w:t xml:space="preserve"> and level of </w:t>
      </w:r>
      <w:r w:rsidRPr="00213816">
        <w:rPr>
          <w:bCs/>
        </w:rPr>
        <w:t xml:space="preserve">education have no significant effect on a household’s level of participation </w:t>
      </w:r>
      <w:r w:rsidR="007B6CEA">
        <w:rPr>
          <w:bCs/>
        </w:rPr>
        <w:t xml:space="preserve">in the management </w:t>
      </w:r>
      <w:r w:rsidR="00826584">
        <w:rPr>
          <w:bCs/>
        </w:rPr>
        <w:t>of</w:t>
      </w:r>
      <w:r w:rsidRPr="00213816">
        <w:rPr>
          <w:bCs/>
        </w:rPr>
        <w:t xml:space="preserve"> the Bobiri and Southern Scarp Forest Reserves.</w:t>
      </w:r>
    </w:p>
    <w:p w14:paraId="10E85CEA" w14:textId="77777777" w:rsidR="00213816" w:rsidRPr="001653C7" w:rsidRDefault="00213816" w:rsidP="00772DAC">
      <w:pPr>
        <w:pStyle w:val="ListParagraph"/>
        <w:ind w:left="0"/>
        <w:rPr>
          <w:sz w:val="4"/>
        </w:rPr>
      </w:pPr>
    </w:p>
    <w:p w14:paraId="3D412D56" w14:textId="77777777" w:rsidR="00E63AEA" w:rsidRDefault="00E63AEA" w:rsidP="00772DAC">
      <w:pPr>
        <w:pStyle w:val="Heading2"/>
        <w:ind w:left="0"/>
      </w:pPr>
      <w:bookmarkStart w:id="115" w:name="_Toc202197590"/>
      <w:bookmarkStart w:id="116" w:name="_Hlk195260465"/>
      <w:bookmarkEnd w:id="21"/>
      <w:bookmarkEnd w:id="22"/>
      <w:bookmarkEnd w:id="99"/>
      <w:bookmarkEnd w:id="112"/>
      <w:bookmarkEnd w:id="113"/>
      <w:r>
        <w:t xml:space="preserve">Significance of the </w:t>
      </w:r>
      <w:r w:rsidR="007A0CDA">
        <w:t>S</w:t>
      </w:r>
      <w:r>
        <w:t>tudy</w:t>
      </w:r>
      <w:bookmarkEnd w:id="115"/>
    </w:p>
    <w:p w14:paraId="08751C27" w14:textId="77777777" w:rsidR="0050658D" w:rsidRDefault="007A0CDA" w:rsidP="0050658D">
      <w:pPr>
        <w:spacing w:after="0"/>
        <w:ind w:left="0" w:firstLine="0"/>
      </w:pPr>
      <w:r>
        <w:tab/>
      </w:r>
      <w:r w:rsidR="0050658D" w:rsidRPr="001849B5">
        <w:t xml:space="preserve">Indigenous communities possess an enduring connection to their local environment rooted in historical resource use and cultural understanding </w:t>
      </w:r>
      <w:bookmarkStart w:id="117" w:name="_Hlk174434402"/>
      <w:r w:rsidR="0050658D" w:rsidRPr="001849B5">
        <w:t xml:space="preserve">(Fa et al., 2020; Molnár </w:t>
      </w:r>
      <w:r w:rsidR="0050658D">
        <w:t>&amp;</w:t>
      </w:r>
      <w:r w:rsidR="0050658D" w:rsidRPr="001849B5">
        <w:t xml:space="preserve"> Babai, 2021</w:t>
      </w:r>
      <w:bookmarkEnd w:id="117"/>
      <w:r w:rsidR="0050658D" w:rsidRPr="001849B5">
        <w:t xml:space="preserve">). </w:t>
      </w:r>
      <w:bookmarkStart w:id="118" w:name="_Hlk174434431"/>
      <w:r w:rsidR="0050658D" w:rsidRPr="001849B5">
        <w:t>Jessen et al. (2022)</w:t>
      </w:r>
      <w:bookmarkEnd w:id="118"/>
      <w:r w:rsidR="0050658D" w:rsidRPr="001849B5">
        <w:t xml:space="preserve"> highlight their forest expertise, cultural ties to forestland, and well-being aspirations, underscoring their potential in forest management for resilience.</w:t>
      </w:r>
      <w:bookmarkEnd w:id="116"/>
      <w:r w:rsidR="0050658D" w:rsidRPr="001849B5">
        <w:t xml:space="preserve"> However, </w:t>
      </w:r>
      <w:bookmarkStart w:id="119" w:name="_Hlk174434449"/>
      <w:proofErr w:type="spellStart"/>
      <w:r w:rsidR="0050658D" w:rsidRPr="001849B5">
        <w:t>Diansyah</w:t>
      </w:r>
      <w:proofErr w:type="spellEnd"/>
      <w:r w:rsidR="0050658D" w:rsidRPr="001849B5">
        <w:t xml:space="preserve"> et al. (2021) and Abas et al. (2022) </w:t>
      </w:r>
      <w:bookmarkEnd w:id="119"/>
      <w:r w:rsidR="0050658D" w:rsidRPr="001849B5">
        <w:t xml:space="preserve">noted the lack of recognition of indigenous roles </w:t>
      </w:r>
      <w:r w:rsidR="0050658D" w:rsidRPr="001849B5">
        <w:lastRenderedPageBreak/>
        <w:t xml:space="preserve">shaped by external socioeconomic factors. This omission, as argued by </w:t>
      </w:r>
      <w:bookmarkStart w:id="120" w:name="_Hlk174434475"/>
      <w:r w:rsidR="0050658D" w:rsidRPr="001849B5">
        <w:t>Berkes et al. (2003)</w:t>
      </w:r>
      <w:bookmarkEnd w:id="120"/>
      <w:r w:rsidR="0050658D" w:rsidRPr="001849B5">
        <w:t xml:space="preserve"> and </w:t>
      </w:r>
      <w:bookmarkStart w:id="121" w:name="_Hlk174434496"/>
      <w:r w:rsidR="0050658D" w:rsidRPr="001849B5">
        <w:t>Folke et al. (2016)</w:t>
      </w:r>
      <w:bookmarkEnd w:id="121"/>
      <w:r w:rsidR="0050658D" w:rsidRPr="001849B5">
        <w:t>, disregards their well-being amidst changing social dynamics, notably in the Bobiri and Southern carp forest reserves.</w:t>
      </w:r>
    </w:p>
    <w:p w14:paraId="0FC5CAD4" w14:textId="377A5DD0" w:rsidR="0050658D" w:rsidRPr="001849B5" w:rsidRDefault="0050658D" w:rsidP="0050658D">
      <w:pPr>
        <w:spacing w:after="0"/>
        <w:ind w:left="0" w:firstLine="0"/>
      </w:pPr>
      <w:bookmarkStart w:id="122" w:name="_Hlk142989173"/>
      <w:r>
        <w:tab/>
      </w:r>
      <w:bookmarkStart w:id="123" w:name="_Hlk195260542"/>
      <w:r w:rsidRPr="001849B5">
        <w:t xml:space="preserve">Considering efficiency, Brown (1999) emphasised community inclusion due to limited public sector capacity in forest management, especially in resource-scarce countries. Local communities, the forest's custodians, interact most with it and play a pivotal role in sustainable management. This approach can yield equity gains, reduce poverty, and improve forest conditions. Consequently, integrating </w:t>
      </w:r>
      <w:r>
        <w:t>local</w:t>
      </w:r>
      <w:r w:rsidRPr="001849B5">
        <w:t xml:space="preserve"> knowledge into forest management aligns with practical wisdom.</w:t>
      </w:r>
    </w:p>
    <w:bookmarkEnd w:id="122"/>
    <w:bookmarkEnd w:id="123"/>
    <w:p w14:paraId="3202E582" w14:textId="77777777" w:rsidR="0050658D" w:rsidRDefault="0050658D" w:rsidP="0050658D">
      <w:pPr>
        <w:spacing w:after="0"/>
        <w:ind w:left="0" w:firstLine="0"/>
      </w:pPr>
      <w:r>
        <w:tab/>
      </w:r>
      <w:bookmarkStart w:id="124" w:name="_Hlk195260579"/>
      <w:r w:rsidRPr="001849B5">
        <w:t>Moreover, this study's proposal to enhance forest planning and management in the Bobiri and Southern Scarp Forest Reserves aimed to amplify the supply of ecosystem goods and services. This endeavour contributes to the discourse on expanding collaborative natural resource management strategies in Ghana, augmenting societal and economic capital through indigenous wisdom and localised decision-making.</w:t>
      </w:r>
    </w:p>
    <w:bookmarkEnd w:id="124"/>
    <w:p w14:paraId="342B726F" w14:textId="77777777" w:rsidR="0050658D" w:rsidRPr="00330097" w:rsidRDefault="0050658D" w:rsidP="0050658D">
      <w:pPr>
        <w:ind w:left="0" w:firstLine="0"/>
      </w:pPr>
      <w:r>
        <w:rPr>
          <w:rFonts w:cs="Times New Roman"/>
          <w:szCs w:val="24"/>
        </w:rPr>
        <w:tab/>
      </w:r>
      <w:r w:rsidRPr="00330097">
        <w:rPr>
          <w:rFonts w:cs="Times New Roman"/>
          <w:szCs w:val="24"/>
        </w:rPr>
        <w:t>Creswell and Plano Clark (2018) highlight the benefits of employing an exploratory sequential mixed-methods approach for a more comprehensive understanding of research issues.</w:t>
      </w:r>
      <w:r>
        <w:rPr>
          <w:rFonts w:cs="Times New Roman"/>
          <w:szCs w:val="24"/>
        </w:rPr>
        <w:t xml:space="preserve"> </w:t>
      </w:r>
      <w:r w:rsidRPr="00330097">
        <w:rPr>
          <w:rFonts w:cs="Times New Roman"/>
          <w:szCs w:val="24"/>
        </w:rPr>
        <w:t xml:space="preserve">This method aids in developing an in-depth comprehension of </w:t>
      </w:r>
      <w:r>
        <w:rPr>
          <w:rFonts w:cs="Times New Roman"/>
          <w:szCs w:val="24"/>
        </w:rPr>
        <w:t xml:space="preserve">local </w:t>
      </w:r>
      <w:r w:rsidRPr="00330097">
        <w:rPr>
          <w:rFonts w:cs="Times New Roman"/>
          <w:szCs w:val="24"/>
        </w:rPr>
        <w:t>institution</w:t>
      </w:r>
      <w:r>
        <w:rPr>
          <w:rFonts w:cs="Times New Roman"/>
          <w:szCs w:val="24"/>
        </w:rPr>
        <w:t>s, the</w:t>
      </w:r>
      <w:r w:rsidRPr="00330097">
        <w:rPr>
          <w:rFonts w:cs="Times New Roman"/>
          <w:szCs w:val="24"/>
        </w:rPr>
        <w:t xml:space="preserve"> challenges within </w:t>
      </w:r>
      <w:r>
        <w:rPr>
          <w:rFonts w:cs="Times New Roman"/>
          <w:szCs w:val="24"/>
        </w:rPr>
        <w:t>the management</w:t>
      </w:r>
      <w:r w:rsidRPr="00330097">
        <w:rPr>
          <w:rFonts w:cs="Times New Roman"/>
          <w:szCs w:val="24"/>
        </w:rPr>
        <w:t xml:space="preserve"> process</w:t>
      </w:r>
      <w:r>
        <w:rPr>
          <w:rFonts w:cs="Times New Roman"/>
          <w:szCs w:val="24"/>
        </w:rPr>
        <w:t xml:space="preserve">, and the sustainability of management regimes while effectively informing the factors and measuring community participation </w:t>
      </w:r>
      <w:r w:rsidRPr="00330097">
        <w:rPr>
          <w:rFonts w:cs="Times New Roman"/>
          <w:szCs w:val="24"/>
        </w:rPr>
        <w:t xml:space="preserve">to </w:t>
      </w:r>
      <w:r>
        <w:rPr>
          <w:rFonts w:cs="Times New Roman"/>
          <w:szCs w:val="24"/>
        </w:rPr>
        <w:t>aid in formulating</w:t>
      </w:r>
      <w:r w:rsidRPr="00330097">
        <w:rPr>
          <w:rFonts w:cs="Times New Roman"/>
          <w:szCs w:val="24"/>
        </w:rPr>
        <w:t xml:space="preserve"> well-informed policies.</w:t>
      </w:r>
    </w:p>
    <w:p w14:paraId="01D1EDBC" w14:textId="5D3AAEB1" w:rsidR="0050658D" w:rsidRDefault="00854901" w:rsidP="0050658D">
      <w:pPr>
        <w:pStyle w:val="Heading2"/>
        <w:ind w:left="0"/>
        <w:rPr>
          <w:rFonts w:cs="Times New Roman"/>
          <w:szCs w:val="24"/>
        </w:rPr>
      </w:pPr>
      <w:bookmarkStart w:id="125" w:name="_Toc202197591"/>
      <w:r>
        <w:rPr>
          <w:rFonts w:cs="Times New Roman"/>
          <w:szCs w:val="24"/>
        </w:rPr>
        <w:lastRenderedPageBreak/>
        <w:t>Delimitations</w:t>
      </w:r>
      <w:r w:rsidR="0050658D">
        <w:rPr>
          <w:rFonts w:cs="Times New Roman"/>
          <w:szCs w:val="24"/>
        </w:rPr>
        <w:t xml:space="preserve"> of the Study</w:t>
      </w:r>
      <w:bookmarkEnd w:id="125"/>
    </w:p>
    <w:p w14:paraId="6D99FDDE" w14:textId="714D8BF4" w:rsidR="0050658D" w:rsidRDefault="0050658D" w:rsidP="0050658D">
      <w:pPr>
        <w:pStyle w:val="BodyText"/>
        <w:spacing w:after="0"/>
        <w:ind w:left="0" w:firstLine="0"/>
      </w:pPr>
      <w:r>
        <w:tab/>
        <w:t>This study covered local institutions for stakeholder participation in the Bobiri and Southern Scarpe Forest Reserves. The study was concerned with soft institutions, i.e., formal or informal procedures, routines, norms, and conventions in the organisational structure of the polity. The Kwahu portion was the focus of the Southern Scarp Forest Reserve. Fringe communities bordering these forest reserves and the presence of Community Biodiversity Advisory Groups (CBAGs), the Community Fire Volunteer Squads (CFVS)</w:t>
      </w:r>
      <w:r w:rsidR="00DB1DE4">
        <w:t xml:space="preserve"> and community </w:t>
      </w:r>
      <w:r w:rsidR="00C529BD">
        <w:t xml:space="preserve">members who derived their livelihood from the forest, also known as primary </w:t>
      </w:r>
      <w:proofErr w:type="gramStart"/>
      <w:r w:rsidR="00C529BD">
        <w:t>stakeholders</w:t>
      </w:r>
      <w:proofErr w:type="gramEnd"/>
      <w:r w:rsidR="00C529BD">
        <w:t xml:space="preserve"> </w:t>
      </w:r>
      <w:r>
        <w:t xml:space="preserve">formed the target population for the study. </w:t>
      </w:r>
      <w:r w:rsidRPr="00773A4F">
        <w:rPr>
          <w:rFonts w:cs="Times New Roman"/>
          <w:szCs w:val="24"/>
        </w:rPr>
        <w:t>This study focused on local-level decision-making because power relations at the local level ha</w:t>
      </w:r>
      <w:r>
        <w:rPr>
          <w:rFonts w:cs="Times New Roman"/>
          <w:szCs w:val="24"/>
        </w:rPr>
        <w:t>d</w:t>
      </w:r>
      <w:r w:rsidRPr="00773A4F">
        <w:rPr>
          <w:rFonts w:cs="Times New Roman"/>
          <w:szCs w:val="24"/>
        </w:rPr>
        <w:t xml:space="preserve"> a profound effect on the ability of the vulnerable in fringe communities to engage in successful participation and make their voices heard.</w:t>
      </w:r>
    </w:p>
    <w:p w14:paraId="7B766D6B" w14:textId="0A24B1DE" w:rsidR="0050658D" w:rsidRDefault="0050658D" w:rsidP="00021D4D">
      <w:pPr>
        <w:pStyle w:val="BodyText"/>
        <w:ind w:left="0"/>
      </w:pPr>
      <w:r>
        <w:t>Moreover, the study covered the sustainability of the management regimes, matters of community participation, challenges to effective community participation, and the way forward for the sustainable management of the Bobiri and Southern Scarp Forest reserves.</w:t>
      </w:r>
      <w:r w:rsidR="00021D4D">
        <w:t xml:space="preserve"> </w:t>
      </w:r>
      <w:r>
        <w:t xml:space="preserve">This study was delimited to forest </w:t>
      </w:r>
      <w:r w:rsidR="00DB1DE4">
        <w:t>management</w:t>
      </w:r>
      <w:r>
        <w:t xml:space="preserve"> practices. The study was also delimited to Bobiri and the Southern Scarp Forest Reserves</w:t>
      </w:r>
      <w:r w:rsidR="00DB1DE4">
        <w:t>.</w:t>
      </w:r>
      <w:r>
        <w:t xml:space="preserve"> as well as to measure community participation in invited spaces.</w:t>
      </w:r>
      <w:r w:rsidR="00C529BD">
        <w:t xml:space="preserve"> The study was also delimited to measuring community participation in the invited spaces</w:t>
      </w:r>
      <w:r w:rsidR="00763DE2">
        <w:t>.</w:t>
      </w:r>
    </w:p>
    <w:p w14:paraId="3E701BDA" w14:textId="2F781C34" w:rsidR="00021D4D" w:rsidRPr="00D21125" w:rsidRDefault="00021D4D" w:rsidP="00021D4D">
      <w:pPr>
        <w:spacing w:before="100" w:beforeAutospacing="1" w:after="100" w:afterAutospacing="1"/>
        <w:ind w:left="0"/>
        <w:rPr>
          <w:rFonts w:cs="Times New Roman"/>
        </w:rPr>
      </w:pPr>
      <w:r>
        <w:t xml:space="preserve">Finally, the study was delimited to the Social Exchange Theory and Rational Choice Institutional Theory with a concurrent mixed method as the study design for this study. </w:t>
      </w:r>
      <w:r w:rsidRPr="00D21125">
        <w:rPr>
          <w:rFonts w:cs="Times New Roman"/>
        </w:rPr>
        <w:t>Rational Choice Institutional Theory (RCIT), using a concurrent mixed-method approach, offer</w:t>
      </w:r>
      <w:r w:rsidR="00143917">
        <w:rPr>
          <w:rFonts w:cs="Times New Roman"/>
        </w:rPr>
        <w:t>ed</w:t>
      </w:r>
      <w:r w:rsidRPr="00D21125">
        <w:rPr>
          <w:rFonts w:cs="Times New Roman"/>
        </w:rPr>
        <w:t xml:space="preserve"> a comprehensive framework to </w:t>
      </w:r>
      <w:r w:rsidRPr="00D21125">
        <w:rPr>
          <w:rFonts w:cs="Times New Roman"/>
        </w:rPr>
        <w:lastRenderedPageBreak/>
        <w:t>examine stakeholder collaboration dynamics within Ghana's Bobiri and Southern Scarp Forest Reserves. SET narrows the focus by analy</w:t>
      </w:r>
      <w:r>
        <w:rPr>
          <w:rFonts w:cs="Times New Roman"/>
        </w:rPr>
        <w:t>s</w:t>
      </w:r>
      <w:r w:rsidRPr="00D21125">
        <w:rPr>
          <w:rFonts w:cs="Times New Roman"/>
        </w:rPr>
        <w:t>ing stakeholders' cost-benefit</w:t>
      </w:r>
      <w:r>
        <w:rPr>
          <w:rFonts w:cs="Times New Roman"/>
        </w:rPr>
        <w:t xml:space="preserve">, </w:t>
      </w:r>
      <w:r w:rsidRPr="00D21125">
        <w:rPr>
          <w:rFonts w:cs="Times New Roman"/>
        </w:rPr>
        <w:t>such as communities, government agencies, and NGOs</w:t>
      </w:r>
      <w:r>
        <w:rPr>
          <w:rFonts w:cs="Times New Roman"/>
        </w:rPr>
        <w:t xml:space="preserve">, </w:t>
      </w:r>
      <w:r w:rsidRPr="00D21125">
        <w:rPr>
          <w:rFonts w:cs="Times New Roman"/>
        </w:rPr>
        <w:t xml:space="preserve">and highlighting how perceived mutual benefits like resource access, livelihood security, or shared governance rights drive collaboration. RCIT further focuses the </w:t>
      </w:r>
      <w:r>
        <w:rPr>
          <w:rFonts w:cs="Times New Roman"/>
        </w:rPr>
        <w:t>study</w:t>
      </w:r>
      <w:r w:rsidRPr="00D21125">
        <w:rPr>
          <w:rFonts w:cs="Times New Roman"/>
        </w:rPr>
        <w:t xml:space="preserve"> on understanding how institutional rules, norms, and policies</w:t>
      </w:r>
      <w:r>
        <w:rPr>
          <w:rFonts w:cs="Times New Roman"/>
        </w:rPr>
        <w:t xml:space="preserve">, </w:t>
      </w:r>
      <w:r w:rsidRPr="00D21125">
        <w:rPr>
          <w:rFonts w:cs="Times New Roman"/>
        </w:rPr>
        <w:t>for instance those outlined in Ghana's 2012 Forest and Wildlife Policy</w:t>
      </w:r>
      <w:r>
        <w:rPr>
          <w:rFonts w:cs="Times New Roman"/>
        </w:rPr>
        <w:t xml:space="preserve">, </w:t>
      </w:r>
      <w:r w:rsidRPr="00D21125">
        <w:rPr>
          <w:rFonts w:cs="Times New Roman"/>
        </w:rPr>
        <w:t xml:space="preserve">influence stakeholders’ strategic decisions for collective action while underscoring rational compliance with both formal and informal </w:t>
      </w:r>
      <w:r>
        <w:rPr>
          <w:rFonts w:cs="Times New Roman"/>
        </w:rPr>
        <w:t>management</w:t>
      </w:r>
      <w:r w:rsidRPr="00D21125">
        <w:rPr>
          <w:rFonts w:cs="Times New Roman"/>
        </w:rPr>
        <w:t xml:space="preserve"> structures.</w:t>
      </w:r>
    </w:p>
    <w:p w14:paraId="6C83521A" w14:textId="2A19C6DC" w:rsidR="00021D4D" w:rsidRPr="00D72CFB" w:rsidRDefault="00021D4D" w:rsidP="00D72CFB">
      <w:pPr>
        <w:spacing w:before="100" w:beforeAutospacing="1" w:after="0"/>
        <w:ind w:left="0"/>
        <w:rPr>
          <w:rFonts w:eastAsia="Times New Roman" w:cs="Times New Roman"/>
        </w:rPr>
      </w:pPr>
      <w:r w:rsidRPr="007913DD">
        <w:rPr>
          <w:rFonts w:cs="Times New Roman"/>
        </w:rPr>
        <w:t xml:space="preserve">The concurrent mixed-method design, which combines quantitative surveys (such as logit models to identify participation determinants) with qualitative interviews, focus groups discussions and observations, facilitates data triangulation by examining both measurable </w:t>
      </w:r>
      <w:proofErr w:type="spellStart"/>
      <w:r w:rsidRPr="007913DD">
        <w:rPr>
          <w:rFonts w:cs="Times New Roman"/>
        </w:rPr>
        <w:t>behavioral</w:t>
      </w:r>
      <w:proofErr w:type="spellEnd"/>
      <w:r w:rsidRPr="007913DD">
        <w:rPr>
          <w:rFonts w:cs="Times New Roman"/>
        </w:rPr>
        <w:t xml:space="preserve"> patterns and contextual narratives. This approach confines the study to variables such as community roles, perceived ownership, and institutional legitimacy while excluding external factors not related to the theoretical frameworks.</w:t>
      </w:r>
    </w:p>
    <w:p w14:paraId="133B79FD" w14:textId="414BE705" w:rsidR="00854901" w:rsidRDefault="00854901" w:rsidP="00854901">
      <w:pPr>
        <w:pStyle w:val="Heading2"/>
        <w:ind w:left="0"/>
      </w:pPr>
      <w:bookmarkStart w:id="126" w:name="_Toc202197592"/>
      <w:r>
        <w:t>Limitations of the study</w:t>
      </w:r>
      <w:bookmarkEnd w:id="126"/>
    </w:p>
    <w:p w14:paraId="576F6371" w14:textId="77777777" w:rsidR="00143917" w:rsidRDefault="00854901" w:rsidP="00143917">
      <w:pPr>
        <w:ind w:left="0"/>
      </w:pPr>
      <w:r>
        <w:t xml:space="preserve">This research discovered a limitation of the exploratory sequential mixed method: if the initial qualitative sample is not sufficiently representative of the broader stakeholder population, the themes and variables identified may not capture the full range of perspectives, leading to biased or incomplete quantitative analysis, and the success of the quantitative phase is heavily reliant on the insights gained from the qualitative phase. </w:t>
      </w:r>
      <w:r w:rsidR="00B1264A">
        <w:t xml:space="preserve">In addition, the season with on which data was collected limited the observation component. The study was </w:t>
      </w:r>
      <w:r w:rsidR="00B1264A">
        <w:lastRenderedPageBreak/>
        <w:t xml:space="preserve">unable to observe the falling cycle, a critical management practice </w:t>
      </w:r>
      <w:proofErr w:type="gramStart"/>
      <w:r w:rsidR="00B1264A">
        <w:t>present</w:t>
      </w:r>
      <w:proofErr w:type="gramEnd"/>
      <w:r w:rsidR="00B1264A">
        <w:t xml:space="preserve"> at the Bobiri Forest Reserve due to flooding of the only route. </w:t>
      </w:r>
      <w:r w:rsidR="00143917">
        <w:t>To address this issue, this study utilised both primary and secondary data to identify all the relevant stakeholders in the study area and capture their respective perspectives.</w:t>
      </w:r>
    </w:p>
    <w:p w14:paraId="7E1EC466" w14:textId="6D8C7341" w:rsidR="00143917" w:rsidRDefault="00143917" w:rsidP="00126EF5">
      <w:pPr>
        <w:spacing w:after="0"/>
        <w:ind w:left="0"/>
      </w:pPr>
      <w:r>
        <w:t xml:space="preserve">In addition, the study could not assess and adapt the appropriate criteria and indicators in its measurement of the perceived sustainability of the management regimes as contained in Nunoo et al. (2016). Despite this shortfall, a good work was done using the criteria and indicators suggested by the Food and Agricultural Organisation (FAO) and the Inter-Tropical Timber Organisation (ITTO). </w:t>
      </w:r>
    </w:p>
    <w:p w14:paraId="20FBDDE2" w14:textId="6447A7DB" w:rsidR="00FB4FBB" w:rsidRDefault="00FB4FBB" w:rsidP="0050658D">
      <w:pPr>
        <w:pStyle w:val="Heading2"/>
        <w:ind w:left="0"/>
      </w:pPr>
      <w:bookmarkStart w:id="127" w:name="_Toc202197593"/>
      <w:r>
        <w:t>Definition of Terms</w:t>
      </w:r>
      <w:bookmarkEnd w:id="127"/>
    </w:p>
    <w:p w14:paraId="3FA7CD61" w14:textId="41086E95" w:rsidR="00796E08" w:rsidRPr="00796E08" w:rsidRDefault="00FB4FBB" w:rsidP="004B6443">
      <w:pPr>
        <w:ind w:left="0" w:firstLine="0"/>
      </w:pPr>
      <w:r>
        <w:tab/>
        <w:t>The following are operational terms used in this study:</w:t>
      </w:r>
    </w:p>
    <w:p w14:paraId="03620753" w14:textId="77777777" w:rsidR="007B1455" w:rsidRPr="007B1455" w:rsidRDefault="007B1455" w:rsidP="007B1455">
      <w:pPr>
        <w:pStyle w:val="ListParagraph"/>
        <w:numPr>
          <w:ilvl w:val="0"/>
          <w:numId w:val="41"/>
        </w:numPr>
        <w:spacing w:line="480" w:lineRule="auto"/>
        <w:rPr>
          <w:b/>
          <w:bCs/>
        </w:rPr>
      </w:pPr>
      <w:r w:rsidRPr="007B1455">
        <w:rPr>
          <w:b/>
          <w:bCs/>
        </w:rPr>
        <w:t>Forest management</w:t>
      </w:r>
    </w:p>
    <w:p w14:paraId="62BFBFC9" w14:textId="77777777" w:rsidR="007B1455" w:rsidRDefault="007B1455" w:rsidP="007B1455">
      <w:pPr>
        <w:pStyle w:val="ListParagraph"/>
        <w:spacing w:line="480" w:lineRule="auto"/>
      </w:pPr>
      <w:r>
        <w:t>The administration of forests to achieve set objectives.</w:t>
      </w:r>
    </w:p>
    <w:p w14:paraId="712D6A8B" w14:textId="77777777" w:rsidR="007B1455" w:rsidRPr="007B1455" w:rsidRDefault="007B1455" w:rsidP="007B1455">
      <w:pPr>
        <w:pStyle w:val="ListParagraph"/>
        <w:numPr>
          <w:ilvl w:val="0"/>
          <w:numId w:val="41"/>
        </w:numPr>
        <w:spacing w:line="480" w:lineRule="auto"/>
        <w:rPr>
          <w:b/>
          <w:bCs/>
        </w:rPr>
      </w:pPr>
      <w:r w:rsidRPr="007B1455">
        <w:rPr>
          <w:b/>
          <w:bCs/>
        </w:rPr>
        <w:t xml:space="preserve">Local institutions </w:t>
      </w:r>
    </w:p>
    <w:p w14:paraId="765D3F3E" w14:textId="77777777" w:rsidR="007B1455" w:rsidRDefault="007B1455" w:rsidP="007B1455">
      <w:pPr>
        <w:pStyle w:val="ListParagraph"/>
        <w:spacing w:line="480" w:lineRule="auto"/>
      </w:pPr>
      <w:r>
        <w:t>The local organisational structure of the society that encompasses formal or informal procedures, routines, norms, and conventions.</w:t>
      </w:r>
    </w:p>
    <w:p w14:paraId="72502B53" w14:textId="77777777" w:rsidR="007B1455" w:rsidRPr="007B1455" w:rsidRDefault="007B1455" w:rsidP="007B1455">
      <w:pPr>
        <w:pStyle w:val="ListParagraph"/>
        <w:numPr>
          <w:ilvl w:val="0"/>
          <w:numId w:val="41"/>
        </w:numPr>
        <w:spacing w:line="480" w:lineRule="auto"/>
        <w:rPr>
          <w:b/>
          <w:bCs/>
        </w:rPr>
      </w:pPr>
      <w:r w:rsidRPr="007B1455">
        <w:rPr>
          <w:b/>
          <w:bCs/>
        </w:rPr>
        <w:t>Primary stakeholders</w:t>
      </w:r>
    </w:p>
    <w:p w14:paraId="089B0E76" w14:textId="77777777" w:rsidR="007B1455" w:rsidRDefault="007B1455" w:rsidP="007B1455">
      <w:pPr>
        <w:pStyle w:val="ListParagraph"/>
        <w:spacing w:line="480" w:lineRule="auto"/>
      </w:pPr>
      <w:r>
        <w:t xml:space="preserve">Stakeholders who have their livelihoods tied to the forest. </w:t>
      </w:r>
    </w:p>
    <w:p w14:paraId="3F86695C" w14:textId="77777777" w:rsidR="007B1455" w:rsidRPr="007B1455" w:rsidRDefault="007B1455" w:rsidP="007B1455">
      <w:pPr>
        <w:pStyle w:val="ListParagraph"/>
        <w:numPr>
          <w:ilvl w:val="0"/>
          <w:numId w:val="41"/>
        </w:numPr>
        <w:spacing w:line="480" w:lineRule="auto"/>
        <w:rPr>
          <w:b/>
          <w:bCs/>
        </w:rPr>
      </w:pPr>
      <w:r w:rsidRPr="007B1455">
        <w:rPr>
          <w:b/>
          <w:bCs/>
        </w:rPr>
        <w:t>Stakeholder</w:t>
      </w:r>
    </w:p>
    <w:p w14:paraId="2284B382" w14:textId="7B870F5C" w:rsidR="007B1455" w:rsidRDefault="007B1455" w:rsidP="007B1455">
      <w:pPr>
        <w:pStyle w:val="ListParagraph"/>
        <w:spacing w:line="480" w:lineRule="auto"/>
      </w:pPr>
      <w:r>
        <w:t>Stakeholder is an individual, group or organisation that has an interest or is affected by forest management and its outcomes.</w:t>
      </w:r>
    </w:p>
    <w:p w14:paraId="3BE75703" w14:textId="77777777" w:rsidR="00126EF5" w:rsidRDefault="00126EF5" w:rsidP="007B1455">
      <w:pPr>
        <w:pStyle w:val="ListParagraph"/>
        <w:spacing w:line="480" w:lineRule="auto"/>
      </w:pPr>
    </w:p>
    <w:p w14:paraId="6E268294" w14:textId="77777777" w:rsidR="00126EF5" w:rsidRDefault="00126EF5" w:rsidP="007B1455">
      <w:pPr>
        <w:pStyle w:val="ListParagraph"/>
        <w:spacing w:line="480" w:lineRule="auto"/>
      </w:pPr>
    </w:p>
    <w:p w14:paraId="16B55417" w14:textId="77777777" w:rsidR="00126EF5" w:rsidRDefault="00126EF5" w:rsidP="007B1455">
      <w:pPr>
        <w:pStyle w:val="ListParagraph"/>
        <w:spacing w:line="480" w:lineRule="auto"/>
      </w:pPr>
    </w:p>
    <w:p w14:paraId="57E747D5" w14:textId="77777777" w:rsidR="007B1455" w:rsidRPr="007B1455" w:rsidRDefault="007B1455" w:rsidP="007B1455">
      <w:pPr>
        <w:pStyle w:val="ListParagraph"/>
        <w:numPr>
          <w:ilvl w:val="0"/>
          <w:numId w:val="41"/>
        </w:numPr>
        <w:spacing w:line="480" w:lineRule="auto"/>
        <w:rPr>
          <w:b/>
          <w:bCs/>
        </w:rPr>
      </w:pPr>
      <w:r w:rsidRPr="007B1455">
        <w:rPr>
          <w:b/>
          <w:bCs/>
        </w:rPr>
        <w:lastRenderedPageBreak/>
        <w:t>Stakeholder collaboration</w:t>
      </w:r>
    </w:p>
    <w:p w14:paraId="5EBBACC4" w14:textId="77777777" w:rsidR="007B1455" w:rsidRDefault="007B1455" w:rsidP="007B1455">
      <w:pPr>
        <w:pStyle w:val="ListParagraph"/>
        <w:spacing w:line="480" w:lineRule="auto"/>
      </w:pPr>
      <w:r>
        <w:t>stakeholder collaboration involves bringing together diverse stakeholders to share perspectives, knowledge, and resources to achieve common goals related to forest management and conservation.</w:t>
      </w:r>
    </w:p>
    <w:p w14:paraId="60DFB4BE" w14:textId="77777777" w:rsidR="007B1455" w:rsidRPr="007B1455" w:rsidRDefault="007B1455" w:rsidP="007B1455">
      <w:pPr>
        <w:pStyle w:val="ListParagraph"/>
        <w:numPr>
          <w:ilvl w:val="0"/>
          <w:numId w:val="41"/>
        </w:numPr>
        <w:spacing w:line="480" w:lineRule="auto"/>
        <w:rPr>
          <w:b/>
          <w:bCs/>
        </w:rPr>
      </w:pPr>
      <w:r w:rsidRPr="007B1455">
        <w:rPr>
          <w:b/>
          <w:bCs/>
        </w:rPr>
        <w:t>Sustainable community-based forestry</w:t>
      </w:r>
    </w:p>
    <w:p w14:paraId="1C07A173" w14:textId="1F0E4078" w:rsidR="00FB4FBB" w:rsidRPr="00FB4FBB" w:rsidRDefault="007B1455" w:rsidP="00126EF5">
      <w:pPr>
        <w:pStyle w:val="ListParagraph"/>
        <w:spacing w:after="0" w:line="480" w:lineRule="auto"/>
      </w:pPr>
      <w:r>
        <w:t>The management of forests in a manner that enables the continuous extraction of economic benefits without compromising the ecological and socio-cultural advantages for present and future generations at the local level.</w:t>
      </w:r>
    </w:p>
    <w:p w14:paraId="0950ADC4" w14:textId="2FA67C50" w:rsidR="0050658D" w:rsidRPr="00E63AEA" w:rsidRDefault="0050658D" w:rsidP="0050658D">
      <w:pPr>
        <w:pStyle w:val="Heading2"/>
        <w:ind w:left="0"/>
      </w:pPr>
      <w:bookmarkStart w:id="128" w:name="_Toc202197594"/>
      <w:r>
        <w:t>Organisation of the Study</w:t>
      </w:r>
      <w:bookmarkEnd w:id="128"/>
    </w:p>
    <w:p w14:paraId="7726F079" w14:textId="6C977AB6" w:rsidR="0050658D" w:rsidRDefault="0050658D" w:rsidP="0050658D">
      <w:pPr>
        <w:ind w:left="0" w:firstLine="0"/>
      </w:pPr>
      <w:r>
        <w:tab/>
        <w:t xml:space="preserve">This study comprised nine chapters. The first chapter was the introduction, and it consisted of the background, statement of the problem, the study’s objective, hypothesis and research questions, the significance, scope, delimitation, and organisation of the study. Chapter two comprised a review of the theories guiding the research and related concepts. The third chapter reviewed empirical studies and the study's conceptual framework. Chapter Four entailed the methodology of the study, which comprised the theoretical perspective of the research approach, research design, study design, study area, study population, sample size, sampling procedure, data type and sources, data collection methods, data collection instruments, pre-test, ethics, method of data analysis, management and presentation, and ethics. Chapter Five was dedicated to the results and discussion of the socio-demographic characteristics of the research participants and the type of local institutions for stakeholder participation. The </w:t>
      </w:r>
      <w:r w:rsidR="00F73889">
        <w:t xml:space="preserve">perceived </w:t>
      </w:r>
      <w:r w:rsidR="00763DE2">
        <w:t>sustainability of the management</w:t>
      </w:r>
      <w:r>
        <w:t xml:space="preserve"> of </w:t>
      </w:r>
      <w:r w:rsidR="00763DE2">
        <w:t xml:space="preserve">the </w:t>
      </w:r>
      <w:r>
        <w:t xml:space="preserve">forest reserves </w:t>
      </w:r>
      <w:r w:rsidR="00763DE2">
        <w:t>w</w:t>
      </w:r>
      <w:r w:rsidR="00100BE7">
        <w:t>as</w:t>
      </w:r>
      <w:r>
        <w:t xml:space="preserve"> presented in Chapter Six. The results and discussions of the level </w:t>
      </w:r>
      <w:r>
        <w:lastRenderedPageBreak/>
        <w:t xml:space="preserve">of community participation in the management process constituted Chapter </w:t>
      </w:r>
      <w:r w:rsidR="00763DE2">
        <w:t>Seven</w:t>
      </w:r>
      <w:r>
        <w:t xml:space="preserve">, while Chapter </w:t>
      </w:r>
      <w:r w:rsidR="00763DE2">
        <w:t>Eight</w:t>
      </w:r>
      <w:r>
        <w:t xml:space="preserve"> contained the factors that enhanced community participation in the management process. The summary, conclusions, recommendations, addition to knowledge, and areas for further research are presented in Chapter </w:t>
      </w:r>
      <w:r w:rsidR="00763DE2">
        <w:t>Nine</w:t>
      </w:r>
      <w:r>
        <w:t xml:space="preserve">. </w:t>
      </w:r>
    </w:p>
    <w:p w14:paraId="2BE43B9C" w14:textId="77777777" w:rsidR="0050658D" w:rsidRDefault="0050658D" w:rsidP="0050658D"/>
    <w:p w14:paraId="6DCF87A4" w14:textId="77777777" w:rsidR="00782334" w:rsidRDefault="00782334" w:rsidP="0050658D">
      <w:pPr>
        <w:spacing w:after="0"/>
        <w:ind w:left="0" w:firstLine="0"/>
      </w:pPr>
    </w:p>
    <w:p w14:paraId="4D9392B7" w14:textId="77777777" w:rsidR="000516CA" w:rsidRDefault="000516CA" w:rsidP="00772DAC">
      <w:pPr>
        <w:ind w:left="0" w:firstLine="0"/>
      </w:pPr>
    </w:p>
    <w:p w14:paraId="3170654D" w14:textId="77777777" w:rsidR="000516CA" w:rsidRDefault="000516CA" w:rsidP="00772DAC">
      <w:pPr>
        <w:ind w:left="0" w:firstLine="0"/>
      </w:pPr>
    </w:p>
    <w:p w14:paraId="3FEB0740" w14:textId="77777777" w:rsidR="000516CA" w:rsidRDefault="000516CA" w:rsidP="00772DAC">
      <w:pPr>
        <w:ind w:left="0" w:firstLine="0"/>
      </w:pPr>
    </w:p>
    <w:p w14:paraId="3681F8A5" w14:textId="77777777" w:rsidR="000516CA" w:rsidRDefault="000516CA" w:rsidP="00772DAC">
      <w:pPr>
        <w:ind w:left="0" w:firstLine="0"/>
      </w:pPr>
    </w:p>
    <w:p w14:paraId="332C95FA" w14:textId="77777777" w:rsidR="005432A0" w:rsidRDefault="005432A0" w:rsidP="00F73889"/>
    <w:p w14:paraId="6D7E7BED" w14:textId="77777777" w:rsidR="002C4192" w:rsidRDefault="002C4192">
      <w:pPr>
        <w:spacing w:line="259" w:lineRule="auto"/>
        <w:ind w:left="0" w:firstLine="0"/>
        <w:jc w:val="left"/>
        <w:rPr>
          <w:rFonts w:eastAsiaTheme="majorEastAsia" w:cstheme="majorBidi"/>
          <w:b/>
          <w:caps/>
          <w:szCs w:val="32"/>
        </w:rPr>
      </w:pPr>
      <w:r>
        <w:br w:type="page"/>
      </w:r>
    </w:p>
    <w:p w14:paraId="498FCF63" w14:textId="6AE4FB02" w:rsidR="00782334" w:rsidRDefault="00782334" w:rsidP="007A0CDA">
      <w:pPr>
        <w:pStyle w:val="Heading1"/>
        <w:spacing w:before="0"/>
        <w:ind w:left="0"/>
      </w:pPr>
      <w:bookmarkStart w:id="129" w:name="_Toc202197595"/>
      <w:r>
        <w:lastRenderedPageBreak/>
        <w:t>Chapter two</w:t>
      </w:r>
      <w:bookmarkEnd w:id="129"/>
    </w:p>
    <w:p w14:paraId="2D13E1E8" w14:textId="77777777" w:rsidR="00782334" w:rsidRDefault="00782334" w:rsidP="007A0CDA">
      <w:pPr>
        <w:pStyle w:val="Heading1"/>
        <w:spacing w:before="0"/>
        <w:ind w:left="0"/>
      </w:pPr>
      <w:bookmarkStart w:id="130" w:name="_Toc202197596"/>
      <w:r>
        <w:t>Review of related literature</w:t>
      </w:r>
      <w:bookmarkEnd w:id="130"/>
    </w:p>
    <w:p w14:paraId="6ECE4C0F" w14:textId="77777777" w:rsidR="00782334" w:rsidRDefault="00782334" w:rsidP="00772DAC">
      <w:pPr>
        <w:pStyle w:val="Heading2"/>
        <w:ind w:left="0"/>
      </w:pPr>
      <w:bookmarkStart w:id="131" w:name="_Toc202197597"/>
      <w:r>
        <w:t>Introduction</w:t>
      </w:r>
      <w:bookmarkEnd w:id="131"/>
    </w:p>
    <w:p w14:paraId="7B48BFED" w14:textId="77777777" w:rsidR="00570E64" w:rsidRDefault="007A0CDA" w:rsidP="007A0CDA">
      <w:pPr>
        <w:spacing w:after="0"/>
        <w:ind w:left="0" w:firstLine="0"/>
      </w:pPr>
      <w:r>
        <w:tab/>
      </w:r>
      <w:r w:rsidR="00D26593">
        <w:t xml:space="preserve">In the work of Marchi et al. (2018), Sustainable Forest Management (SFM) has evolved to address </w:t>
      </w:r>
      <w:r w:rsidR="005621E7">
        <w:t>unsound forest usage issues and</w:t>
      </w:r>
      <w:r w:rsidR="00D26593">
        <w:t xml:space="preserve"> promote involvem</w:t>
      </w:r>
      <w:r w:rsidR="00123915">
        <w:t>e</w:t>
      </w:r>
      <w:r w:rsidR="00D26593">
        <w:t xml:space="preserve">nt. According to Menconi et al. (2017), </w:t>
      </w:r>
      <w:r w:rsidR="001F4FAB">
        <w:t>including</w:t>
      </w:r>
      <w:r w:rsidR="00D26593">
        <w:t xml:space="preserve"> rural communities in decision-making is a management method to improve social acceptance and implementation of sustainable policies. According to </w:t>
      </w:r>
      <w:proofErr w:type="spellStart"/>
      <w:r w:rsidR="00D26593">
        <w:t>Pinyopusarerk</w:t>
      </w:r>
      <w:proofErr w:type="spellEnd"/>
      <w:r w:rsidR="00D26593">
        <w:t xml:space="preserve"> and Tran (2014), transferring forest exploitation rights to local people improves equity, benefit distribution, and forest conservation.</w:t>
      </w:r>
    </w:p>
    <w:p w14:paraId="30F7D744" w14:textId="7B352CC6" w:rsidR="00D06EAE" w:rsidRPr="00D06EAE" w:rsidRDefault="007A0CDA" w:rsidP="00772DAC">
      <w:pPr>
        <w:pStyle w:val="BodyText"/>
        <w:ind w:left="0" w:firstLine="0"/>
      </w:pPr>
      <w:r>
        <w:tab/>
      </w:r>
      <w:r w:rsidR="00D06EAE">
        <w:t>This chapter review</w:t>
      </w:r>
      <w:r w:rsidR="001F4FAB">
        <w:t>ed</w:t>
      </w:r>
      <w:r w:rsidR="00D06EAE">
        <w:t xml:space="preserve"> the theories underpi</w:t>
      </w:r>
      <w:r w:rsidR="00123915">
        <w:t>n</w:t>
      </w:r>
      <w:r w:rsidR="00D06EAE">
        <w:t xml:space="preserve">ning the study and </w:t>
      </w:r>
      <w:r w:rsidR="00731B00">
        <w:t xml:space="preserve">the </w:t>
      </w:r>
      <w:r w:rsidR="00D06EAE">
        <w:t xml:space="preserve">concepts </w:t>
      </w:r>
      <w:r w:rsidR="00731B00">
        <w:t xml:space="preserve">needed to achieve the </w:t>
      </w:r>
      <w:r w:rsidR="00123915">
        <w:t>study's main objective</w:t>
      </w:r>
      <w:r w:rsidR="00731B00">
        <w:t>. The theories reviewed w</w:t>
      </w:r>
      <w:r w:rsidR="001F4FAB">
        <w:t>ere</w:t>
      </w:r>
      <w:r w:rsidR="00731B00">
        <w:t xml:space="preserve"> the Social Exchange Theory</w:t>
      </w:r>
      <w:r w:rsidR="00810FC3">
        <w:t xml:space="preserve"> and the </w:t>
      </w:r>
      <w:r w:rsidR="00FE1980">
        <w:t xml:space="preserve">Rational </w:t>
      </w:r>
      <w:proofErr w:type="spellStart"/>
      <w:r w:rsidR="00FE1980">
        <w:t>Choicce</w:t>
      </w:r>
      <w:proofErr w:type="spellEnd"/>
      <w:r w:rsidR="00FE1980">
        <w:t xml:space="preserve"> </w:t>
      </w:r>
      <w:r w:rsidR="00810FC3">
        <w:t>Institutional Theory</w:t>
      </w:r>
      <w:r w:rsidR="001F4FAB">
        <w:t>,</w:t>
      </w:r>
      <w:r w:rsidR="00731B00">
        <w:t xml:space="preserve"> together with concepts such as participation, Arnstein</w:t>
      </w:r>
      <w:r w:rsidR="005309C9">
        <w:t>’s</w:t>
      </w:r>
      <w:r w:rsidR="00731B00">
        <w:t xml:space="preserve"> Ladder of </w:t>
      </w:r>
      <w:r w:rsidR="001849B5">
        <w:t>P</w:t>
      </w:r>
      <w:r w:rsidR="00731B00">
        <w:t xml:space="preserve">articipation, </w:t>
      </w:r>
      <w:proofErr w:type="spellStart"/>
      <w:r w:rsidR="00E077F6">
        <w:t>Gaventa’s</w:t>
      </w:r>
      <w:proofErr w:type="spellEnd"/>
      <w:r w:rsidR="00E077F6">
        <w:t xml:space="preserve"> (2006) power cube, sustainable forest management, criteria and indicators, </w:t>
      </w:r>
      <w:r w:rsidR="00731B00">
        <w:t xml:space="preserve">multi-stakeholder participation in natural management, </w:t>
      </w:r>
      <w:r w:rsidR="00C1742A">
        <w:t xml:space="preserve">concept of co-management, typologies of co-management, </w:t>
      </w:r>
      <w:proofErr w:type="spellStart"/>
      <w:r w:rsidR="00C1742A">
        <w:t>Tuangya</w:t>
      </w:r>
      <w:proofErr w:type="spellEnd"/>
      <w:r w:rsidR="00C1742A">
        <w:t xml:space="preserve"> system in Ghana, </w:t>
      </w:r>
      <w:r w:rsidR="001F4FAB">
        <w:t>critical</w:t>
      </w:r>
      <w:r w:rsidR="00731B00">
        <w:t xml:space="preserve"> actors in co-management, </w:t>
      </w:r>
      <w:r w:rsidR="005309C9">
        <w:t xml:space="preserve">the </w:t>
      </w:r>
      <w:r w:rsidR="00731B00">
        <w:t xml:space="preserve">entitlement of </w:t>
      </w:r>
      <w:r w:rsidR="001F4FAB">
        <w:t>crucial</w:t>
      </w:r>
      <w:r w:rsidR="00731B00">
        <w:t xml:space="preserve"> actors, </w:t>
      </w:r>
      <w:r w:rsidR="001849B5">
        <w:t>o</w:t>
      </w:r>
      <w:r w:rsidR="00D26593">
        <w:t xml:space="preserve">verview of </w:t>
      </w:r>
      <w:r w:rsidR="001849B5">
        <w:t>f</w:t>
      </w:r>
      <w:r w:rsidR="00D26593">
        <w:t xml:space="preserve">orest </w:t>
      </w:r>
      <w:r w:rsidR="001849B5">
        <w:t>p</w:t>
      </w:r>
      <w:r w:rsidR="00D26593">
        <w:t xml:space="preserve">olicies in Ghana and </w:t>
      </w:r>
      <w:r w:rsidR="00731B00">
        <w:t xml:space="preserve">challenges of forest </w:t>
      </w:r>
      <w:r w:rsidR="00810FC3">
        <w:t>C</w:t>
      </w:r>
      <w:r w:rsidR="00731B00">
        <w:t>o-man</w:t>
      </w:r>
      <w:r w:rsidR="005309C9">
        <w:t>a</w:t>
      </w:r>
      <w:r w:rsidR="00731B00">
        <w:t>gement</w:t>
      </w:r>
      <w:r w:rsidR="00D26593">
        <w:t>.</w:t>
      </w:r>
    </w:p>
    <w:p w14:paraId="2F0A2266" w14:textId="77777777" w:rsidR="00384D21" w:rsidRDefault="00384D21" w:rsidP="00772DAC">
      <w:pPr>
        <w:pStyle w:val="Heading2"/>
        <w:ind w:left="0"/>
        <w:rPr>
          <w:rFonts w:cs="Times New Roman"/>
          <w:szCs w:val="24"/>
        </w:rPr>
      </w:pPr>
      <w:bookmarkStart w:id="132" w:name="_Toc202197598"/>
      <w:r w:rsidRPr="00191A6B">
        <w:rPr>
          <w:rFonts w:cs="Times New Roman"/>
          <w:szCs w:val="24"/>
        </w:rPr>
        <w:t>Theor</w:t>
      </w:r>
      <w:r w:rsidR="00731B00">
        <w:rPr>
          <w:rFonts w:cs="Times New Roman"/>
          <w:szCs w:val="24"/>
        </w:rPr>
        <w:t xml:space="preserve">etical </w:t>
      </w:r>
      <w:r w:rsidR="00B25F2B">
        <w:rPr>
          <w:rFonts w:cs="Times New Roman"/>
          <w:szCs w:val="24"/>
        </w:rPr>
        <w:t>R</w:t>
      </w:r>
      <w:r w:rsidRPr="00191A6B">
        <w:rPr>
          <w:rFonts w:cs="Times New Roman"/>
          <w:szCs w:val="24"/>
        </w:rPr>
        <w:t>eview</w:t>
      </w:r>
      <w:bookmarkEnd w:id="132"/>
    </w:p>
    <w:p w14:paraId="32D65C9A" w14:textId="77777777" w:rsidR="002423BD" w:rsidRDefault="002423BD" w:rsidP="00772DAC">
      <w:pPr>
        <w:pStyle w:val="Heading2"/>
        <w:ind w:left="0"/>
      </w:pPr>
      <w:bookmarkStart w:id="133" w:name="_Toc202197599"/>
      <w:r>
        <w:t>Social exchange theory</w:t>
      </w:r>
      <w:bookmarkEnd w:id="133"/>
    </w:p>
    <w:p w14:paraId="64AB469A" w14:textId="77777777" w:rsidR="00986F38" w:rsidRDefault="007A0CDA" w:rsidP="007A0CDA">
      <w:pPr>
        <w:spacing w:after="0"/>
        <w:ind w:left="0" w:firstLine="0"/>
      </w:pPr>
      <w:r>
        <w:tab/>
      </w:r>
      <w:r w:rsidR="00986F38">
        <w:t xml:space="preserve">Social exchange theory is a broad conceptual arrangement </w:t>
      </w:r>
      <w:r w:rsidR="00123915">
        <w:t>incorporating</w:t>
      </w:r>
      <w:r w:rsidR="00986F38">
        <w:t xml:space="preserve"> </w:t>
      </w:r>
      <w:r w:rsidR="001F4FAB">
        <w:t>various</w:t>
      </w:r>
      <w:r w:rsidR="00986F38">
        <w:t xml:space="preserve"> social science disciplines</w:t>
      </w:r>
      <w:r w:rsidR="001F4FAB">
        <w:t>,</w:t>
      </w:r>
      <w:r w:rsidR="00986F38">
        <w:t xml:space="preserve"> such as management, social psychology, and anthropology. Despite its name, </w:t>
      </w:r>
      <w:proofErr w:type="spellStart"/>
      <w:r w:rsidR="00986F38">
        <w:t>Cropanzano</w:t>
      </w:r>
      <w:proofErr w:type="spellEnd"/>
      <w:r w:rsidR="00986F38">
        <w:t xml:space="preserve"> and Mitchell (2005) argue that it should be depicted as a set of conceptual models rather than a unitary theory. </w:t>
      </w:r>
      <w:r w:rsidR="00986F38">
        <w:lastRenderedPageBreak/>
        <w:t xml:space="preserve">Mitchell, </w:t>
      </w:r>
      <w:proofErr w:type="spellStart"/>
      <w:r w:rsidR="00986F38">
        <w:t>Cropanzano</w:t>
      </w:r>
      <w:proofErr w:type="spellEnd"/>
      <w:r w:rsidR="00986F38">
        <w:t xml:space="preserve">, and Quisenberry (2012) asserted that </w:t>
      </w:r>
      <w:r w:rsidR="001F4FAB">
        <w:t>‘</w:t>
      </w:r>
      <w:r w:rsidR="00986F38">
        <w:t xml:space="preserve">all social trade models share some essential </w:t>
      </w:r>
      <w:proofErr w:type="gramStart"/>
      <w:r w:rsidR="00986F38">
        <w:t>characteristics</w:t>
      </w:r>
      <w:r w:rsidR="001F4FAB">
        <w:t>’</w:t>
      </w:r>
      <w:proofErr w:type="gramEnd"/>
      <w:r w:rsidR="001F4FAB">
        <w:t>.</w:t>
      </w:r>
      <w:r w:rsidR="00986F38">
        <w:t xml:space="preserve"> </w:t>
      </w:r>
      <w:r w:rsidR="001F4FAB">
        <w:t>A</w:t>
      </w:r>
      <w:r w:rsidR="00986F38">
        <w:t>ll social exchange theories see social existence as a series of serial transactions involving people.</w:t>
      </w:r>
    </w:p>
    <w:p w14:paraId="19C066CD" w14:textId="591DCB8B" w:rsidR="00986F38" w:rsidRDefault="007A0CDA" w:rsidP="007A0CDA">
      <w:pPr>
        <w:spacing w:after="0"/>
        <w:ind w:left="0" w:firstLine="0"/>
      </w:pPr>
      <w:r>
        <w:tab/>
      </w:r>
      <w:r w:rsidR="001F4FAB">
        <w:t>According to Organ (1988), economic exchanges</w:t>
      </w:r>
      <w:r w:rsidR="00986F38">
        <w:t xml:space="preserve"> are likely to be reciprocal, with little trust and extra supervision, whereas social encounters are more open-ended, with greater trust and flexibility. Homans (1958) challenges Organ's stance on trust and flexibility, arguing that human connections are built through a subjective costing system and </w:t>
      </w:r>
      <w:r w:rsidR="001F4FAB">
        <w:t>evaluating</w:t>
      </w:r>
      <w:r>
        <w:t xml:space="preserve"> alternatives. </w:t>
      </w:r>
      <w:r w:rsidR="00986F38">
        <w:t>The theory's proponents include John Thibaut, Peter Blau, Harold Kelley, Richard Emerson and George Homans. Homans (1958) characteri</w:t>
      </w:r>
      <w:r w:rsidR="001F4FAB">
        <w:t>s</w:t>
      </w:r>
      <w:r w:rsidR="00986F38">
        <w:t>ed social exchange as the interchange of action between at least two persons, whether material or intangible, rewarding or expensive. Similarly, Blau (1964) defined social exchange as the voluntary behaviours of persons driven by the benefits they a</w:t>
      </w:r>
      <w:r w:rsidR="001F4FAB">
        <w:t>nticipate receiving</w:t>
      </w:r>
      <w:r w:rsidR="00986F38">
        <w:t xml:space="preserve"> from others. Homans and Blau both believe that a societal trade can occur only when the transaction offers some value, whether physical or intangible, once the expense of the trade has been established.</w:t>
      </w:r>
    </w:p>
    <w:p w14:paraId="05348CAF" w14:textId="77777777" w:rsidR="00986F38" w:rsidRDefault="007A0CDA" w:rsidP="001653C7">
      <w:pPr>
        <w:spacing w:after="0"/>
        <w:ind w:left="0" w:firstLine="0"/>
      </w:pPr>
      <w:r>
        <w:tab/>
      </w:r>
      <w:r w:rsidR="00986F38">
        <w:t xml:space="preserve">Gergen (1969) and </w:t>
      </w:r>
      <w:proofErr w:type="spellStart"/>
      <w:r w:rsidR="00986F38">
        <w:t>Gouldner</w:t>
      </w:r>
      <w:proofErr w:type="spellEnd"/>
      <w:r w:rsidR="00986F38">
        <w:t xml:space="preserve"> (1960) established that social exchange activities should be carried out via a procedure of reciprocity, in which one group aims to pay back the positive (or sometimes </w:t>
      </w:r>
      <w:r w:rsidR="001F4FAB">
        <w:t>evil</w:t>
      </w:r>
      <w:r w:rsidR="00986F38">
        <w:t>) deeds of another entity. Moreover, Blau (1964) expanded on the key elements of the interaction beyond interdependence to include shared responsibilities such as justice, rationality, norms, and conformity. Roe et al. (2009) agreed with Blau by highlighting the redistribution of entitlements and responsibilities through various institutional systems.</w:t>
      </w:r>
    </w:p>
    <w:p w14:paraId="4C05D09E" w14:textId="77777777" w:rsidR="00986F38" w:rsidRDefault="007A0CDA" w:rsidP="007A0CDA">
      <w:pPr>
        <w:spacing w:after="0"/>
        <w:ind w:left="0" w:firstLine="0"/>
      </w:pPr>
      <w:r>
        <w:lastRenderedPageBreak/>
        <w:tab/>
      </w:r>
      <w:proofErr w:type="spellStart"/>
      <w:r w:rsidR="00986F38">
        <w:t>Diawuo</w:t>
      </w:r>
      <w:proofErr w:type="spellEnd"/>
      <w:r w:rsidR="00986F38">
        <w:t xml:space="preserve"> and </w:t>
      </w:r>
      <w:proofErr w:type="spellStart"/>
      <w:r w:rsidR="00986F38">
        <w:t>Issifu</w:t>
      </w:r>
      <w:proofErr w:type="spellEnd"/>
      <w:r w:rsidR="00986F38">
        <w:t xml:space="preserve"> (2015) advocate the application of norms in interactions involving natural resource management, especially at the l</w:t>
      </w:r>
      <w:r w:rsidR="00DD2B3B">
        <w:t>ocal community level</w:t>
      </w:r>
      <w:r w:rsidR="00986F38">
        <w:t xml:space="preserve">. They argue that norms are </w:t>
      </w:r>
      <w:r w:rsidR="00DD2B3B">
        <w:t>essential</w:t>
      </w:r>
      <w:r w:rsidR="00986F38">
        <w:t xml:space="preserve"> because they ensure </w:t>
      </w:r>
      <w:r w:rsidR="00123915">
        <w:t>people follow the laws and regulations regulating</w:t>
      </w:r>
      <w:r w:rsidR="00986F38">
        <w:t xml:space="preserve"> resource use. Asante et al. (2017) concluded that forest supervisors, decision-makers, a</w:t>
      </w:r>
      <w:r w:rsidR="00DD2B3B">
        <w:t>nd</w:t>
      </w:r>
      <w:r w:rsidR="00986F38">
        <w:t xml:space="preserve"> the state needed to acknowledge diverse ethnic practices and belief systems as </w:t>
      </w:r>
      <w:r w:rsidR="00DD2B3B">
        <w:t>practical</w:t>
      </w:r>
      <w:r w:rsidR="00986F38">
        <w:t xml:space="preserve"> tools and incorporate them into current national and international forestry policies and strategies to avoid forest degradation.</w:t>
      </w:r>
    </w:p>
    <w:p w14:paraId="16211C56" w14:textId="1311914F" w:rsidR="00986F38" w:rsidRDefault="007A0CDA" w:rsidP="007A0CDA">
      <w:pPr>
        <w:spacing w:after="0"/>
        <w:ind w:left="0" w:firstLine="0"/>
      </w:pPr>
      <w:r>
        <w:tab/>
      </w:r>
      <w:r w:rsidR="00986F38" w:rsidRPr="00906D1B">
        <w:t xml:space="preserve">Moreover, </w:t>
      </w:r>
      <w:proofErr w:type="spellStart"/>
      <w:r w:rsidR="00986F38" w:rsidRPr="00906D1B">
        <w:t>Bandoh</w:t>
      </w:r>
      <w:proofErr w:type="spellEnd"/>
      <w:r w:rsidR="00986F38" w:rsidRPr="00906D1B">
        <w:t xml:space="preserve"> (2010) and Owusu-Ansah (2020) emphasi</w:t>
      </w:r>
      <w:r w:rsidR="00754050">
        <w:t>s</w:t>
      </w:r>
      <w:r w:rsidR="00986F38" w:rsidRPr="00906D1B">
        <w:t xml:space="preserve">ed that within Community Forest Management Areas, a system of regulations is established, and any resident found to be contravening the specified rules and regulations governing effective utilization and conservation of resources could face penalties </w:t>
      </w:r>
      <w:r w:rsidR="00986F38">
        <w:t>under</w:t>
      </w:r>
      <w:r w:rsidR="00986F38" w:rsidRPr="00906D1B">
        <w:t xml:space="preserve"> the established norms. In safeguarding forests, cultural practices such as taboo days were unveiled by Asante et al. (2017). As</w:t>
      </w:r>
      <w:r w:rsidR="008F368C">
        <w:t>ante et al. state that</w:t>
      </w:r>
      <w:r w:rsidR="00986F38" w:rsidRPr="00906D1B">
        <w:t xml:space="preserve"> certain days are designated when woodland deities traverse the forests</w:t>
      </w:r>
      <w:r w:rsidR="008A54C4">
        <w:t>. D</w:t>
      </w:r>
      <w:r w:rsidR="00986F38" w:rsidRPr="00906D1B">
        <w:t xml:space="preserve">uring these periods, the absence of human presence allows the forest ecosystem to rejuvenate from the strains of human activities. In alignment, </w:t>
      </w:r>
      <w:proofErr w:type="spellStart"/>
      <w:r w:rsidR="00986F38" w:rsidRPr="00906D1B">
        <w:t>Bandoh</w:t>
      </w:r>
      <w:proofErr w:type="spellEnd"/>
      <w:r w:rsidR="00986F38" w:rsidRPr="00906D1B">
        <w:t xml:space="preserve"> (2010) documented that adhering to these rules and regulations led to tangible rewards for members, alongside ecological benefits. This aligns with the principles of the Social Exchange Theory.</w:t>
      </w:r>
    </w:p>
    <w:p w14:paraId="0F48C80B" w14:textId="77777777" w:rsidR="00986F38" w:rsidRDefault="007A0CDA" w:rsidP="001653C7">
      <w:pPr>
        <w:spacing w:after="0"/>
        <w:ind w:left="0" w:firstLine="0"/>
      </w:pPr>
      <w:r>
        <w:tab/>
      </w:r>
      <w:r w:rsidR="00986F38">
        <w:t>The Social Exchange Theory is criti</w:t>
      </w:r>
      <w:r w:rsidR="008F368C">
        <w:t>qued</w:t>
      </w:r>
      <w:r w:rsidR="00986F38">
        <w:t xml:space="preserve"> because people's reward values differ. Ogu (2016) argues that this unpredictability makes determining reward values challenging. Measuring values and </w:t>
      </w:r>
      <w:r w:rsidR="008A54C4">
        <w:t>researching</w:t>
      </w:r>
      <w:r w:rsidR="00986F38">
        <w:t xml:space="preserve"> to support the notion is difficult since what is valuable to an individual may not be valuable to another. The values of rewards are up to interpretation. Furthermore, </w:t>
      </w:r>
      <w:r w:rsidR="008A54C4">
        <w:t>specific</w:t>
      </w:r>
      <w:r w:rsidR="00986F38">
        <w:t xml:space="preserve"> incentives </w:t>
      </w:r>
      <w:r w:rsidR="00986F38">
        <w:lastRenderedPageBreak/>
        <w:t>exist solely in symbolic or ethereal forms, adding to the difficulty of assessing them.</w:t>
      </w:r>
    </w:p>
    <w:p w14:paraId="762EF555" w14:textId="77777777" w:rsidR="00986F38" w:rsidRDefault="007A0CDA" w:rsidP="001653C7">
      <w:pPr>
        <w:spacing w:after="0"/>
        <w:ind w:left="0" w:firstLine="0"/>
      </w:pPr>
      <w:r>
        <w:tab/>
      </w:r>
      <w:r w:rsidR="00986F38">
        <w:t>Early social exchange theory has been criti</w:t>
      </w:r>
      <w:r w:rsidR="008F368C">
        <w:t>qued</w:t>
      </w:r>
      <w:r w:rsidR="00986F38">
        <w:t xml:space="preserve"> for simplifying human transactions; the theory is reductionist (reducing something to very few factors). According to Redmond (2015), describing human relationships only in terms of costs, incentives, profits, and trades exclude</w:t>
      </w:r>
      <w:r w:rsidR="00F92C8F">
        <w:t>s</w:t>
      </w:r>
      <w:r w:rsidR="00986F38">
        <w:t> many additional aspects that influence human interactions. Because of this simplification</w:t>
      </w:r>
      <w:r w:rsidR="004456BD">
        <w:t xml:space="preserve"> and</w:t>
      </w:r>
      <w:r w:rsidR="00986F38">
        <w:t xml:space="preserve"> worries regarding the theory's applicability to changing societal norms and structure, the theory is seen as lacking in its capacity to satisfy the theoretical aim of prediction.</w:t>
      </w:r>
    </w:p>
    <w:p w14:paraId="0286A595" w14:textId="77777777" w:rsidR="00986F38" w:rsidRDefault="007A0CDA" w:rsidP="007A0CDA">
      <w:pPr>
        <w:spacing w:after="0"/>
        <w:ind w:left="0" w:firstLine="0"/>
      </w:pPr>
      <w:r>
        <w:tab/>
      </w:r>
      <w:r w:rsidR="00986F38">
        <w:t>Despite the critique raised by Ogu (2016)</w:t>
      </w:r>
      <w:r w:rsidR="004456BD">
        <w:t>,</w:t>
      </w:r>
      <w:r w:rsidR="00986F38">
        <w:t xml:space="preserve"> it is </w:t>
      </w:r>
      <w:r w:rsidR="004456BD">
        <w:t>essential</w:t>
      </w:r>
      <w:r w:rsidR="00986F38">
        <w:t xml:space="preserve"> to acknowledge that while reward values may differ among individuals, the Social Exchange Theory does not assume universal agreement on what constitutes rewards. Instead, it recognizes that individuals have unique preferences and subjective evaluations of rewards. Blau (1964) explains that rewards are subjectively perceived and vary based on an individual's needs, desires, and goals. Therefore, the theory accounts for the inherent variability in reward values and emphasi</w:t>
      </w:r>
      <w:r w:rsidR="008F368C">
        <w:t>s</w:t>
      </w:r>
      <w:r w:rsidR="00986F38">
        <w:t>es the subjective interpretation of rewards within specific relationships.</w:t>
      </w:r>
    </w:p>
    <w:p w14:paraId="028B0798" w14:textId="6EC4E389" w:rsidR="00986F38" w:rsidRDefault="007A0CDA" w:rsidP="00772DAC">
      <w:pPr>
        <w:ind w:left="0" w:firstLine="0"/>
      </w:pPr>
      <w:r>
        <w:tab/>
      </w:r>
      <w:r w:rsidR="00986F38">
        <w:t>In response to Redmond’s (2015) critique of the Social Exchange Theory, studies by Penner</w:t>
      </w:r>
      <w:r w:rsidR="007450EA">
        <w:t xml:space="preserve"> et al.</w:t>
      </w:r>
      <w:r w:rsidR="00986F38">
        <w:t xml:space="preserve"> (2005) demonstrated that individuals can be motivated to engage in acts of kindness and assistance towards others, even in the absence of direct benefits. Factors such as empathy, moral values, and a desire to contribute to the welfare of others can serve as motivators for prosocial behaviour. </w:t>
      </w:r>
    </w:p>
    <w:p w14:paraId="2AAF0A1F" w14:textId="310A28A5" w:rsidR="00986F38" w:rsidRDefault="007A0CDA" w:rsidP="00126EF5">
      <w:pPr>
        <w:spacing w:after="0"/>
        <w:ind w:left="0" w:firstLine="0"/>
      </w:pPr>
      <w:r>
        <w:lastRenderedPageBreak/>
        <w:tab/>
      </w:r>
      <w:r w:rsidR="00986F38" w:rsidRPr="00906D1B">
        <w:t>However, Social Psychologist Gergen (19</w:t>
      </w:r>
      <w:r w:rsidR="00A35D5A">
        <w:t>78</w:t>
      </w:r>
      <w:r w:rsidR="00986F38" w:rsidRPr="00906D1B">
        <w:t>) concluded a summary of social exchange theory by acknowledging its use across a wide range of social occurrences (scope) and its effectiveness in shaping personal encounters and enhancing social awareness. It proves especially valuable in elucidating connections among exceptionally varied phenomena.</w:t>
      </w:r>
      <w:r w:rsidR="00986F38">
        <w:t xml:space="preserve"> Roe et al. (2009) maintained that </w:t>
      </w:r>
      <w:r w:rsidR="008F368C">
        <w:t>sharing</w:t>
      </w:r>
      <w:r w:rsidR="00986F38">
        <w:t xml:space="preserve"> rights and obligations usually occurs through various institutional structures. </w:t>
      </w:r>
      <w:r w:rsidR="00766A71">
        <w:t>Nevertheless,</w:t>
      </w:r>
      <w:r w:rsidR="00986F38">
        <w:t xml:space="preserve"> the Social Exchange Theory does not prescribe how these institutions shape the decision-making process or sharing of these rights and obligations of the actors</w:t>
      </w:r>
      <w:r w:rsidR="008F368C">
        <w:t>. H</w:t>
      </w:r>
      <w:r w:rsidR="00986F38">
        <w:t>ence</w:t>
      </w:r>
      <w:r w:rsidR="00766A71">
        <w:t>,</w:t>
      </w:r>
      <w:r w:rsidR="00986F38">
        <w:t xml:space="preserve"> the study will be augmented by the Institutional Theory.</w:t>
      </w:r>
    </w:p>
    <w:p w14:paraId="1823FEB5" w14:textId="77777777" w:rsidR="003416A6" w:rsidRDefault="003416A6" w:rsidP="00772DAC">
      <w:pPr>
        <w:pStyle w:val="Heading2"/>
        <w:ind w:left="0"/>
      </w:pPr>
      <w:bookmarkStart w:id="134" w:name="_Toc202197600"/>
      <w:r>
        <w:t>Institutional Theory</w:t>
      </w:r>
      <w:bookmarkEnd w:id="134"/>
      <w:r>
        <w:t xml:space="preserve"> </w:t>
      </w:r>
    </w:p>
    <w:p w14:paraId="4699ADA9" w14:textId="77777777" w:rsidR="002F6534" w:rsidRDefault="007A0CDA" w:rsidP="004E5FE3">
      <w:pPr>
        <w:spacing w:after="0"/>
        <w:ind w:left="0" w:firstLine="0"/>
      </w:pPr>
      <w:r>
        <w:rPr>
          <w:rStyle w:val="markedcontent"/>
          <w:rFonts w:cs="Times New Roman"/>
        </w:rPr>
        <w:tab/>
      </w:r>
      <w:r w:rsidR="00986F38">
        <w:rPr>
          <w:rStyle w:val="markedcontent"/>
          <w:rFonts w:cs="Times New Roman"/>
        </w:rPr>
        <w:t>Greenwood et al. (2008) define Institutionalism as complex, including numerous disciplines such as economics, sociology, political science, history, and ecology. Furthermore, Institutionalism is complicated since it is separated into two schools: ol</w:t>
      </w:r>
      <w:r>
        <w:rPr>
          <w:rStyle w:val="markedcontent"/>
          <w:rFonts w:cs="Times New Roman"/>
        </w:rPr>
        <w:t xml:space="preserve">d and modern Institutionalism. </w:t>
      </w:r>
      <w:r w:rsidR="00986F38">
        <w:t xml:space="preserve">From a theoretical standpoint, institutionalism has developed, giving rise to </w:t>
      </w:r>
      <w:r w:rsidR="00766A71">
        <w:t xml:space="preserve">old and modern </w:t>
      </w:r>
      <w:r w:rsidR="00E807B3">
        <w:t>varieties of institutionalism</w:t>
      </w:r>
      <w:r w:rsidR="00986F38">
        <w:t xml:space="preserve">. The term "old institutionalism," often known as "old institutional economics," first appeared in the late nineteenth and early twentieth century. Its primary goal was to investigate the formal principles and structures that affect economic behaviour. </w:t>
      </w:r>
    </w:p>
    <w:p w14:paraId="37EF2179" w14:textId="06174AB5" w:rsidR="00986F38" w:rsidRPr="007A0CDA" w:rsidRDefault="00986F38" w:rsidP="002F6534">
      <w:pPr>
        <w:spacing w:after="0"/>
        <w:ind w:left="0"/>
        <w:rPr>
          <w:rFonts w:cs="Times New Roman"/>
        </w:rPr>
      </w:pPr>
      <w:r>
        <w:t xml:space="preserve">The relevance of legal frameworks, property rights, and market institutions in interpreting economic results was highlighted by old institutionalism (North, 1990). Thorstein Veblen, John R. Commons, and John Kenneth Galbraith are among the </w:t>
      </w:r>
      <w:r w:rsidR="00766A71">
        <w:t>critical</w:t>
      </w:r>
      <w:r>
        <w:t xml:space="preserve"> scholars connected with old </w:t>
      </w:r>
      <w:r>
        <w:lastRenderedPageBreak/>
        <w:t>institutionalism. Economic, legal, and political institutionalism are the branches of old institutionalism.</w:t>
      </w:r>
    </w:p>
    <w:p w14:paraId="6BE3EFE1" w14:textId="77777777" w:rsidR="00986F38" w:rsidRDefault="007A0CDA" w:rsidP="007A0CDA">
      <w:pPr>
        <w:spacing w:after="0"/>
        <w:ind w:left="0" w:firstLine="0"/>
      </w:pPr>
      <w:r>
        <w:tab/>
      </w:r>
      <w:r w:rsidR="00986F38">
        <w:t>The function of economic institutions and formal laws in determining social and economic behaviour is the subject of economic institutionalism (Veblen, 1899). Legal institutionalism emphasises the role of legal systems and formal rules in shaping social and economic behaviour (Commons, 1934)</w:t>
      </w:r>
      <w:r w:rsidR="00766A71">
        <w:t>. In contrast,</w:t>
      </w:r>
      <w:r w:rsidR="00986F38">
        <w:t xml:space="preserve"> political institutionalism emphasises the role of political institutions, such as government structures and political systems, in shaping political behaviour and outcomes (Commons, 1934</w:t>
      </w:r>
      <w:r w:rsidR="00766A71">
        <w:t>;</w:t>
      </w:r>
      <w:r w:rsidR="00E807B3">
        <w:t xml:space="preserve"> </w:t>
      </w:r>
      <w:r w:rsidR="00986F38">
        <w:t>North, 1990).</w:t>
      </w:r>
    </w:p>
    <w:p w14:paraId="22766B2C" w14:textId="77777777" w:rsidR="00986F38" w:rsidRDefault="007A0CDA" w:rsidP="007A0CDA">
      <w:pPr>
        <w:spacing w:after="0"/>
        <w:ind w:left="0" w:firstLine="0"/>
      </w:pPr>
      <w:r>
        <w:tab/>
      </w:r>
      <w:r w:rsidR="00986F38">
        <w:t>In contrast, modern types of institutionalism evolved in the second half of the twentieth century and are still evolving today. Modern institutionalism broadened the area of investigation beyond formal economic institutions, recognising the impact of informal rules, cultural norms, and historical circumstances on social and organisational behaviour. Institutions are viewed as social structures that influence and affect human behaviour (Scott, 2014). Sociological institutionalism, historical institutionalism, and rational choice institutionalism are all subfields of modern institutionalism. Douglass C. North, John W. Meyer, and Paul J. DiMaggio are prominent scholars linked with contemporary institutionalism.</w:t>
      </w:r>
    </w:p>
    <w:p w14:paraId="33FA4822" w14:textId="77777777" w:rsidR="00986F38" w:rsidRDefault="007A0CDA" w:rsidP="001653C7">
      <w:pPr>
        <w:spacing w:after="0"/>
        <w:ind w:left="0" w:firstLine="0"/>
      </w:pPr>
      <w:r>
        <w:tab/>
      </w:r>
      <w:r w:rsidR="00986F38">
        <w:t>Historical institutionalism emphasises the importance of historical processes and path dependency in shaping institutions and their persistence across time (Mahoney &amp; Thelen, 2010).  The effect of social norms, cultural values, and informal institutions on individual and group behaviour is investigated in sociological institutionalism (</w:t>
      </w:r>
      <w:r w:rsidR="00766A71">
        <w:t xml:space="preserve">Durkheim, 1895; </w:t>
      </w:r>
      <w:r w:rsidR="00986F38">
        <w:t>Weber, 1904)</w:t>
      </w:r>
      <w:r w:rsidR="00766A71">
        <w:t xml:space="preserve">, </w:t>
      </w:r>
      <w:r w:rsidR="00986F38">
        <w:t xml:space="preserve">while rational choice institutionalism integrates rational choice theory ideas </w:t>
      </w:r>
      <w:r w:rsidR="00986F38">
        <w:lastRenderedPageBreak/>
        <w:t>with institutionalism. It investigates how rational choices are made by individuals motivated by self-interest within institutional systems (Ostrom, 2005)</w:t>
      </w:r>
      <w:r w:rsidR="00766A71">
        <w:t>.</w:t>
      </w:r>
    </w:p>
    <w:p w14:paraId="23AE0F54" w14:textId="77777777" w:rsidR="00986F38" w:rsidRDefault="007A0CDA" w:rsidP="00772DAC">
      <w:pPr>
        <w:autoSpaceDE w:val="0"/>
        <w:autoSpaceDN w:val="0"/>
        <w:adjustRightInd w:val="0"/>
        <w:spacing w:after="0"/>
        <w:ind w:left="0" w:firstLine="0"/>
      </w:pPr>
      <w:r>
        <w:tab/>
      </w:r>
      <w:r w:rsidR="00986F38" w:rsidRPr="0079768A">
        <w:t>Peters (2000) contends that the fundamental principle of Rational Choice Institutionalism cent</w:t>
      </w:r>
      <w:r w:rsidR="00F92C8F">
        <w:t>re</w:t>
      </w:r>
      <w:r w:rsidR="00986F38" w:rsidRPr="0079768A">
        <w:t xml:space="preserve">s on the idea that entities function within frameworks of regulations and incentives. Affiliates of these institutions respond based on these foundational elements of the institutional setup. In contrast to Normative Institutionalism, the individuals within these structures are not swayed by their involvement in the institution </w:t>
      </w:r>
      <w:r w:rsidR="00766A71">
        <w:t>regarding</w:t>
      </w:r>
      <w:r w:rsidR="00986F38" w:rsidRPr="0079768A">
        <w:t xml:space="preserve"> their preferences. </w:t>
      </w:r>
      <w:r w:rsidR="00766A71">
        <w:t>Instead</w:t>
      </w:r>
      <w:r w:rsidR="00986F38" w:rsidRPr="0079768A">
        <w:t>, those who interact with institutions maintain their own organi</w:t>
      </w:r>
      <w:r w:rsidR="00EB491D">
        <w:t>s</w:t>
      </w:r>
      <w:r w:rsidR="00986F38" w:rsidRPr="0079768A">
        <w:t>ed sets of preferences that remain mostly uninfluenced by any participation in the institutional context.</w:t>
      </w:r>
    </w:p>
    <w:p w14:paraId="678ECE39" w14:textId="60B8F87B" w:rsidR="00986F38" w:rsidRPr="00A530E2" w:rsidRDefault="007A0CDA" w:rsidP="00772DAC">
      <w:pPr>
        <w:autoSpaceDE w:val="0"/>
        <w:autoSpaceDN w:val="0"/>
        <w:adjustRightInd w:val="0"/>
        <w:spacing w:after="0"/>
        <w:ind w:left="0" w:firstLine="0"/>
        <w:rPr>
          <w:rFonts w:cs="Times New Roman"/>
          <w:szCs w:val="24"/>
        </w:rPr>
      </w:pPr>
      <w:r>
        <w:rPr>
          <w:rFonts w:cs="Times New Roman"/>
          <w:szCs w:val="24"/>
        </w:rPr>
        <w:tab/>
      </w:r>
      <w:r w:rsidR="00986F38" w:rsidRPr="00A530E2">
        <w:rPr>
          <w:rFonts w:cs="Times New Roman"/>
          <w:szCs w:val="24"/>
        </w:rPr>
        <w:t xml:space="preserve">Rational </w:t>
      </w:r>
      <w:r w:rsidR="00986F38">
        <w:rPr>
          <w:rFonts w:cs="Times New Roman"/>
          <w:szCs w:val="24"/>
        </w:rPr>
        <w:t>C</w:t>
      </w:r>
      <w:r w:rsidR="00986F38" w:rsidRPr="00A530E2">
        <w:rPr>
          <w:rFonts w:cs="Times New Roman"/>
          <w:szCs w:val="24"/>
        </w:rPr>
        <w:t xml:space="preserve">hoice </w:t>
      </w:r>
      <w:r w:rsidR="00986F38">
        <w:rPr>
          <w:rFonts w:cs="Times New Roman"/>
          <w:szCs w:val="24"/>
        </w:rPr>
        <w:t>I</w:t>
      </w:r>
      <w:r w:rsidR="00986F38" w:rsidRPr="00A530E2">
        <w:rPr>
          <w:rFonts w:cs="Times New Roman"/>
          <w:szCs w:val="24"/>
        </w:rPr>
        <w:t>nstitutionalism</w:t>
      </w:r>
      <w:r w:rsidR="00766A71">
        <w:rPr>
          <w:rFonts w:cs="Times New Roman"/>
          <w:szCs w:val="24"/>
        </w:rPr>
        <w:t xml:space="preserve">, in the writing of </w:t>
      </w:r>
      <w:proofErr w:type="spellStart"/>
      <w:r w:rsidR="00766A71">
        <w:rPr>
          <w:rFonts w:cs="Times New Roman"/>
          <w:szCs w:val="24"/>
        </w:rPr>
        <w:t>Shepsle</w:t>
      </w:r>
      <w:proofErr w:type="spellEnd"/>
      <w:r w:rsidR="00766A71">
        <w:rPr>
          <w:rFonts w:cs="Times New Roman"/>
          <w:szCs w:val="24"/>
        </w:rPr>
        <w:t xml:space="preserve"> (1989), analyses political concepts using</w:t>
      </w:r>
      <w:r w:rsidR="00986F38">
        <w:rPr>
          <w:rFonts w:cs="Times New Roman"/>
          <w:szCs w:val="24"/>
        </w:rPr>
        <w:t xml:space="preserve"> a specific approach.</w:t>
      </w:r>
      <w:r w:rsidR="00986F38" w:rsidRPr="00A530E2">
        <w:rPr>
          <w:rFonts w:cs="Times New Roman"/>
          <w:szCs w:val="24"/>
        </w:rPr>
        <w:t xml:space="preserve"> </w:t>
      </w:r>
      <w:r w:rsidR="00986F38">
        <w:rPr>
          <w:rFonts w:cs="Times New Roman"/>
          <w:szCs w:val="24"/>
        </w:rPr>
        <w:t xml:space="preserve">It employs the constructs created by the organization's new economy. In the same context, </w:t>
      </w:r>
      <w:r w:rsidR="00986F38" w:rsidRPr="00A530E2">
        <w:rPr>
          <w:rFonts w:cs="Times New Roman"/>
          <w:szCs w:val="24"/>
        </w:rPr>
        <w:t xml:space="preserve">Williamson </w:t>
      </w:r>
      <w:r w:rsidR="00986F38">
        <w:rPr>
          <w:rFonts w:cs="Times New Roman"/>
          <w:szCs w:val="24"/>
        </w:rPr>
        <w:t>(</w:t>
      </w:r>
      <w:r w:rsidR="00986F38" w:rsidRPr="00A530E2">
        <w:rPr>
          <w:rFonts w:cs="Times New Roman"/>
          <w:szCs w:val="24"/>
        </w:rPr>
        <w:t>1975</w:t>
      </w:r>
      <w:r w:rsidR="00986F38">
        <w:rPr>
          <w:rFonts w:cs="Times New Roman"/>
          <w:szCs w:val="24"/>
        </w:rPr>
        <w:t xml:space="preserve">) explains that </w:t>
      </w:r>
      <w:r w:rsidR="00986F38" w:rsidRPr="00A530E2">
        <w:rPr>
          <w:rFonts w:cs="Times New Roman"/>
          <w:szCs w:val="24"/>
        </w:rPr>
        <w:t xml:space="preserve">Rational </w:t>
      </w:r>
      <w:r w:rsidR="00986F38">
        <w:rPr>
          <w:rFonts w:cs="Times New Roman"/>
          <w:szCs w:val="24"/>
        </w:rPr>
        <w:t>C</w:t>
      </w:r>
      <w:r w:rsidR="00986F38" w:rsidRPr="00A530E2">
        <w:rPr>
          <w:rFonts w:cs="Times New Roman"/>
          <w:szCs w:val="24"/>
        </w:rPr>
        <w:t xml:space="preserve">hoice </w:t>
      </w:r>
      <w:r w:rsidR="00986F38">
        <w:rPr>
          <w:rFonts w:cs="Times New Roman"/>
          <w:szCs w:val="24"/>
        </w:rPr>
        <w:t>I</w:t>
      </w:r>
      <w:r w:rsidR="00986F38" w:rsidRPr="00A530E2">
        <w:rPr>
          <w:rFonts w:cs="Times New Roman"/>
          <w:szCs w:val="24"/>
        </w:rPr>
        <w:t>nstitutionalism stresses the importance of handling transaction costs when collective action is needed</w:t>
      </w:r>
      <w:r w:rsidR="00986F38">
        <w:rPr>
          <w:rFonts w:cs="Times New Roman"/>
          <w:szCs w:val="24"/>
        </w:rPr>
        <w:t xml:space="preserve">. </w:t>
      </w:r>
      <w:r w:rsidR="00986F38" w:rsidRPr="00A530E2">
        <w:rPr>
          <w:rFonts w:cs="Times New Roman"/>
          <w:szCs w:val="24"/>
        </w:rPr>
        <w:t>Institutions generate equilibria</w:t>
      </w:r>
      <w:r>
        <w:rPr>
          <w:rFonts w:cs="Times New Roman"/>
          <w:szCs w:val="24"/>
        </w:rPr>
        <w:t xml:space="preserve">. </w:t>
      </w:r>
      <w:r w:rsidR="00986F38" w:rsidRPr="00A530E2">
        <w:rPr>
          <w:rFonts w:cs="Times New Roman"/>
          <w:szCs w:val="24"/>
        </w:rPr>
        <w:t xml:space="preserve">At least three different versions exist </w:t>
      </w:r>
      <w:r w:rsidR="00986F38">
        <w:rPr>
          <w:rFonts w:cs="Times New Roman"/>
          <w:szCs w:val="24"/>
        </w:rPr>
        <w:t>within</w:t>
      </w:r>
      <w:r w:rsidR="00986F38" w:rsidRPr="00A530E2">
        <w:rPr>
          <w:rFonts w:cs="Times New Roman"/>
          <w:szCs w:val="24"/>
        </w:rPr>
        <w:t xml:space="preserve"> the rational choice</w:t>
      </w:r>
      <w:r w:rsidR="00986F38">
        <w:rPr>
          <w:rFonts w:cs="Times New Roman"/>
          <w:szCs w:val="24"/>
        </w:rPr>
        <w:t>-</w:t>
      </w:r>
      <w:r w:rsidR="00986F38" w:rsidRPr="00A530E2">
        <w:rPr>
          <w:rFonts w:cs="Times New Roman"/>
          <w:szCs w:val="24"/>
        </w:rPr>
        <w:t xml:space="preserve">inspired </w:t>
      </w:r>
      <w:r w:rsidR="00986F38">
        <w:rPr>
          <w:rFonts w:cs="Times New Roman"/>
          <w:szCs w:val="24"/>
        </w:rPr>
        <w:t>N</w:t>
      </w:r>
      <w:r w:rsidR="00986F38" w:rsidRPr="00A530E2">
        <w:rPr>
          <w:rFonts w:cs="Times New Roman"/>
          <w:szCs w:val="24"/>
        </w:rPr>
        <w:t xml:space="preserve">ew </w:t>
      </w:r>
      <w:r w:rsidR="00986F38">
        <w:rPr>
          <w:rFonts w:cs="Times New Roman"/>
          <w:szCs w:val="24"/>
        </w:rPr>
        <w:t>I</w:t>
      </w:r>
      <w:r w:rsidR="00986F38" w:rsidRPr="00A530E2">
        <w:rPr>
          <w:rFonts w:cs="Times New Roman"/>
          <w:szCs w:val="24"/>
        </w:rPr>
        <w:t>nstitutionalism.</w:t>
      </w:r>
    </w:p>
    <w:p w14:paraId="6C8A5033" w14:textId="40C0FCC7" w:rsidR="00986F38" w:rsidRPr="00A530E2" w:rsidRDefault="007A0CDA" w:rsidP="00772DAC">
      <w:pPr>
        <w:autoSpaceDE w:val="0"/>
        <w:autoSpaceDN w:val="0"/>
        <w:adjustRightInd w:val="0"/>
        <w:spacing w:after="0"/>
        <w:ind w:left="0" w:firstLine="0"/>
        <w:rPr>
          <w:rFonts w:cs="Times New Roman"/>
          <w:szCs w:val="24"/>
        </w:rPr>
      </w:pPr>
      <w:r>
        <w:rPr>
          <w:rFonts w:cs="Times New Roman"/>
          <w:szCs w:val="24"/>
        </w:rPr>
        <w:tab/>
      </w:r>
      <w:r w:rsidR="00986F38">
        <w:rPr>
          <w:rFonts w:cs="Times New Roman"/>
          <w:szCs w:val="24"/>
        </w:rPr>
        <w:t xml:space="preserve">The first version focuses on the Agency or Principal-Agent paradigm. According to Downs and Niskanen (1971), the </w:t>
      </w:r>
      <w:proofErr w:type="gramStart"/>
      <w:r w:rsidR="00986F38">
        <w:rPr>
          <w:rFonts w:cs="Times New Roman"/>
          <w:szCs w:val="24"/>
        </w:rPr>
        <w:t>Principal</w:t>
      </w:r>
      <w:proofErr w:type="gramEnd"/>
      <w:r w:rsidR="00986F38">
        <w:rPr>
          <w:rFonts w:cs="Times New Roman"/>
          <w:szCs w:val="24"/>
        </w:rPr>
        <w:t xml:space="preserve">-Agent model tackles the regulation of bureaucrats by elected politicians by introducing </w:t>
      </w:r>
      <w:proofErr w:type="gramStart"/>
      <w:r w:rsidR="00986F38">
        <w:rPr>
          <w:rFonts w:cs="Times New Roman"/>
          <w:szCs w:val="24"/>
        </w:rPr>
        <w:t>particular rewards</w:t>
      </w:r>
      <w:proofErr w:type="gramEnd"/>
      <w:r w:rsidR="00986F38">
        <w:rPr>
          <w:rFonts w:cs="Times New Roman"/>
          <w:szCs w:val="24"/>
        </w:rPr>
        <w:t xml:space="preserve"> and penalties based on bilateral agreements to promote compliance. Boston (1991)</w:t>
      </w:r>
      <w:r w:rsidR="000A2BF7">
        <w:rPr>
          <w:rFonts w:cs="Times New Roman"/>
          <w:szCs w:val="24"/>
        </w:rPr>
        <w:t xml:space="preserve"> noted that</w:t>
      </w:r>
      <w:r w:rsidR="00986F38">
        <w:rPr>
          <w:rFonts w:cs="Times New Roman"/>
          <w:szCs w:val="24"/>
        </w:rPr>
        <w:t xml:space="preserve"> such a method has been </w:t>
      </w:r>
      <w:proofErr w:type="gramStart"/>
      <w:r w:rsidR="00986F38">
        <w:rPr>
          <w:rFonts w:cs="Times New Roman"/>
          <w:szCs w:val="24"/>
        </w:rPr>
        <w:t>applied in reality</w:t>
      </w:r>
      <w:proofErr w:type="gramEnd"/>
      <w:r w:rsidR="00986F38">
        <w:rPr>
          <w:rFonts w:cs="Times New Roman"/>
          <w:szCs w:val="24"/>
        </w:rPr>
        <w:t>. New Zealand's public sector institutions have been reformed along these lines.</w:t>
      </w:r>
    </w:p>
    <w:p w14:paraId="11339929" w14:textId="77777777" w:rsidR="00986F38" w:rsidRPr="00A530E2" w:rsidRDefault="007A0CDA" w:rsidP="00772DAC">
      <w:pPr>
        <w:autoSpaceDE w:val="0"/>
        <w:autoSpaceDN w:val="0"/>
        <w:adjustRightInd w:val="0"/>
        <w:spacing w:after="0"/>
        <w:ind w:left="0" w:firstLine="0"/>
        <w:rPr>
          <w:rFonts w:cs="Times New Roman"/>
          <w:szCs w:val="24"/>
        </w:rPr>
      </w:pPr>
      <w:r>
        <w:rPr>
          <w:rFonts w:cs="Times New Roman"/>
          <w:szCs w:val="24"/>
        </w:rPr>
        <w:lastRenderedPageBreak/>
        <w:tab/>
      </w:r>
      <w:r w:rsidR="00986F38">
        <w:rPr>
          <w:rFonts w:cs="Times New Roman"/>
          <w:szCs w:val="24"/>
        </w:rPr>
        <w:t xml:space="preserve">The Game theory is the second form of Rational Choice Institutionalism. Calvert (1995) defines game theory as another collection of decision models regarding different forms of organisations. Again, the rationale assumes that two or more actors behave in a free or unstructured situation and are engaged in a game in an interdependent relationship centred on some common task or problem. This model implies that each of them seeks to maximise its benefit in such a situation, but none of the participants can foresee the actions of the partner-opponent.   According to </w:t>
      </w:r>
      <w:proofErr w:type="spellStart"/>
      <w:r w:rsidR="00986F38">
        <w:rPr>
          <w:rFonts w:cs="Times New Roman"/>
          <w:szCs w:val="24"/>
        </w:rPr>
        <w:t>Wildavsky</w:t>
      </w:r>
      <w:proofErr w:type="spellEnd"/>
      <w:r w:rsidR="00986F38">
        <w:rPr>
          <w:rFonts w:cs="Times New Roman"/>
          <w:szCs w:val="24"/>
        </w:rPr>
        <w:t xml:space="preserve"> (1992), formal game theory provides several possibilities for institutional structures that may meet such preconditions: connecting rivals who are both interdependent and selfish.</w:t>
      </w:r>
    </w:p>
    <w:p w14:paraId="03876B47" w14:textId="77777777" w:rsidR="00986F38" w:rsidRPr="00A530E2" w:rsidRDefault="007A0CDA" w:rsidP="00772DAC">
      <w:pPr>
        <w:autoSpaceDE w:val="0"/>
        <w:autoSpaceDN w:val="0"/>
        <w:adjustRightInd w:val="0"/>
        <w:spacing w:after="0"/>
        <w:ind w:left="0" w:firstLine="0"/>
        <w:rPr>
          <w:rFonts w:cs="Times New Roman"/>
          <w:szCs w:val="24"/>
        </w:rPr>
      </w:pPr>
      <w:r>
        <w:rPr>
          <w:rFonts w:cs="Times New Roman"/>
          <w:szCs w:val="24"/>
        </w:rPr>
        <w:tab/>
      </w:r>
      <w:r w:rsidR="00986F38">
        <w:rPr>
          <w:rFonts w:cs="Times New Roman"/>
          <w:szCs w:val="24"/>
        </w:rPr>
        <w:t xml:space="preserve">The </w:t>
      </w:r>
      <w:r w:rsidR="00766A71">
        <w:rPr>
          <w:rFonts w:cs="Times New Roman"/>
          <w:szCs w:val="24"/>
        </w:rPr>
        <w:t>study focuses on</w:t>
      </w:r>
      <w:r w:rsidR="00986F38">
        <w:rPr>
          <w:rFonts w:cs="Times New Roman"/>
          <w:szCs w:val="24"/>
        </w:rPr>
        <w:t xml:space="preserve"> the </w:t>
      </w:r>
      <w:r w:rsidR="00986F38" w:rsidRPr="00A530E2">
        <w:rPr>
          <w:rFonts w:cs="Times New Roman"/>
          <w:szCs w:val="24"/>
        </w:rPr>
        <w:t xml:space="preserve">third version of </w:t>
      </w:r>
      <w:r w:rsidR="00986F38">
        <w:rPr>
          <w:rFonts w:cs="Times New Roman"/>
          <w:szCs w:val="24"/>
        </w:rPr>
        <w:t>R</w:t>
      </w:r>
      <w:r w:rsidR="00986F38" w:rsidRPr="00A530E2">
        <w:rPr>
          <w:rFonts w:cs="Times New Roman"/>
          <w:szCs w:val="24"/>
        </w:rPr>
        <w:t xml:space="preserve">ational </w:t>
      </w:r>
      <w:r w:rsidR="00986F38">
        <w:rPr>
          <w:rFonts w:cs="Times New Roman"/>
          <w:szCs w:val="24"/>
        </w:rPr>
        <w:t>C</w:t>
      </w:r>
      <w:r w:rsidR="00986F38" w:rsidRPr="00A530E2">
        <w:rPr>
          <w:rFonts w:cs="Times New Roman"/>
          <w:szCs w:val="24"/>
        </w:rPr>
        <w:t xml:space="preserve">hoice </w:t>
      </w:r>
      <w:r w:rsidR="00986F38">
        <w:rPr>
          <w:rFonts w:cs="Times New Roman"/>
          <w:szCs w:val="24"/>
        </w:rPr>
        <w:t>I</w:t>
      </w:r>
      <w:r w:rsidR="00986F38" w:rsidRPr="00A530E2">
        <w:rPr>
          <w:rFonts w:cs="Times New Roman"/>
          <w:szCs w:val="24"/>
        </w:rPr>
        <w:t>nstitutionalism</w:t>
      </w:r>
      <w:r w:rsidR="00986F38">
        <w:rPr>
          <w:rFonts w:cs="Times New Roman"/>
          <w:szCs w:val="24"/>
        </w:rPr>
        <w:t xml:space="preserve"> (RCIT). </w:t>
      </w:r>
      <w:r w:rsidR="00986F38" w:rsidRPr="00A530E2">
        <w:rPr>
          <w:rFonts w:cs="Times New Roman"/>
          <w:szCs w:val="24"/>
        </w:rPr>
        <w:t xml:space="preserve"> </w:t>
      </w:r>
      <w:r w:rsidR="00766A71">
        <w:rPr>
          <w:rFonts w:cs="Times New Roman"/>
          <w:szCs w:val="24"/>
        </w:rPr>
        <w:t>According to Ostrom (1990), institutions</w:t>
      </w:r>
      <w:r w:rsidR="00986F38">
        <w:rPr>
          <w:rFonts w:cs="Times New Roman"/>
          <w:szCs w:val="24"/>
        </w:rPr>
        <w:t xml:space="preserve"> </w:t>
      </w:r>
      <w:r w:rsidR="00F722BE">
        <w:rPr>
          <w:rFonts w:cs="Times New Roman"/>
          <w:szCs w:val="24"/>
        </w:rPr>
        <w:t>supply</w:t>
      </w:r>
      <w:r w:rsidR="00986F38">
        <w:rPr>
          <w:rFonts w:cs="Times New Roman"/>
          <w:szCs w:val="24"/>
        </w:rPr>
        <w:t xml:space="preserve"> rules for decision</w:t>
      </w:r>
      <w:r w:rsidR="00F722BE">
        <w:rPr>
          <w:rFonts w:cs="Times New Roman"/>
          <w:szCs w:val="24"/>
        </w:rPr>
        <w:t>s</w:t>
      </w:r>
      <w:r w:rsidR="00986F38">
        <w:rPr>
          <w:rFonts w:cs="Times New Roman"/>
          <w:szCs w:val="24"/>
        </w:rPr>
        <w:t xml:space="preserve"> and action</w:t>
      </w:r>
      <w:r w:rsidR="00F722BE">
        <w:rPr>
          <w:rFonts w:cs="Times New Roman"/>
          <w:szCs w:val="24"/>
        </w:rPr>
        <w:t>s</w:t>
      </w:r>
      <w:r w:rsidR="00986F38">
        <w:rPr>
          <w:rFonts w:cs="Times New Roman"/>
          <w:szCs w:val="24"/>
        </w:rPr>
        <w:t xml:space="preserve">. To Ostrom, rules are the ideal tool for influencing organisational behaviour to maximise resource use. Penalties for breaking such regulations are the primary and most effective means of enforcing compliance.  In the writings of Pratt and </w:t>
      </w:r>
      <w:proofErr w:type="spellStart"/>
      <w:r w:rsidR="00986F38">
        <w:rPr>
          <w:rFonts w:cs="Times New Roman"/>
          <w:szCs w:val="24"/>
        </w:rPr>
        <w:t>Zeckhauser</w:t>
      </w:r>
      <w:proofErr w:type="spellEnd"/>
      <w:r w:rsidR="00986F38">
        <w:rPr>
          <w:rFonts w:cs="Times New Roman"/>
          <w:szCs w:val="24"/>
        </w:rPr>
        <w:t xml:space="preserve"> (1991) and Milgrom and Roberts (1992), the model is used </w:t>
      </w:r>
      <w:r w:rsidR="00766A71">
        <w:rPr>
          <w:rFonts w:cs="Times New Roman"/>
          <w:szCs w:val="24"/>
        </w:rPr>
        <w:t>when</w:t>
      </w:r>
      <w:r w:rsidR="00986F38">
        <w:rPr>
          <w:rFonts w:cs="Times New Roman"/>
          <w:szCs w:val="24"/>
        </w:rPr>
        <w:t xml:space="preserve"> </w:t>
      </w:r>
      <w:r w:rsidR="00766A71">
        <w:rPr>
          <w:rFonts w:cs="Times New Roman"/>
          <w:szCs w:val="24"/>
        </w:rPr>
        <w:t>specific</w:t>
      </w:r>
      <w:r w:rsidR="00986F38">
        <w:rPr>
          <w:rFonts w:cs="Times New Roman"/>
          <w:szCs w:val="24"/>
        </w:rPr>
        <w:t xml:space="preserve"> common property resources must be distributed or used. As a prescriptive approach, rational choice institutionalism </w:t>
      </w:r>
      <w:r w:rsidR="00766A71">
        <w:rPr>
          <w:rFonts w:cs="Times New Roman"/>
          <w:szCs w:val="24"/>
        </w:rPr>
        <w:t>describes</w:t>
      </w:r>
      <w:r w:rsidR="00986F38">
        <w:rPr>
          <w:rFonts w:cs="Times New Roman"/>
          <w:szCs w:val="24"/>
        </w:rPr>
        <w:t xml:space="preserve"> actual public administration circumstances.</w:t>
      </w:r>
    </w:p>
    <w:p w14:paraId="7D2B2ACD" w14:textId="77777777" w:rsidR="00986F38" w:rsidRPr="00A530E2" w:rsidRDefault="007A0CDA" w:rsidP="00772DAC">
      <w:pPr>
        <w:autoSpaceDE w:val="0"/>
        <w:autoSpaceDN w:val="0"/>
        <w:adjustRightInd w:val="0"/>
        <w:spacing w:after="0"/>
        <w:ind w:left="0" w:firstLine="0"/>
        <w:rPr>
          <w:rFonts w:cs="Times New Roman"/>
          <w:szCs w:val="24"/>
        </w:rPr>
      </w:pPr>
      <w:r>
        <w:rPr>
          <w:rFonts w:cs="Times New Roman"/>
          <w:szCs w:val="24"/>
        </w:rPr>
        <w:tab/>
      </w:r>
      <w:r w:rsidR="00986F38">
        <w:rPr>
          <w:rFonts w:cs="Times New Roman"/>
          <w:szCs w:val="24"/>
        </w:rPr>
        <w:t xml:space="preserve">Oye (1993) contends that the rise of international organisations </w:t>
      </w:r>
      <w:r w:rsidR="00F722BE">
        <w:rPr>
          <w:rFonts w:cs="Times New Roman"/>
          <w:szCs w:val="24"/>
        </w:rPr>
        <w:t>results from</w:t>
      </w:r>
      <w:r w:rsidR="00986F38">
        <w:rPr>
          <w:rFonts w:cs="Times New Roman"/>
          <w:szCs w:val="24"/>
        </w:rPr>
        <w:t xml:space="preserve"> logical choices made by nation-states that maximise the fulfilment of their desires, have a clear awareness of their interests and behave selfishly. Institutions emerge from a world that relies on generalised individualism. They are meant to affect the individual behaviours of their members because they gain more than they lose. If the people's choices changed, the organisation </w:t>
      </w:r>
      <w:r w:rsidR="00986F38">
        <w:rPr>
          <w:rFonts w:cs="Times New Roman"/>
          <w:szCs w:val="24"/>
        </w:rPr>
        <w:lastRenderedPageBreak/>
        <w:t>would collapse. Exchanges and interactions between members of public institutions allow them to exist and grow.</w:t>
      </w:r>
    </w:p>
    <w:p w14:paraId="7C15FA86" w14:textId="1977643E" w:rsidR="00986F38" w:rsidRDefault="007A0CDA" w:rsidP="007A0CDA">
      <w:pPr>
        <w:spacing w:after="0"/>
        <w:ind w:left="0" w:firstLine="0"/>
      </w:pPr>
      <w:r>
        <w:tab/>
      </w:r>
      <w:r w:rsidR="00986F38">
        <w:t xml:space="preserve">One </w:t>
      </w:r>
      <w:r w:rsidR="00766A71">
        <w:t>se</w:t>
      </w:r>
      <w:r w:rsidR="00691024">
        <w:t>vere</w:t>
      </w:r>
      <w:r w:rsidR="00766A71">
        <w:t xml:space="preserve"> criticism of</w:t>
      </w:r>
      <w:r w:rsidR="00986F38">
        <w:t xml:space="preserve"> the RCIT is that it assumes human behaviour is totally rational and self-interested. This notion ignores that social and cultural variables frequently determine human behaviour and that </w:t>
      </w:r>
      <w:r w:rsidR="00766A71">
        <w:t>conventions, values</w:t>
      </w:r>
      <w:r w:rsidR="00E104AA">
        <w:t xml:space="preserve"> and</w:t>
      </w:r>
      <w:r w:rsidR="00986F38">
        <w:t>, the RCIT's limited understanding of rationality restricts its capacity to describe how organisations emerge and persist through time</w:t>
      </w:r>
      <w:r w:rsidR="00E104AA" w:rsidRPr="00E104AA">
        <w:t xml:space="preserve"> </w:t>
      </w:r>
      <w:r w:rsidR="00E104AA">
        <w:t>(Suchman, 1995)</w:t>
      </w:r>
      <w:r w:rsidR="00986F38">
        <w:t>.</w:t>
      </w:r>
    </w:p>
    <w:p w14:paraId="7238D0DA" w14:textId="77777777" w:rsidR="00986F38" w:rsidRDefault="007A0CDA" w:rsidP="007A0CDA">
      <w:pPr>
        <w:spacing w:after="0"/>
        <w:ind w:left="0" w:firstLine="0"/>
      </w:pPr>
      <w:r>
        <w:tab/>
      </w:r>
      <w:r w:rsidR="00986F38">
        <w:t xml:space="preserve">Another criticism of the RCIT is that it neglects power dynamics within organizations and institutions. As Scott (2001) notes, the RCIT ignores the role of power in </w:t>
      </w:r>
      <w:r w:rsidR="00766A71">
        <w:t>creating and maintaining</w:t>
      </w:r>
      <w:r w:rsidR="00986F38">
        <w:t xml:space="preserve"> institutions. This oversight can limit the theory's ability to explain how institutions are created and sustained over time, </w:t>
      </w:r>
      <w:r w:rsidR="00766A71">
        <w:t>main</w:t>
      </w:r>
      <w:r w:rsidR="00986F38">
        <w:t xml:space="preserve">ly when </w:t>
      </w:r>
      <w:r w:rsidR="00766A71">
        <w:t>power imbalances exist</w:t>
      </w:r>
      <w:r w:rsidR="00986F38">
        <w:t xml:space="preserve"> between actors.</w:t>
      </w:r>
    </w:p>
    <w:p w14:paraId="08B123E0" w14:textId="4FEA74AD" w:rsidR="00986F38" w:rsidRDefault="007A0CDA" w:rsidP="007A0CDA">
      <w:pPr>
        <w:spacing w:after="0"/>
        <w:ind w:left="0" w:firstLine="0"/>
      </w:pPr>
      <w:r>
        <w:tab/>
      </w:r>
      <w:r w:rsidR="00986F38">
        <w:t xml:space="preserve">A final criticism of the RCIT is that it overlooks the social embeddedness of institutions. As </w:t>
      </w:r>
      <w:r w:rsidR="0057692E">
        <w:t xml:space="preserve">DiMaggio and </w:t>
      </w:r>
      <w:r w:rsidR="00986F38">
        <w:t>Powell (1991) note</w:t>
      </w:r>
      <w:r w:rsidR="006732F3">
        <w:t>d</w:t>
      </w:r>
      <w:r w:rsidR="00986F38">
        <w:t xml:space="preserve">, the RCIT ignores the broader social context in which institutions are embedded. This can limit the theory's ability to explain how institutions are influenced by social, political, and cultural factors and how </w:t>
      </w:r>
      <w:r w:rsidR="00766A71">
        <w:t>historical events and processes shape them</w:t>
      </w:r>
      <w:r w:rsidR="00986F38">
        <w:t>.</w:t>
      </w:r>
    </w:p>
    <w:p w14:paraId="0EB9F26A" w14:textId="50E61E6C" w:rsidR="00986F38" w:rsidRDefault="007A0CDA" w:rsidP="001653C7">
      <w:pPr>
        <w:spacing w:after="0"/>
        <w:ind w:left="0" w:firstLine="0"/>
      </w:pPr>
      <w:r>
        <w:tab/>
      </w:r>
      <w:r w:rsidR="00986F38">
        <w:t xml:space="preserve">In response to the critique by Suchman (1995), institutional theorists like </w:t>
      </w:r>
      <w:r w:rsidR="00F91F01" w:rsidRPr="00F91F01">
        <w:t>DiMaggio and Powell (1991)</w:t>
      </w:r>
      <w:r w:rsidR="00986F38">
        <w:t xml:space="preserve"> suggest that </w:t>
      </w:r>
      <w:r w:rsidR="00BA7B3F">
        <w:t>a complex interplay of social norms, cultural values, and institutional pressures beyond rational calculations influences individuals' ac</w:t>
      </w:r>
      <w:r w:rsidR="00986F38">
        <w:t xml:space="preserve">tions. They further emphasize the role of legitimacy and conformity in shaping individual behaviour within organizations. Despite Scott’s (2001) criticism, March and Olsen (2006) argue that the Rational Choice Institutional Theory can still provide valuable insights into decision-making </w:t>
      </w:r>
      <w:r w:rsidR="00986F38">
        <w:lastRenderedPageBreak/>
        <w:t xml:space="preserve">processes. They propose that individuals can engage in rational behaviour that aligns with their preferences and values, </w:t>
      </w:r>
      <w:proofErr w:type="gramStart"/>
      <w:r w:rsidR="00986F38">
        <w:t>taking into account</w:t>
      </w:r>
      <w:proofErr w:type="gramEnd"/>
      <w:r w:rsidR="00986F38">
        <w:t xml:space="preserve"> the institutional context in which they operate.</w:t>
      </w:r>
    </w:p>
    <w:p w14:paraId="0E957C2A" w14:textId="45629160" w:rsidR="00986F38" w:rsidRPr="00327874" w:rsidRDefault="007A0CDA" w:rsidP="007A0CDA">
      <w:pPr>
        <w:spacing w:after="0"/>
        <w:ind w:left="0" w:firstLine="0"/>
      </w:pPr>
      <w:r>
        <w:tab/>
      </w:r>
      <w:r w:rsidR="00986F38">
        <w:t xml:space="preserve">Finally, </w:t>
      </w:r>
      <w:proofErr w:type="spellStart"/>
      <w:r w:rsidR="00986F38">
        <w:t>Fligstein</w:t>
      </w:r>
      <w:proofErr w:type="spellEnd"/>
      <w:r w:rsidR="00986F38">
        <w:t xml:space="preserve"> (1997) rejoins </w:t>
      </w:r>
      <w:r w:rsidR="00F91F01" w:rsidRPr="00F91F01">
        <w:t>DiMaggio and Powell (1991)</w:t>
      </w:r>
      <w:r w:rsidR="00986F38">
        <w:t xml:space="preserve"> by arguing that the rational choice institutional theory can be expanded to incorporate a more nuanced understanding of culture and historical context. They propose that cultural elements and historical factors can be integrated into the theory's framework to provide a richer </w:t>
      </w:r>
      <w:r w:rsidR="00A34B49">
        <w:t>organisational behaviour analysis</w:t>
      </w:r>
      <w:r w:rsidR="00986F38">
        <w:t>. By acknowledging that cultural norms and historical legacies shape actors' preferences and choices, the rational choice institutional theory can be strengthened and provide a more comprehensive understanding of organi</w:t>
      </w:r>
      <w:r w:rsidR="00A34B49">
        <w:t>s</w:t>
      </w:r>
      <w:r w:rsidR="00986F38">
        <w:t>ational dynamics.</w:t>
      </w:r>
    </w:p>
    <w:p w14:paraId="17C91ED1" w14:textId="77777777" w:rsidR="00986F38" w:rsidRDefault="007A0CDA" w:rsidP="00126EF5">
      <w:pPr>
        <w:spacing w:after="0"/>
        <w:ind w:left="0" w:firstLine="0"/>
      </w:pPr>
      <w:r>
        <w:tab/>
      </w:r>
      <w:r w:rsidR="00986F38">
        <w:t xml:space="preserve">In the context of decision-making in the collaborative process in the Bobiri and Southern Scarp Forest reserves, the Normative Institutional theory revealed a set of norms and values of the political structure that influence the decisions of actors within the polity. </w:t>
      </w:r>
      <w:r w:rsidR="00A34B49">
        <w:t>However,</w:t>
      </w:r>
      <w:r w:rsidR="00986F38">
        <w:t xml:space="preserve"> as the Rational Choice Institutional approach has revealed, actors such as the community members or forest user groups can influence the collaborative processes with their existing community norms and values to ensure sustainable community forestry. </w:t>
      </w:r>
    </w:p>
    <w:p w14:paraId="19AFFD50" w14:textId="77777777" w:rsidR="00C240F6" w:rsidRDefault="00C240F6" w:rsidP="00772DAC">
      <w:pPr>
        <w:pStyle w:val="Heading2"/>
        <w:ind w:left="0"/>
      </w:pPr>
      <w:bookmarkStart w:id="135" w:name="_Toc202197601"/>
      <w:r>
        <w:t>Conceptual Review</w:t>
      </w:r>
      <w:bookmarkEnd w:id="135"/>
      <w:r>
        <w:t xml:space="preserve"> </w:t>
      </w:r>
    </w:p>
    <w:p w14:paraId="0F95A12F" w14:textId="77777777" w:rsidR="00144FE1" w:rsidRDefault="00144FE1" w:rsidP="00772DAC">
      <w:pPr>
        <w:pStyle w:val="Heading2"/>
        <w:ind w:left="0"/>
      </w:pPr>
      <w:bookmarkStart w:id="136" w:name="_Toc202197602"/>
      <w:r>
        <w:t>Community Participation</w:t>
      </w:r>
      <w:bookmarkEnd w:id="136"/>
      <w:r>
        <w:t xml:space="preserve"> </w:t>
      </w:r>
    </w:p>
    <w:p w14:paraId="7A55479C" w14:textId="77777777" w:rsidR="00986F38" w:rsidRDefault="007A0CDA" w:rsidP="007A0CDA">
      <w:pPr>
        <w:spacing w:after="0"/>
        <w:ind w:left="0" w:firstLine="0"/>
      </w:pPr>
      <w:r>
        <w:tab/>
      </w:r>
      <w:r w:rsidR="00986F38">
        <w:t>Participation is described by Arnstein (1969) as an engagement of individuals or groups in decision-making processes that affect them. Similarly, Hickey and Mohan (2004)</w:t>
      </w:r>
      <w:r w:rsidR="00B92FE3">
        <w:t xml:space="preserve"> describe participation as active involvement in decision-making processes by individuals or groups affected by those decisions, </w:t>
      </w:r>
      <w:r w:rsidR="00B92FE3">
        <w:lastRenderedPageBreak/>
        <w:t>including providing feedback, sharing ideas and concerns, and co-creating</w:t>
      </w:r>
      <w:r w:rsidR="00986F38">
        <w:t xml:space="preserve"> solutions.</w:t>
      </w:r>
      <w:r w:rsidR="00986F38" w:rsidRPr="002B47B3">
        <w:t xml:space="preserve"> </w:t>
      </w:r>
      <w:r w:rsidR="00986F38">
        <w:t>Furthermore, Cooke and Kothari (2001) asserted that Participation is the extent to which individuals and groups have access to and can influence decision-making processes that affect their lives and livelihoods.</w:t>
      </w:r>
    </w:p>
    <w:p w14:paraId="34A92D13" w14:textId="77777777" w:rsidR="00986F38" w:rsidRDefault="007A0CDA" w:rsidP="007A0CDA">
      <w:pPr>
        <w:spacing w:after="0"/>
        <w:ind w:left="0" w:firstLine="0"/>
      </w:pPr>
      <w:r>
        <w:tab/>
      </w:r>
      <w:r w:rsidR="00986F38">
        <w:t>These definitions of participation highlight the importance of active engagement, influence, and access in decision-making processes. They also acknowledge the diverse forms and impact</w:t>
      </w:r>
      <w:r>
        <w:t xml:space="preserve">s of participation. </w:t>
      </w:r>
      <w:r w:rsidR="00986F38">
        <w:t xml:space="preserve">Hesselbarth and </w:t>
      </w:r>
      <w:proofErr w:type="spellStart"/>
      <w:r w:rsidR="00986F38">
        <w:t>Schaltegger</w:t>
      </w:r>
      <w:proofErr w:type="spellEnd"/>
      <w:r w:rsidR="00986F38">
        <w:t xml:space="preserve"> (2014) maintained that participation can take various forms, such as consultation, collaboration, and empowerment. In support, Arnstein (1969) and Hesselbarth and </w:t>
      </w:r>
      <w:proofErr w:type="spellStart"/>
      <w:r w:rsidR="00986F38">
        <w:t>Schaltegger</w:t>
      </w:r>
      <w:proofErr w:type="spellEnd"/>
      <w:r w:rsidR="00986F38">
        <w:t xml:space="preserve"> (2014) noted that participation has evolved from </w:t>
      </w:r>
      <w:r w:rsidR="00BA7B3F">
        <w:t>focusing</w:t>
      </w:r>
      <w:r w:rsidR="00986F38">
        <w:t xml:space="preserve"> on tokenistic forms of participation to a more inclusive and empowering approach.</w:t>
      </w:r>
      <w:r w:rsidR="00B92FE3">
        <w:t xml:space="preserve"> </w:t>
      </w:r>
      <w:r w:rsidR="00986F38">
        <w:t xml:space="preserve">Tokenistic participation, as </w:t>
      </w:r>
      <w:r w:rsidR="00B92FE3">
        <w:t>Arnstein (1969) explained,</w:t>
      </w:r>
      <w:r w:rsidR="00986F38">
        <w:t xml:space="preserve"> involves the mere presence of individuals or groups in decision-making processes without genuine engagement or influence. Reed (2008) supported this argument by explaining that this type of participation involves seeking input and feedback from stakeholders but does not necessarily involve decision-making power. In contrast, Hesselbarth and </w:t>
      </w:r>
      <w:proofErr w:type="spellStart"/>
      <w:r w:rsidR="00986F38">
        <w:t>Schaltegger</w:t>
      </w:r>
      <w:proofErr w:type="spellEnd"/>
      <w:r w:rsidR="00986F38">
        <w:t xml:space="preserve"> (2014) revealed that the empowering approach to participation involves </w:t>
      </w:r>
      <w:r w:rsidR="00B92FE3">
        <w:t>individuals or groups' active engagement and influence</w:t>
      </w:r>
      <w:r w:rsidR="00986F38">
        <w:t xml:space="preserve"> in decision-making processes, intending to enhance their agency and promote social justice. </w:t>
      </w:r>
    </w:p>
    <w:p w14:paraId="5933000D" w14:textId="77777777" w:rsidR="00986F38" w:rsidRDefault="007A0CDA" w:rsidP="007A0CDA">
      <w:pPr>
        <w:spacing w:after="0"/>
        <w:ind w:left="0" w:firstLine="0"/>
      </w:pPr>
      <w:r>
        <w:tab/>
      </w:r>
      <w:r w:rsidR="00986F38">
        <w:t xml:space="preserve">Community participation in forest management has gained significant attention in recent years, as the degradation of forests </w:t>
      </w:r>
      <w:r w:rsidR="00BA7B3F">
        <w:t>threatens</w:t>
      </w:r>
      <w:r w:rsidR="00986F38">
        <w:t xml:space="preserve"> the environment and human livelihoods (Agarwal &amp; Gibson, 1999; Reed, 2007). </w:t>
      </w:r>
      <w:r w:rsidR="00986F38" w:rsidRPr="0079768A">
        <w:t xml:space="preserve">The engagement of nearby communities in the management of forests has the potential to instil a feeling of possession and responsible guardianship, resulting </w:t>
      </w:r>
      <w:r w:rsidR="00986F38" w:rsidRPr="0079768A">
        <w:lastRenderedPageBreak/>
        <w:t>in the adoption of more enduring approaches towards utili</w:t>
      </w:r>
      <w:r w:rsidR="00B92FE3">
        <w:t>s</w:t>
      </w:r>
      <w:r w:rsidR="00986F38" w:rsidRPr="0079768A">
        <w:t>ing forest resources (</w:t>
      </w:r>
      <w:proofErr w:type="spellStart"/>
      <w:r w:rsidR="00986F38" w:rsidRPr="0079768A">
        <w:t>Bluffstone</w:t>
      </w:r>
      <w:proofErr w:type="spellEnd"/>
      <w:r w:rsidR="00986F38" w:rsidRPr="0079768A">
        <w:t xml:space="preserve"> et al., 2018).</w:t>
      </w:r>
      <w:r w:rsidR="00986F38">
        <w:t xml:space="preserve"> Studies have shown that community-managed forests often have lower deforestation rates and higher biodiversity than government-managed forests (Agrawal &amp; Ostrom, 2001; </w:t>
      </w:r>
      <w:proofErr w:type="spellStart"/>
      <w:r w:rsidR="00986F38">
        <w:t>Oldekop</w:t>
      </w:r>
      <w:proofErr w:type="spellEnd"/>
      <w:r w:rsidR="00986F38">
        <w:t xml:space="preserve"> et al., 2016). This is because community involvement ensures that forest management practices are tailored to local needs and values and that community members have a direct stake in the sustainable use of forest resources.</w:t>
      </w:r>
    </w:p>
    <w:p w14:paraId="1495DDE0" w14:textId="7387E123" w:rsidR="00986F38" w:rsidRDefault="007A0CDA" w:rsidP="001653C7">
      <w:pPr>
        <w:spacing w:after="0"/>
        <w:ind w:left="0" w:firstLine="0"/>
      </w:pPr>
      <w:r>
        <w:tab/>
      </w:r>
      <w:r w:rsidR="00DF77A2" w:rsidRPr="0079768A">
        <w:t>Arnold and Dewees (2014)</w:t>
      </w:r>
      <w:r w:rsidR="00986F38" w:rsidRPr="0079768A">
        <w:t xml:space="preserve"> have acknowledged community engagement in forest management as an essential factor in advancing the cause of sustainable forest management. Arnold and Dewees </w:t>
      </w:r>
      <w:r w:rsidR="00DF77A2">
        <w:t>further</w:t>
      </w:r>
      <w:r w:rsidR="00986F38" w:rsidRPr="0079768A">
        <w:t xml:space="preserve"> contend that </w:t>
      </w:r>
      <w:r w:rsidR="00B92FE3">
        <w:t>incorporating</w:t>
      </w:r>
      <w:r w:rsidR="00986F38" w:rsidRPr="0079768A">
        <w:t xml:space="preserve"> nearby communities into the decision-making procedures of forest management has demonstrated its potential </w:t>
      </w:r>
      <w:r w:rsidR="00F92C8F">
        <w:t>to improve</w:t>
      </w:r>
      <w:r w:rsidR="00986F38" w:rsidRPr="0079768A">
        <w:t xml:space="preserve"> the efficiency of forest preservation endeavo</w:t>
      </w:r>
      <w:r w:rsidR="00986F38">
        <w:t>u</w:t>
      </w:r>
      <w:r w:rsidR="00986F38" w:rsidRPr="0079768A">
        <w:t>rs and mitigat</w:t>
      </w:r>
      <w:r w:rsidR="00F92C8F">
        <w:t>e</w:t>
      </w:r>
      <w:r w:rsidR="00986F38" w:rsidRPr="0079768A">
        <w:t xml:space="preserve"> conflicts among users of forest resources.</w:t>
      </w:r>
      <w:r w:rsidR="00986F38">
        <w:t xml:space="preserve"> In addition, Charnley et al. (2018) noted that community participation can contribute to </w:t>
      </w:r>
      <w:r w:rsidR="00B92FE3">
        <w:t>developing</w:t>
      </w:r>
      <w:r w:rsidR="00986F38">
        <w:t xml:space="preserve"> new knowledge and skills, as well as increased social cohesion and improved livelihoods.</w:t>
      </w:r>
    </w:p>
    <w:p w14:paraId="546D841C" w14:textId="56946BF4" w:rsidR="00986F38" w:rsidRDefault="007A0CDA" w:rsidP="001653C7">
      <w:pPr>
        <w:spacing w:after="0"/>
        <w:ind w:left="0" w:firstLine="0"/>
      </w:pPr>
      <w:r>
        <w:tab/>
      </w:r>
      <w:r w:rsidR="00986F38" w:rsidRPr="0079768A">
        <w:t xml:space="preserve">A method through which societies can engage in forest management is by initiating community-based forest management (CBFM) initiatives. According to Kamanga </w:t>
      </w:r>
      <w:r w:rsidR="00010F00">
        <w:t>et al.</w:t>
      </w:r>
      <w:r w:rsidR="00986F38" w:rsidRPr="0079768A">
        <w:t xml:space="preserve"> (20</w:t>
      </w:r>
      <w:r w:rsidR="00010F00">
        <w:t>09</w:t>
      </w:r>
      <w:r w:rsidR="00986F38" w:rsidRPr="0079768A">
        <w:t xml:space="preserve">), these programs encompass </w:t>
      </w:r>
      <w:r w:rsidR="00B92FE3">
        <w:t>local communities' active involvement in</w:t>
      </w:r>
      <w:r w:rsidR="00986F38" w:rsidRPr="0079768A">
        <w:t xml:space="preserve"> designing, executing, and overseeing various forest management endeavo</w:t>
      </w:r>
      <w:r w:rsidR="00986F38">
        <w:t>u</w:t>
      </w:r>
      <w:r w:rsidR="00986F38" w:rsidRPr="0079768A">
        <w:t>rs, including logging and reforestation.</w:t>
      </w:r>
      <w:r w:rsidR="00986F38">
        <w:t xml:space="preserve"> CBFM programs</w:t>
      </w:r>
      <w:r w:rsidR="002424EC">
        <w:t>,</w:t>
      </w:r>
      <w:r w:rsidR="00B92FE3">
        <w:t xml:space="preserve"> in the words of Aryal et al. (2020)</w:t>
      </w:r>
      <w:r w:rsidR="002424EC">
        <w:t>,</w:t>
      </w:r>
      <w:r w:rsidR="00B92FE3">
        <w:t xml:space="preserve"> have succeeded in various countries, such as Nepal, where community participation in forest management has</w:t>
      </w:r>
      <w:r w:rsidR="00986F38">
        <w:t xml:space="preserve"> reduced deforestation rates and increased forest cover. However, the success of CBFM programs, in the view of Kamanga </w:t>
      </w:r>
      <w:r w:rsidR="00010F00">
        <w:t>et al. (2009)</w:t>
      </w:r>
      <w:r w:rsidR="00B92FE3">
        <w:t>,</w:t>
      </w:r>
      <w:r w:rsidR="00986F38">
        <w:t xml:space="preserve"> depends on various </w:t>
      </w:r>
      <w:r w:rsidR="00986F38">
        <w:lastRenderedPageBreak/>
        <w:t>factors, such as community participation and support from government agencies.</w:t>
      </w:r>
    </w:p>
    <w:p w14:paraId="087206AF" w14:textId="45E91F82" w:rsidR="00986F38" w:rsidRDefault="007A0CDA" w:rsidP="001653C7">
      <w:pPr>
        <w:spacing w:after="0"/>
        <w:ind w:left="0" w:firstLine="0"/>
      </w:pPr>
      <w:r>
        <w:tab/>
      </w:r>
      <w:r w:rsidR="00986F38">
        <w:t xml:space="preserve">Another way in which communities can participate in forest management is </w:t>
      </w:r>
      <w:proofErr w:type="gramStart"/>
      <w:r w:rsidR="00986F38">
        <w:t>through the use of</w:t>
      </w:r>
      <w:proofErr w:type="gramEnd"/>
      <w:r w:rsidR="00986F38">
        <w:t xml:space="preserve"> participatory mapping techniques. Charnley et al. (201</w:t>
      </w:r>
      <w:r w:rsidR="006238E1">
        <w:t>7</w:t>
      </w:r>
      <w:r w:rsidR="00986F38">
        <w:t>) described Participatory Mapping as involving local knowledge and expertise to map and manage forest resources. Charnley et al. (201</w:t>
      </w:r>
      <w:r w:rsidR="006238E1">
        <w:t>7</w:t>
      </w:r>
      <w:r w:rsidR="00986F38">
        <w:t xml:space="preserve">) further argued that </w:t>
      </w:r>
      <w:r w:rsidR="00B92FE3">
        <w:t>participatory mapping could also contribute to the development of new knowledge and skills among community members</w:t>
      </w:r>
      <w:r w:rsidR="002424EC">
        <w:t xml:space="preserve"> and</w:t>
      </w:r>
      <w:r w:rsidR="00B92FE3">
        <w:t xml:space="preserve"> increase</w:t>
      </w:r>
      <w:r w:rsidR="00986F38">
        <w:t xml:space="preserve"> awareness of the importance of forest conservation. </w:t>
      </w:r>
      <w:r w:rsidR="00B92FE3">
        <w:t>According to Larson et al. (2013), this approach has been successful in various countries, such as Indonesia, where participatory mapping has</w:t>
      </w:r>
      <w:r w:rsidR="00986F38">
        <w:t xml:space="preserve"> improved forest management and reduced conflict between forest users.</w:t>
      </w:r>
    </w:p>
    <w:p w14:paraId="19771941" w14:textId="77777777" w:rsidR="00986F38" w:rsidRDefault="007A0CDA" w:rsidP="007A0CDA">
      <w:pPr>
        <w:spacing w:after="0"/>
        <w:ind w:left="0" w:firstLine="0"/>
      </w:pPr>
      <w:r>
        <w:tab/>
      </w:r>
      <w:r w:rsidR="00986F38">
        <w:t xml:space="preserve">Furthermore, Sunderlin et al. (2005) assert that community participation in forest management can </w:t>
      </w:r>
      <w:r w:rsidR="00B92FE3">
        <w:t>increase local communities' economic opport</w:t>
      </w:r>
      <w:r w:rsidR="00986F38">
        <w:t>unities. For example, in Nepal, Gurung et al. (2015) revealed that community forestry had increased income for forest-dependent communities through sustainable harvesting of non-timber forest products. In addition, the involvement of local communities in forest management can lead to the creation of local jobs, such as forest patrols</w:t>
      </w:r>
      <w:r w:rsidR="00B92FE3">
        <w:t>. It</w:t>
      </w:r>
      <w:r w:rsidR="00986F38">
        <w:t xml:space="preserve"> can also provide opportunities for skill development and training.</w:t>
      </w:r>
    </w:p>
    <w:p w14:paraId="09109681" w14:textId="77777777" w:rsidR="00986F38" w:rsidRDefault="007A0CDA" w:rsidP="007A0CDA">
      <w:pPr>
        <w:spacing w:after="0"/>
        <w:ind w:left="0" w:firstLine="0"/>
      </w:pPr>
      <w:r>
        <w:tab/>
      </w:r>
      <w:r w:rsidR="00986F38">
        <w:t>Therefore, participation i</w:t>
      </w:r>
      <w:r w:rsidR="002424EC">
        <w:t>n collaborative processes affecting individuals and communities in Bobiri and Southern Scarp Forest Reserves is crucial</w:t>
      </w:r>
      <w:r w:rsidR="00986F38">
        <w:t>. Community participation in forest management is essential for promoting sustainable forest management and achieving conservation goals. Community-</w:t>
      </w:r>
      <w:r w:rsidR="00986F38">
        <w:lastRenderedPageBreak/>
        <w:t xml:space="preserve">based Forest management programs </w:t>
      </w:r>
      <w:r w:rsidR="00B92FE3">
        <w:t>effectively</w:t>
      </w:r>
      <w:r w:rsidR="00986F38">
        <w:t xml:space="preserve"> involve local communities in forest management decision-making processes. </w:t>
      </w:r>
    </w:p>
    <w:p w14:paraId="5C6A75B4" w14:textId="77777777" w:rsidR="00986F38" w:rsidRDefault="007A0CDA" w:rsidP="00126EF5">
      <w:pPr>
        <w:spacing w:after="0"/>
        <w:ind w:left="0" w:firstLine="0"/>
      </w:pPr>
      <w:r>
        <w:tab/>
      </w:r>
      <w:r w:rsidR="00986F38">
        <w:t xml:space="preserve">In addition, Community participation in the collaborative processes can bring various benefits, such as increased empowerment, improved decision-making, and enhanced social capital in the Bobiri and Southern Scarp Forest Reserves. In this regard, decision-makers </w:t>
      </w:r>
      <w:r w:rsidR="00AE3181">
        <w:t>must</w:t>
      </w:r>
      <w:r w:rsidR="00986F38">
        <w:t xml:space="preserve"> prioriti</w:t>
      </w:r>
      <w:r w:rsidR="00AE3181">
        <w:t>s</w:t>
      </w:r>
      <w:r w:rsidR="00986F38">
        <w:t>e meaningful participation and ensure that individuals and communities have a genuine voice to ensure a sustainable and equitable decision-making process.</w:t>
      </w:r>
    </w:p>
    <w:p w14:paraId="7B3265FC" w14:textId="77777777" w:rsidR="00511011" w:rsidRDefault="0033767D" w:rsidP="00772DAC">
      <w:pPr>
        <w:pStyle w:val="Heading2"/>
        <w:ind w:left="0"/>
      </w:pPr>
      <w:bookmarkStart w:id="137" w:name="_Toc161749032"/>
      <w:bookmarkStart w:id="138" w:name="_Toc161750293"/>
      <w:bookmarkStart w:id="139" w:name="_Toc202197603"/>
      <w:bookmarkStart w:id="140" w:name="_Hlk129179520"/>
      <w:proofErr w:type="spellStart"/>
      <w:r>
        <w:t>Arstein</w:t>
      </w:r>
      <w:r w:rsidR="00EF3B2E">
        <w:t>’</w:t>
      </w:r>
      <w:r>
        <w:t>s</w:t>
      </w:r>
      <w:proofErr w:type="spellEnd"/>
      <w:r>
        <w:t xml:space="preserve"> </w:t>
      </w:r>
      <w:r w:rsidR="00E21C1D">
        <w:t xml:space="preserve">(1969) </w:t>
      </w:r>
      <w:r>
        <w:t>Ladder of Participation</w:t>
      </w:r>
      <w:bookmarkEnd w:id="137"/>
      <w:bookmarkEnd w:id="138"/>
      <w:bookmarkEnd w:id="139"/>
    </w:p>
    <w:bookmarkEnd w:id="140"/>
    <w:p w14:paraId="577F6E74" w14:textId="77777777" w:rsidR="00986F38" w:rsidRDefault="007A0CDA" w:rsidP="001653C7">
      <w:pPr>
        <w:spacing w:after="0"/>
        <w:ind w:left="0" w:firstLine="0"/>
      </w:pPr>
      <w:r>
        <w:tab/>
      </w:r>
      <w:r w:rsidR="00986F38" w:rsidRPr="00FD7662">
        <w:t>Various typologies and indicators for community involvement are tailored based on activity characteristics and participant responsibilities. Prominent examples include Arnstein's participation ladder from 1969 and Pretty's participation model from 1995. Arnstein's influential ladder distinguishes diverse citizen participation levels, spanning manipulation consultation to genuine control. This ladder encompasses eight distinct tiers of involvement, often serving as a valuable benchmark in the field.</w:t>
      </w:r>
    </w:p>
    <w:p w14:paraId="4EBD465C" w14:textId="77777777" w:rsidR="00986F38" w:rsidRDefault="007A0CDA" w:rsidP="007A0CDA">
      <w:pPr>
        <w:spacing w:after="0"/>
        <w:ind w:left="0" w:firstLine="0"/>
      </w:pPr>
      <w:r>
        <w:tab/>
      </w:r>
      <w:r w:rsidR="00986F38" w:rsidRPr="00A70C84">
        <w:t>Arnstein (1969) defines citizen participation as a mechanism for reassigning power</w:t>
      </w:r>
      <w:r w:rsidR="00A71704">
        <w:t xml:space="preserve"> and </w:t>
      </w:r>
      <w:r w:rsidR="00986F38" w:rsidRPr="00A70C84">
        <w:t xml:space="preserve">facilitating </w:t>
      </w:r>
      <w:r w:rsidR="00A71704">
        <w:t>less privileged individuals' intentional inclusion in</w:t>
      </w:r>
      <w:r w:rsidR="00986F38" w:rsidRPr="00A70C84">
        <w:t xml:space="preserve"> de</w:t>
      </w:r>
      <w:r w:rsidR="00986F38">
        <w:t>velopment decisions</w:t>
      </w:r>
      <w:r w:rsidR="00986F38" w:rsidRPr="00A70C84">
        <w:t xml:space="preserve">. It serves as a means through which these individuals can drive substantial societal changes, enabling them to partake in the advantages of a prosperous society. The crux of this participation definition lies in the extent of power distribution. Arnstein has conceptualized varying degrees of citizen participation, structured as a ladder or typology with eight tiers, grouped into three categories based on the authenticity of citizen involvement. The lowest category signifies </w:t>
      </w:r>
      <w:r w:rsidR="00986F38">
        <w:t xml:space="preserve">the </w:t>
      </w:r>
      <w:r w:rsidR="00986F38" w:rsidRPr="00A70C84">
        <w:t xml:space="preserve">absence of participation, the </w:t>
      </w:r>
      <w:r w:rsidR="00986F38" w:rsidRPr="00A70C84">
        <w:lastRenderedPageBreak/>
        <w:t xml:space="preserve">highest pertains to levels of citizen influence, and the intermediate category denotes degrees of symbolic citizen </w:t>
      </w:r>
      <w:r w:rsidR="00986F38">
        <w:t>tokenism</w:t>
      </w:r>
      <w:r w:rsidR="00986F38" w:rsidRPr="00A70C84">
        <w:t>.</w:t>
      </w:r>
    </w:p>
    <w:p w14:paraId="4E4118AE" w14:textId="77777777" w:rsidR="00986F38" w:rsidRDefault="007A0CDA" w:rsidP="001653C7">
      <w:pPr>
        <w:spacing w:after="0"/>
        <w:ind w:left="0" w:firstLine="0"/>
      </w:pPr>
      <w:r>
        <w:tab/>
      </w:r>
      <w:r w:rsidR="00B92FE3">
        <w:t>A</w:t>
      </w:r>
      <w:r w:rsidR="00B92FE3" w:rsidRPr="0079768A">
        <w:t xml:space="preserve"> framework encompassing eight distinct categories of participation can be employed </w:t>
      </w:r>
      <w:r w:rsidR="00B92FE3">
        <w:t>to</w:t>
      </w:r>
      <w:r w:rsidR="00986F38" w:rsidRPr="0079768A">
        <w:t xml:space="preserve"> comprehend the perplexity and ascertain the influence of citizens on the eventual outcome of the developmental trajectory. At the lowest rung of this hierarchy lies manipulation or therapy, characteri</w:t>
      </w:r>
      <w:r w:rsidR="008E4CCF">
        <w:t>s</w:t>
      </w:r>
      <w:r w:rsidR="00986F38" w:rsidRPr="0079768A">
        <w:t>ing a lack of genuine engagement, where the primary objective is to educate participants rather than involv</w:t>
      </w:r>
      <w:r w:rsidR="00986F38">
        <w:t>e</w:t>
      </w:r>
      <w:r w:rsidR="00986F38" w:rsidRPr="0079768A">
        <w:t xml:space="preserve"> them in the decision-making and execution aspects. The tier immediately above is labe</w:t>
      </w:r>
      <w:r w:rsidR="00986F38">
        <w:t>l</w:t>
      </w:r>
      <w:r w:rsidR="00986F38" w:rsidRPr="0079768A">
        <w:t>led informing and consultation, often termed Tokenism</w:t>
      </w:r>
      <w:r w:rsidR="00B92FE3">
        <w:t>. It permits</w:t>
      </w:r>
      <w:r w:rsidR="00986F38" w:rsidRPr="0079768A">
        <w:t xml:space="preserve"> participants to receive information and express their views, albeit lacking the authority to ensure the consideration of their aspirations by those in power. At the pinnacle of tokenistic engagement lies placation, </w:t>
      </w:r>
      <w:r w:rsidR="00B92FE3">
        <w:t>establishing</w:t>
      </w:r>
      <w:r w:rsidR="00986F38" w:rsidRPr="0079768A">
        <w:t xml:space="preserve"> guidelines for citizens to offer advice within specified boundaries (Arnstein, 1969).</w:t>
      </w:r>
    </w:p>
    <w:p w14:paraId="325C9C36" w14:textId="382EE5C7" w:rsidR="00986F38" w:rsidRDefault="007A0CDA" w:rsidP="00772DAC">
      <w:pPr>
        <w:ind w:left="0" w:firstLine="0"/>
      </w:pPr>
      <w:r>
        <w:tab/>
      </w:r>
      <w:r w:rsidR="00986F38" w:rsidRPr="00C757AE">
        <w:t>The topmost tier of participation, categori</w:t>
      </w:r>
      <w:r w:rsidR="0009049D">
        <w:t>s</w:t>
      </w:r>
      <w:r w:rsidR="00986F38" w:rsidRPr="00C757AE">
        <w:t xml:space="preserve">ed as citizen power, involves an escalating spectrum of authority bestowed upon citizens in the decision-making realm. This echelon is further subdivided into three classifications as citizen authority intensifies (partnership, delegated power, and citizen control). In the partnership phase, citizens </w:t>
      </w:r>
      <w:r w:rsidR="00DC34DF">
        <w:t xml:space="preserve">can bargain and </w:t>
      </w:r>
      <w:r w:rsidR="008E4CCF">
        <w:t>compromise</w:t>
      </w:r>
      <w:r w:rsidR="00986F38" w:rsidRPr="00C757AE">
        <w:t xml:space="preserve"> with established power entities </w:t>
      </w:r>
      <w:r w:rsidR="008E4CCF">
        <w:t>like</w:t>
      </w:r>
      <w:r w:rsidR="00986F38" w:rsidRPr="00C757AE">
        <w:t xml:space="preserve"> the government. </w:t>
      </w:r>
      <w:r w:rsidR="008E4CCF">
        <w:t>However, delegated power and citizen control</w:t>
      </w:r>
      <w:r w:rsidR="00986F38" w:rsidRPr="00C757AE">
        <w:t xml:space="preserve"> </w:t>
      </w:r>
      <w:r w:rsidR="008E4CCF">
        <w:t>influence individuals more significantly</w:t>
      </w:r>
      <w:r w:rsidR="00986F38" w:rsidRPr="00C757AE">
        <w:t xml:space="preserve"> within the decision-making process. </w:t>
      </w:r>
      <w:r w:rsidR="008E4CCF">
        <w:t>C</w:t>
      </w:r>
      <w:r w:rsidR="00986F38" w:rsidRPr="00C757AE">
        <w:t>itizens possess complete managerial jurisdiction over shaping outcomes in formulation, decision-making,</w:t>
      </w:r>
      <w:r w:rsidR="00986F38">
        <w:t xml:space="preserve"> </w:t>
      </w:r>
      <w:r w:rsidR="00986F38" w:rsidRPr="00C757AE">
        <w:t>and</w:t>
      </w:r>
      <w:r w:rsidR="00986F38">
        <w:t xml:space="preserve"> </w:t>
      </w:r>
      <w:r w:rsidR="00986F38" w:rsidRPr="00C757AE">
        <w:t>implementatio</w:t>
      </w:r>
      <w:r w:rsidR="00986F38">
        <w:t xml:space="preserve">n </w:t>
      </w:r>
      <w:r w:rsidR="00986F38" w:rsidRPr="00C757AE">
        <w:t>stages.</w:t>
      </w:r>
      <w:r w:rsidR="00986F38">
        <w:t xml:space="preserve"> Arnstein’s ladder of participation is illustrated in Figure 1.</w:t>
      </w:r>
    </w:p>
    <w:p w14:paraId="25E184A8" w14:textId="77777777" w:rsidR="00B44B29" w:rsidRDefault="00B44B29" w:rsidP="00772DAC">
      <w:pPr>
        <w:pStyle w:val="BodyText"/>
        <w:ind w:left="0" w:firstLine="0"/>
      </w:pPr>
      <w:r w:rsidRPr="00B44B29">
        <w:rPr>
          <w:noProof/>
          <w:lang w:val="en-US"/>
        </w:rPr>
        <w:lastRenderedPageBreak/>
        <w:drawing>
          <wp:inline distT="0" distB="0" distL="0" distR="0" wp14:anchorId="0AED0063" wp14:editId="41E7DC39">
            <wp:extent cx="5258738" cy="427245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0803" cy="4274133"/>
                    </a:xfrm>
                    <a:prstGeom prst="rect">
                      <a:avLst/>
                    </a:prstGeom>
                    <a:noFill/>
                    <a:ln>
                      <a:noFill/>
                    </a:ln>
                  </pic:spPr>
                </pic:pic>
              </a:graphicData>
            </a:graphic>
          </wp:inline>
        </w:drawing>
      </w:r>
    </w:p>
    <w:p w14:paraId="57AAEDFB" w14:textId="77777777" w:rsidR="00B44B29" w:rsidRPr="00661B29" w:rsidRDefault="007A0CDA" w:rsidP="004E5FE3">
      <w:pPr>
        <w:pStyle w:val="Heading3"/>
        <w:ind w:left="0" w:firstLine="0"/>
        <w:rPr>
          <w:b/>
          <w:bCs/>
        </w:rPr>
      </w:pPr>
      <w:bookmarkStart w:id="141" w:name="_Toc155175851"/>
      <w:bookmarkStart w:id="142" w:name="_Toc161749033"/>
      <w:bookmarkStart w:id="143" w:name="_Toc161750294"/>
      <w:bookmarkStart w:id="144" w:name="_Toc163253962"/>
      <w:bookmarkStart w:id="145" w:name="_Toc172102343"/>
      <w:bookmarkStart w:id="146" w:name="_Toc197068784"/>
      <w:bookmarkStart w:id="147" w:name="_Toc199164894"/>
      <w:bookmarkStart w:id="148" w:name="_Toc202196558"/>
      <w:bookmarkStart w:id="149" w:name="_Toc202197604"/>
      <w:r w:rsidRPr="00661B29">
        <w:rPr>
          <w:b/>
          <w:bCs/>
          <w:i/>
          <w:iCs/>
        </w:rPr>
        <w:t>Figure 1</w:t>
      </w:r>
      <w:r w:rsidRPr="00661B29">
        <w:rPr>
          <w:b/>
          <w:bCs/>
        </w:rPr>
        <w:t xml:space="preserve">: </w:t>
      </w:r>
      <w:r w:rsidR="00B44B29" w:rsidRPr="00661B29">
        <w:rPr>
          <w:b/>
          <w:bCs/>
        </w:rPr>
        <w:t xml:space="preserve">Ladder of </w:t>
      </w:r>
      <w:r w:rsidR="00A707D8" w:rsidRPr="00661B29">
        <w:rPr>
          <w:b/>
          <w:bCs/>
        </w:rPr>
        <w:t>P</w:t>
      </w:r>
      <w:r w:rsidR="00B44B29" w:rsidRPr="00661B29">
        <w:rPr>
          <w:b/>
          <w:bCs/>
        </w:rPr>
        <w:t>articipation.</w:t>
      </w:r>
      <w:bookmarkEnd w:id="141"/>
      <w:bookmarkEnd w:id="142"/>
      <w:bookmarkEnd w:id="143"/>
      <w:bookmarkEnd w:id="144"/>
      <w:bookmarkEnd w:id="145"/>
      <w:bookmarkEnd w:id="146"/>
      <w:bookmarkEnd w:id="147"/>
      <w:bookmarkEnd w:id="148"/>
      <w:bookmarkEnd w:id="149"/>
    </w:p>
    <w:p w14:paraId="5378A4ED" w14:textId="77777777" w:rsidR="00B44B29" w:rsidRDefault="00B44B29" w:rsidP="00772DAC">
      <w:pPr>
        <w:pStyle w:val="BodyText"/>
        <w:ind w:left="0" w:firstLine="0"/>
      </w:pPr>
      <w:r>
        <w:t xml:space="preserve">Source: </w:t>
      </w:r>
      <w:r w:rsidRPr="00B44B29">
        <w:t>Arnstein (1969).</w:t>
      </w:r>
    </w:p>
    <w:p w14:paraId="565C03C5" w14:textId="77777777" w:rsidR="00986F38" w:rsidRDefault="007A0CDA" w:rsidP="001653C7">
      <w:pPr>
        <w:spacing w:after="0"/>
        <w:ind w:left="0" w:firstLine="0"/>
      </w:pPr>
      <w:r>
        <w:tab/>
      </w:r>
      <w:r w:rsidR="00986F38">
        <w:t>Four (4) key components influence an individual's level of participation on the participation ladder. These are Access, Awareness, Control and Benefits as maintained by Yani et al. (2017).</w:t>
      </w:r>
      <w:r>
        <w:t xml:space="preserve"> </w:t>
      </w:r>
      <w:r w:rsidR="00986F38">
        <w:t>Access involves facilitating citizen engagement in the developmental processes of policy formulation, implementation, evaluation, and monitoring. Citizens engage when the government grants access to each stage with specific roles. A broader access space correlates with higher-quality community involvement in regional development.</w:t>
      </w:r>
    </w:p>
    <w:p w14:paraId="23097715" w14:textId="77777777" w:rsidR="00986F38" w:rsidRDefault="007A0CDA" w:rsidP="007A0CDA">
      <w:pPr>
        <w:spacing w:after="0"/>
        <w:ind w:left="0" w:firstLine="0"/>
      </w:pPr>
      <w:r>
        <w:tab/>
      </w:r>
      <w:r w:rsidR="00986F38">
        <w:t xml:space="preserve">Awareness pertains to citizens comprehending their role within a democratic state framework. Diminished understanding leads to apathy and </w:t>
      </w:r>
      <w:r w:rsidR="00986F38">
        <w:lastRenderedPageBreak/>
        <w:t xml:space="preserve">limited engagement in planning and implementation. Conversely, heightened awareness fosters active community participation. The greater </w:t>
      </w:r>
      <w:r w:rsidR="00BF7670">
        <w:t xml:space="preserve">the </w:t>
      </w:r>
      <w:r w:rsidR="00986F38">
        <w:t>citizens' awareness, the more robust their involvement b</w:t>
      </w:r>
      <w:r>
        <w:t xml:space="preserve">ecomes. </w:t>
      </w:r>
      <w:r w:rsidR="00986F38">
        <w:t>Control relates to citizens' capacity to influence political power, a cornerstone of democracy</w:t>
      </w:r>
      <w:r w:rsidR="00BF7670">
        <w:t>—w</w:t>
      </w:r>
      <w:r w:rsidR="00986F38">
        <w:t>eak control results in limited citizen engagement in development. S</w:t>
      </w:r>
      <w:r w:rsidR="00BF7670">
        <w:t>ubstantial</w:t>
      </w:r>
      <w:r w:rsidR="00986F38">
        <w:t xml:space="preserve"> control prompts proactive community participation to ensure policies align with collective interests.</w:t>
      </w:r>
    </w:p>
    <w:p w14:paraId="3D2A244A" w14:textId="0C63C1B4" w:rsidR="00986F38" w:rsidRDefault="007A0CDA" w:rsidP="001653C7">
      <w:pPr>
        <w:spacing w:after="0"/>
        <w:ind w:left="0" w:firstLine="0"/>
      </w:pPr>
      <w:r>
        <w:tab/>
      </w:r>
      <w:r w:rsidR="00986F38" w:rsidRPr="00C757AE">
        <w:t xml:space="preserve">The final aspect of community participation pertains to its beneficial outcomes, involving an evaluation of the community's role in the developmental process. When individuals experience the positive effects of development, their enthusiasm for engaging in the process increases. Conversely, </w:t>
      </w:r>
      <w:r w:rsidR="00BF7670">
        <w:t xml:space="preserve">their involvement </w:t>
      </w:r>
      <w:r w:rsidR="008E4CCF">
        <w:t>diminishes</w:t>
      </w:r>
      <w:r w:rsidR="00BF7670">
        <w:t xml:space="preserve"> if they do not perceive these benefits</w:t>
      </w:r>
      <w:r w:rsidR="00986F38" w:rsidRPr="00C757AE">
        <w:t xml:space="preserve">. According to Ison </w:t>
      </w:r>
      <w:r w:rsidR="0093084E">
        <w:t xml:space="preserve">et al. </w:t>
      </w:r>
      <w:r w:rsidR="00986F38" w:rsidRPr="00C757AE">
        <w:t>(200</w:t>
      </w:r>
      <w:r w:rsidR="0093084E">
        <w:t>7</w:t>
      </w:r>
      <w:r w:rsidR="00986F38" w:rsidRPr="00C757AE">
        <w:t xml:space="preserve">), Arnstein's Ladder of Citizen Participation is alluring due to its simplicity and capacity to visually depict the underlying power dynamics in institutional narratives and variations in desired or resulting participation methods. Nevertheless, criticisms of Arnstein's model exist. </w:t>
      </w:r>
    </w:p>
    <w:p w14:paraId="14BF058D" w14:textId="4F0172B8" w:rsidR="00986F38" w:rsidRDefault="007A0CDA" w:rsidP="007A0CDA">
      <w:pPr>
        <w:spacing w:after="0"/>
        <w:ind w:left="0" w:firstLine="0"/>
      </w:pPr>
      <w:r>
        <w:tab/>
      </w:r>
      <w:r w:rsidR="00986F38" w:rsidRPr="00C757AE">
        <w:t xml:space="preserve">Collins and Ison </w:t>
      </w:r>
      <w:r w:rsidR="0093084E">
        <w:t xml:space="preserve">et al. </w:t>
      </w:r>
      <w:r w:rsidR="00986F38" w:rsidRPr="00C757AE">
        <w:t>(200</w:t>
      </w:r>
      <w:r w:rsidR="0093084E">
        <w:t>7</w:t>
      </w:r>
      <w:r w:rsidR="00986F38" w:rsidRPr="00C757AE">
        <w:t xml:space="preserve">) argue that Arnstein's ladder, focusing on power, falls short </w:t>
      </w:r>
      <w:r w:rsidR="00986F38">
        <w:t>of</w:t>
      </w:r>
      <w:r w:rsidR="00986F38" w:rsidRPr="00C757AE">
        <w:t xml:space="preserve"> comprehensively understanding participation </w:t>
      </w:r>
      <w:r w:rsidR="00BF7670">
        <w:t>conceptually and practically</w:t>
      </w:r>
      <w:r w:rsidR="00986F38" w:rsidRPr="00C757AE">
        <w:t xml:space="preserve">. They further highlight </w:t>
      </w:r>
      <w:r w:rsidR="00986F38">
        <w:t xml:space="preserve">the </w:t>
      </w:r>
      <w:r w:rsidR="00986F38" w:rsidRPr="00C757AE">
        <w:t xml:space="preserve">limitations of the ladder, including the assumption that participation follows a hierarchical structure with citizen control as the </w:t>
      </w:r>
      <w:proofErr w:type="gramStart"/>
      <w:r w:rsidR="00986F38" w:rsidRPr="00C757AE">
        <w:t>ultimate goal</w:t>
      </w:r>
      <w:proofErr w:type="gramEnd"/>
      <w:r w:rsidR="00BF7670">
        <w:t>. This assumption</w:t>
      </w:r>
      <w:r w:rsidR="00986F38" w:rsidRPr="00C757AE">
        <w:t xml:space="preserve"> does not consistently align with participants' motivations for </w:t>
      </w:r>
      <w:r w:rsidR="008E4CCF">
        <w:t>decision-making</w:t>
      </w:r>
      <w:r w:rsidR="00986F38" w:rsidRPr="00C757AE">
        <w:t>.</w:t>
      </w:r>
      <w:r w:rsidR="00986F38">
        <w:t xml:space="preserve"> </w:t>
      </w:r>
    </w:p>
    <w:p w14:paraId="7F449D74" w14:textId="77777777" w:rsidR="00986F38" w:rsidRDefault="007A0CDA" w:rsidP="007A0CDA">
      <w:pPr>
        <w:spacing w:after="0"/>
        <w:ind w:left="0" w:firstLine="0"/>
      </w:pPr>
      <w:r>
        <w:tab/>
      </w:r>
      <w:r w:rsidR="00986F38">
        <w:t xml:space="preserve">Cornwall and </w:t>
      </w:r>
      <w:proofErr w:type="spellStart"/>
      <w:r w:rsidR="00986F38">
        <w:t>Gaventa</w:t>
      </w:r>
      <w:proofErr w:type="spellEnd"/>
      <w:r w:rsidR="00986F38">
        <w:t xml:space="preserve"> (2001) critique</w:t>
      </w:r>
      <w:r w:rsidR="000A080A">
        <w:t>d</w:t>
      </w:r>
      <w:r w:rsidR="00986F38">
        <w:t xml:space="preserve"> Arnstein's ladder as presenting a simplistic and linear view of participation that fails to capture the complexity of actual decision-making processes. </w:t>
      </w:r>
      <w:proofErr w:type="gramStart"/>
      <w:r w:rsidR="00986F38">
        <w:t>In reality, participation</w:t>
      </w:r>
      <w:proofErr w:type="gramEnd"/>
      <w:r w:rsidR="00986F38">
        <w:t xml:space="preserve"> may involve </w:t>
      </w:r>
      <w:r w:rsidR="00986F38">
        <w:lastRenderedPageBreak/>
        <w:t xml:space="preserve">multiple levels and forms of engagement that overlap and interact. For example, an individual may participate in consultation processes at one </w:t>
      </w:r>
      <w:r w:rsidR="008E4CCF">
        <w:t>decision-making level</w:t>
      </w:r>
      <w:r w:rsidR="00BF7670">
        <w:t xml:space="preserve"> and engage</w:t>
      </w:r>
      <w:r w:rsidR="00986F38">
        <w:t xml:space="preserve"> in activism and advocacy at another level. </w:t>
      </w:r>
    </w:p>
    <w:p w14:paraId="065963EE" w14:textId="77777777" w:rsidR="00986F38" w:rsidRDefault="007A0CDA" w:rsidP="001653C7">
      <w:pPr>
        <w:spacing w:after="0"/>
        <w:ind w:left="0" w:firstLine="0"/>
      </w:pPr>
      <w:r>
        <w:tab/>
      </w:r>
      <w:r w:rsidR="00986F38">
        <w:t xml:space="preserve">Another critique of Arnstein's ladder is that Cooke </w:t>
      </w:r>
      <w:r w:rsidR="00BF7670">
        <w:t>and</w:t>
      </w:r>
      <w:r w:rsidR="00986F38">
        <w:t xml:space="preserve"> Kothari</w:t>
      </w:r>
      <w:r w:rsidR="00BF7670">
        <w:t xml:space="preserve"> </w:t>
      </w:r>
      <w:r w:rsidR="00986F38">
        <w:t>(2001) fault it assuming a static and dichotomous view of power, whereby decision-making power is either held by elites or transferred to citizens through participation. Cooke</w:t>
      </w:r>
      <w:r w:rsidR="00BF7670">
        <w:t xml:space="preserve"> and </w:t>
      </w:r>
      <w:r w:rsidR="00986F38">
        <w:t xml:space="preserve">Kothari </w:t>
      </w:r>
      <w:r w:rsidR="00BF7670">
        <w:t>believe</w:t>
      </w:r>
      <w:r w:rsidR="00986F38">
        <w:t xml:space="preserve"> that the ladder overlooks the dynamic and contested nature of power relations, which are shaped by multiple factors, such as social norms, institutional structures, and historical legacies. Moreover, it assumes that participation automatically leads to greater empowerment and social justice without accounting for the potential for co-optation or manipulation of citizen voices. </w:t>
      </w:r>
    </w:p>
    <w:p w14:paraId="2E5B4D72" w14:textId="38463904" w:rsidR="00986F38" w:rsidRDefault="007A0CDA" w:rsidP="007A0CDA">
      <w:pPr>
        <w:spacing w:after="0"/>
        <w:ind w:left="0" w:firstLine="0"/>
      </w:pPr>
      <w:r>
        <w:tab/>
      </w:r>
      <w:r w:rsidR="00986F38" w:rsidRPr="00C22216">
        <w:t>Recogni</w:t>
      </w:r>
      <w:r w:rsidR="00BF7670">
        <w:t>s</w:t>
      </w:r>
      <w:r w:rsidR="00986F38" w:rsidRPr="00C22216">
        <w:t xml:space="preserve">ing the advantages and constraints inherent in the Arnstein Ladder, it was deemed the most suitable instrument for this research. The criticisms based on normative aspects held lesser significance </w:t>
      </w:r>
      <w:proofErr w:type="gramStart"/>
      <w:r w:rsidR="00986F38" w:rsidRPr="00C22216">
        <w:t>in light of</w:t>
      </w:r>
      <w:proofErr w:type="gramEnd"/>
      <w:r w:rsidR="00986F38" w:rsidRPr="00C22216">
        <w:t xml:space="preserve"> </w:t>
      </w:r>
      <w:r w:rsidR="00986F38">
        <w:t>their</w:t>
      </w:r>
      <w:r w:rsidR="00986F38" w:rsidRPr="00C22216">
        <w:t xml:space="preserve"> utilization for identifying standards and practical viewpoints within the populace and government experts.</w:t>
      </w:r>
      <w:r w:rsidR="00986F38">
        <w:t xml:space="preserve"> Arnstein's ladder of participation will provide this study with a </w:t>
      </w:r>
      <w:r w:rsidR="00BF7670">
        <w:t>help</w:t>
      </w:r>
      <w:r w:rsidR="00986F38">
        <w:t xml:space="preserve">ful framework for understanding and </w:t>
      </w:r>
      <w:proofErr w:type="gramStart"/>
      <w:r w:rsidR="00986F38">
        <w:t xml:space="preserve">evaluating </w:t>
      </w:r>
      <w:r w:rsidR="00762CC0">
        <w:t xml:space="preserve"> </w:t>
      </w:r>
      <w:r w:rsidR="00986F38">
        <w:t>citizen</w:t>
      </w:r>
      <w:proofErr w:type="gramEnd"/>
      <w:r w:rsidR="00986F38">
        <w:t xml:space="preserve"> participation in decision-making in collaborative processes. The ladder emphasi</w:t>
      </w:r>
      <w:r w:rsidR="00BF7670">
        <w:t>s</w:t>
      </w:r>
      <w:r w:rsidR="00986F38">
        <w:t xml:space="preserve">es the importance of genuine engagement and influence and highlights the different levels of participation that can occur in practice. While the ladder has some limitations, such as its focus on formal decision-making processes, it remains </w:t>
      </w:r>
      <w:r w:rsidR="008E4CCF">
        <w:t>helpful in</w:t>
      </w:r>
      <w:r w:rsidR="00986F38">
        <w:t xml:space="preserve"> analy</w:t>
      </w:r>
      <w:r w:rsidR="008E4CCF">
        <w:t>s</w:t>
      </w:r>
      <w:r w:rsidR="00986F38">
        <w:t>ing and evaluating participation in various contexts.</w:t>
      </w:r>
    </w:p>
    <w:p w14:paraId="7FB6D9CA" w14:textId="0AF67E14" w:rsidR="00BF7670" w:rsidRDefault="007A0CDA" w:rsidP="007A0CDA">
      <w:pPr>
        <w:spacing w:after="0"/>
        <w:ind w:left="0" w:firstLine="0"/>
      </w:pPr>
      <w:r>
        <w:tab/>
      </w:r>
      <w:r w:rsidR="00986F38">
        <w:t>Despite the presence of participatory tools such as Pretty’s (1995) typology, the study w</w:t>
      </w:r>
      <w:r w:rsidR="00762CC0">
        <w:t>as</w:t>
      </w:r>
      <w:r w:rsidR="00986F38">
        <w:t xml:space="preserve"> guided by Arnstein's (1969) ladder of participation. </w:t>
      </w:r>
      <w:r w:rsidR="00986F38">
        <w:lastRenderedPageBreak/>
        <w:t>Arnstein's (1969) ladder of participation and Pretty's (1995) typology provide frameworks for understanding different levels of community engagement in decision-making processes. However, Arnstein's ladder outperforms Pretty's typology in various ways. To begin</w:t>
      </w:r>
      <w:r w:rsidR="00BF7670">
        <w:t xml:space="preserve"> with</w:t>
      </w:r>
      <w:r w:rsidR="00986F38">
        <w:t xml:space="preserve">, Arnstein's ladder categorises participation into eight rungs, ranging from manipulation at the bottom to citizen control at the top, providing a complete and more nuanced picture of involvement. This ladder approach </w:t>
      </w:r>
      <w:r w:rsidR="00BF7670">
        <w:t>distinguishes</w:t>
      </w:r>
      <w:r w:rsidR="00986F38">
        <w:t xml:space="preserve"> between tokenistic activity and actual community empowerment. </w:t>
      </w:r>
    </w:p>
    <w:p w14:paraId="24CE103F" w14:textId="77777777" w:rsidR="00986F38" w:rsidRDefault="007A0CDA" w:rsidP="001653C7">
      <w:pPr>
        <w:spacing w:after="0"/>
        <w:ind w:left="0" w:firstLine="0"/>
      </w:pPr>
      <w:r>
        <w:tab/>
      </w:r>
      <w:r w:rsidR="008E4CCF">
        <w:t>On the other hand, Pretty's typology</w:t>
      </w:r>
      <w:r w:rsidR="00986F38">
        <w:t xml:space="preserve"> separates participation into three broad categories, which may oversimplify the intricacies of community engagement and fail to represent the entire range of citizen involvement (Arnstein, 1969; Pretty, 1995).</w:t>
      </w:r>
    </w:p>
    <w:p w14:paraId="10521017" w14:textId="77777777" w:rsidR="00986F38" w:rsidRDefault="007A0CDA" w:rsidP="00772DAC">
      <w:pPr>
        <w:ind w:left="0" w:firstLine="0"/>
      </w:pPr>
      <w:r>
        <w:tab/>
      </w:r>
      <w:r w:rsidR="00986F38">
        <w:t>Furthermore, Arnstein's (1969) ladder emphasises the importance of upward influence in the power dynamics between decision-makers and community members. It understands that meaningful participation entails sharing decision-making authority and communal resources. This emphasis on power-sharing is consistent with modern participatory governance ideas, which emphasise the importance of equitable partnerships in sustainable development (Arnstein, 1969). In comparison, Pretty's (1995) typology does not address power disparities, which may leave gaps in knowledge of how communities might have a significant effect on choices that affect them. Overall, Arnstein's participation ladder provides a more thorough and empowering framework for examining and encouraging community participation in decision-making processes.</w:t>
      </w:r>
    </w:p>
    <w:p w14:paraId="373FF59B" w14:textId="77777777" w:rsidR="00BE014D" w:rsidRPr="00A74384" w:rsidRDefault="00BE014D" w:rsidP="00BE014D">
      <w:pPr>
        <w:pStyle w:val="Heading2"/>
        <w:ind w:left="0"/>
        <w:rPr>
          <w:rFonts w:eastAsia="Times New Roman"/>
          <w:lang w:eastAsia="en-GB"/>
        </w:rPr>
      </w:pPr>
      <w:bookmarkStart w:id="150" w:name="_Toc161749034"/>
      <w:bookmarkStart w:id="151" w:name="_Toc161750295"/>
      <w:bookmarkStart w:id="152" w:name="_Toc202197605"/>
      <w:proofErr w:type="spellStart"/>
      <w:r w:rsidRPr="00A74384">
        <w:rPr>
          <w:rFonts w:eastAsia="Times New Roman"/>
          <w:lang w:eastAsia="en-GB"/>
        </w:rPr>
        <w:lastRenderedPageBreak/>
        <w:t>Gaventa’s</w:t>
      </w:r>
      <w:proofErr w:type="spellEnd"/>
      <w:r w:rsidRPr="00A74384">
        <w:rPr>
          <w:rFonts w:eastAsia="Times New Roman"/>
          <w:lang w:eastAsia="en-GB"/>
        </w:rPr>
        <w:t xml:space="preserve"> </w:t>
      </w:r>
      <w:r>
        <w:rPr>
          <w:rFonts w:eastAsia="Times New Roman"/>
          <w:lang w:eastAsia="en-GB"/>
        </w:rPr>
        <w:t xml:space="preserve">(2006) </w:t>
      </w:r>
      <w:r w:rsidRPr="00A74384">
        <w:rPr>
          <w:rFonts w:eastAsia="Times New Roman"/>
          <w:lang w:eastAsia="en-GB"/>
        </w:rPr>
        <w:t>Power Cube</w:t>
      </w:r>
      <w:bookmarkEnd w:id="150"/>
      <w:bookmarkEnd w:id="151"/>
      <w:bookmarkEnd w:id="152"/>
    </w:p>
    <w:p w14:paraId="2BBE1E71" w14:textId="77777777" w:rsidR="00BE014D" w:rsidRPr="00802D41" w:rsidRDefault="00BE014D" w:rsidP="00BE014D">
      <w:pPr>
        <w:spacing w:after="0"/>
        <w:ind w:left="0"/>
        <w:rPr>
          <w:rFonts w:cs="Times New Roman"/>
          <w:szCs w:val="24"/>
        </w:rPr>
      </w:pPr>
      <w:proofErr w:type="spellStart"/>
      <w:r>
        <w:rPr>
          <w:rFonts w:eastAsia="Times New Roman" w:cs="Times New Roman"/>
          <w:szCs w:val="24"/>
          <w:lang w:eastAsia="en-GB"/>
        </w:rPr>
        <w:t>Gaventa's</w:t>
      </w:r>
      <w:proofErr w:type="spellEnd"/>
      <w:r>
        <w:rPr>
          <w:rFonts w:eastAsia="Times New Roman" w:cs="Times New Roman"/>
          <w:szCs w:val="24"/>
          <w:lang w:eastAsia="en-GB"/>
        </w:rPr>
        <w:t xml:space="preserve"> (2006) "Power Cube" is a comprehensive analytical framework that assesses the complex nature of power dynamics within and beyond communities. Developed collaboratively by scholars from the Power, Participation, and Social Change group at the Institute of Development Studies (IDS), this framework seeks to unpack three primary dimensions—Spaces, Levels, and Forms—of power and their interrelationships.</w:t>
      </w:r>
    </w:p>
    <w:p w14:paraId="73258026" w14:textId="77777777" w:rsidR="00BE014D" w:rsidRPr="00E0011D" w:rsidRDefault="00BE014D" w:rsidP="004E5FE3">
      <w:pPr>
        <w:spacing w:after="0"/>
        <w:ind w:left="0" w:firstLine="0"/>
        <w:rPr>
          <w:rFonts w:cs="Times New Roman"/>
          <w:b/>
          <w:bCs/>
          <w:szCs w:val="24"/>
        </w:rPr>
      </w:pPr>
      <w:r w:rsidRPr="00E0011D">
        <w:rPr>
          <w:rFonts w:cs="Times New Roman"/>
          <w:b/>
          <w:bCs/>
          <w:szCs w:val="24"/>
        </w:rPr>
        <w:t>Spaces</w:t>
      </w:r>
    </w:p>
    <w:p w14:paraId="00B22E7D" w14:textId="77777777" w:rsidR="00BE014D" w:rsidRPr="00A577D2" w:rsidRDefault="00BE014D" w:rsidP="00BE014D">
      <w:pPr>
        <w:spacing w:after="0"/>
        <w:ind w:left="0"/>
        <w:rPr>
          <w:rFonts w:cs="Times New Roman"/>
          <w:szCs w:val="24"/>
        </w:rPr>
      </w:pPr>
      <w:r>
        <w:rPr>
          <w:rFonts w:cs="Times New Roman"/>
          <w:szCs w:val="24"/>
        </w:rPr>
        <w:t xml:space="preserve">As described by </w:t>
      </w:r>
      <w:proofErr w:type="spellStart"/>
      <w:r>
        <w:rPr>
          <w:rFonts w:cs="Times New Roman"/>
          <w:szCs w:val="24"/>
        </w:rPr>
        <w:t>Gaventa</w:t>
      </w:r>
      <w:proofErr w:type="spellEnd"/>
      <w:r>
        <w:rPr>
          <w:rFonts w:cs="Times New Roman"/>
          <w:szCs w:val="24"/>
        </w:rPr>
        <w:t xml:space="preserve"> (2006), closed spaces are private settings in which a specific group of individuals makes decisions behind closed doors without attempting to involve others. In the context of the state, these spaces can be considered as "provided" areas where elites, such as bureaucrats, specialists, or elected representatives, make decisions and deliver services to the </w:t>
      </w:r>
      <w:proofErr w:type="gramStart"/>
      <w:r>
        <w:rPr>
          <w:rFonts w:cs="Times New Roman"/>
          <w:szCs w:val="24"/>
        </w:rPr>
        <w:t>general public</w:t>
      </w:r>
      <w:proofErr w:type="gramEnd"/>
      <w:r>
        <w:rPr>
          <w:rFonts w:cs="Times New Roman"/>
          <w:szCs w:val="24"/>
        </w:rPr>
        <w:t xml:space="preserve"> without seeking broader input or participation. Several civil society initiatives have aimed at increasing transparency, public involvement, and accountability in these areas.</w:t>
      </w:r>
    </w:p>
    <w:p w14:paraId="532A9C24" w14:textId="273D73ED" w:rsidR="00C9668A" w:rsidRDefault="00C9668A" w:rsidP="004E5FE3">
      <w:pPr>
        <w:pStyle w:val="NormalWeb"/>
        <w:spacing w:before="0" w:beforeAutospacing="0" w:after="0" w:afterAutospacing="0" w:line="480" w:lineRule="auto"/>
        <w:ind w:firstLine="720"/>
        <w:jc w:val="both"/>
        <w:rPr>
          <w:rFonts w:eastAsiaTheme="minorHAnsi"/>
          <w:lang w:eastAsia="en-US"/>
        </w:rPr>
      </w:pPr>
      <w:r w:rsidRPr="00C9668A">
        <w:rPr>
          <w:rFonts w:eastAsiaTheme="minorHAnsi"/>
          <w:lang w:eastAsia="en-US"/>
        </w:rPr>
        <w:t>Invited spaces refer to newly established areas for participation, aiming to transition from restricted environments to more inclusive ones. These areas, termed "invited" spaces, are designed for participation facilitated by authorities such as government agencies, non-governmental organi</w:t>
      </w:r>
      <w:r>
        <w:rPr>
          <w:rFonts w:eastAsiaTheme="minorHAnsi"/>
          <w:lang w:eastAsia="en-US"/>
        </w:rPr>
        <w:t>s</w:t>
      </w:r>
      <w:r w:rsidRPr="00C9668A">
        <w:rPr>
          <w:rFonts w:eastAsiaTheme="minorHAnsi"/>
          <w:lang w:eastAsia="en-US"/>
        </w:rPr>
        <w:t>ations, or supranational bodies (Cornwall, 2002). These spaces can be formali</w:t>
      </w:r>
      <w:r>
        <w:rPr>
          <w:rFonts w:eastAsiaTheme="minorHAnsi"/>
          <w:lang w:eastAsia="en-US"/>
        </w:rPr>
        <w:t>s</w:t>
      </w:r>
      <w:r w:rsidRPr="00C9668A">
        <w:rPr>
          <w:rFonts w:eastAsiaTheme="minorHAnsi"/>
          <w:lang w:eastAsia="en-US"/>
        </w:rPr>
        <w:t xml:space="preserve">ed, indicating they are institutionalized and enduring, or they can be temporary, existing as one-off consultations. With the advent of participatory governance, invited spaces </w:t>
      </w:r>
      <w:proofErr w:type="gramStart"/>
      <w:r w:rsidRPr="00C9668A">
        <w:rPr>
          <w:rFonts w:eastAsiaTheme="minorHAnsi"/>
          <w:lang w:eastAsia="en-US"/>
        </w:rPr>
        <w:t>have</w:t>
      </w:r>
      <w:proofErr w:type="gramEnd"/>
      <w:r w:rsidRPr="00C9668A">
        <w:rPr>
          <w:rFonts w:eastAsiaTheme="minorHAnsi"/>
          <w:lang w:eastAsia="en-US"/>
        </w:rPr>
        <w:t xml:space="preserve"> become prevalent across all levels, from local government to national policy, and even within global policy forums.</w:t>
      </w:r>
    </w:p>
    <w:p w14:paraId="601F4D5B" w14:textId="6C4EEB72" w:rsidR="00C9668A" w:rsidRDefault="00C9668A" w:rsidP="004E5FE3">
      <w:pPr>
        <w:pStyle w:val="NormalWeb"/>
        <w:spacing w:before="0" w:beforeAutospacing="0" w:after="0" w:afterAutospacing="0" w:line="480" w:lineRule="auto"/>
        <w:ind w:firstLine="720"/>
        <w:jc w:val="both"/>
      </w:pPr>
      <w:r w:rsidRPr="00C9668A">
        <w:lastRenderedPageBreak/>
        <w:t>Cornwall (2002) describes "organic" spaces as those claimed by less powerful groups either in opposition to or independent of dominant power holders. These spaces form around shared concerns or identities, often arising from popular mobili</w:t>
      </w:r>
      <w:r>
        <w:t>s</w:t>
      </w:r>
      <w:r w:rsidRPr="00C9668A">
        <w:t>ation related to identity or specific issues. They may also be spaces where like-minded individuals engage in common activities. Soja (1996) refers to these as "third spaces," where social actors reject dominant spaces and create their own. These spaces vary from those established by social movements and community organizations to informal gatherings in natural settings where people debate, discuss, and resist outside formal policy arenas.</w:t>
      </w:r>
    </w:p>
    <w:p w14:paraId="455D1793" w14:textId="053F1543" w:rsidR="00BE014D" w:rsidRDefault="00BE014D" w:rsidP="004E5FE3">
      <w:pPr>
        <w:pStyle w:val="NormalWeb"/>
        <w:spacing w:before="0" w:beforeAutospacing="0" w:after="0" w:afterAutospacing="0" w:line="480" w:lineRule="auto"/>
        <w:ind w:firstLine="720"/>
        <w:jc w:val="both"/>
      </w:pPr>
      <w:r>
        <w:t>The following list of spaces, as outlined by Pearce and Vela (2005), is not exhaustive, as they discovered a range of spaces while working with civil society actors in Colombia: formal by invitation; formal by right; created by non-state institutions (such as churches, political parties, and donors) created by civil society organisations (such as NGOs or grassroots groups); and collective transitory actions (such as protests or land occupations).</w:t>
      </w:r>
    </w:p>
    <w:p w14:paraId="28652B36" w14:textId="26215D23" w:rsidR="002C4192" w:rsidRPr="00126EF5" w:rsidRDefault="00BE014D" w:rsidP="00126EF5">
      <w:pPr>
        <w:pStyle w:val="NormalWeb"/>
        <w:spacing w:before="0" w:beforeAutospacing="0" w:after="0" w:afterAutospacing="0" w:line="480" w:lineRule="auto"/>
        <w:ind w:firstLine="720"/>
        <w:jc w:val="both"/>
      </w:pPr>
      <w:r>
        <w:t>It is important to recognise that the person or entity responsible for creating a particular space is likely to hold significant power within it, regardless of the terminology used. However, the reverse may not necessarily be true, as those who possess power in one area may not necessarily have as much influence or control over another.</w:t>
      </w:r>
    </w:p>
    <w:p w14:paraId="7BB8B986" w14:textId="77777777" w:rsidR="00BE014D" w:rsidRPr="00E0011D" w:rsidRDefault="00BE014D" w:rsidP="004E5FE3">
      <w:pPr>
        <w:pStyle w:val="NormalWeb"/>
        <w:spacing w:before="0" w:beforeAutospacing="0" w:after="0" w:afterAutospacing="0" w:line="480" w:lineRule="auto"/>
        <w:jc w:val="both"/>
        <w:rPr>
          <w:b/>
          <w:bCs/>
        </w:rPr>
      </w:pPr>
      <w:r w:rsidRPr="00E0011D">
        <w:rPr>
          <w:b/>
          <w:bCs/>
        </w:rPr>
        <w:t>Places and levels for participation</w:t>
      </w:r>
    </w:p>
    <w:p w14:paraId="0B52C96E" w14:textId="77777777" w:rsidR="00C9668A" w:rsidRDefault="00BE014D" w:rsidP="004E5FE3">
      <w:pPr>
        <w:pStyle w:val="NormalWeb"/>
        <w:spacing w:before="0" w:beforeAutospacing="0" w:after="0" w:afterAutospacing="0" w:line="480" w:lineRule="auto"/>
        <w:ind w:firstLine="720"/>
        <w:jc w:val="both"/>
      </w:pPr>
      <w:r>
        <w:t>The focus of the dimension of levels of participation is on the levels where significant social, political, and economic power are located (</w:t>
      </w:r>
      <w:proofErr w:type="spellStart"/>
      <w:r>
        <w:t>Gaventa</w:t>
      </w:r>
      <w:proofErr w:type="spellEnd"/>
      <w:r>
        <w:t xml:space="preserve">, 2006). This study emphasises local-level decision-making because it subscribes to the idea that participatory practice should begin at the local level, as it is in </w:t>
      </w:r>
      <w:r>
        <w:lastRenderedPageBreak/>
        <w:t xml:space="preserve">everyday arenas where people can challenge power structures and shape their voices. This perspective is consistent with the arguments of </w:t>
      </w:r>
      <w:proofErr w:type="spellStart"/>
      <w:r>
        <w:t>Batliwala</w:t>
      </w:r>
      <w:proofErr w:type="spellEnd"/>
      <w:r>
        <w:t xml:space="preserve"> and Brown (2006) </w:t>
      </w:r>
      <w:r w:rsidR="00B607E8">
        <w:t xml:space="preserve">and </w:t>
      </w:r>
      <w:r>
        <w:t xml:space="preserve">Tarrow (2005), who contend that globalisation is shifting the traditional understanding of where power resides and how it is exercised, thereby challenging traditional notions of citizenship and mobilisation. </w:t>
      </w:r>
    </w:p>
    <w:p w14:paraId="78B23234" w14:textId="2AAB5E70" w:rsidR="00BE014D" w:rsidRDefault="00BE014D" w:rsidP="004E5FE3">
      <w:pPr>
        <w:pStyle w:val="NormalWeb"/>
        <w:spacing w:before="0" w:beforeAutospacing="0" w:after="0" w:afterAutospacing="0" w:line="480" w:lineRule="auto"/>
        <w:ind w:firstLine="720"/>
        <w:jc w:val="both"/>
      </w:pPr>
      <w:r>
        <w:t xml:space="preserve">In the context of global governance, this study focuses on creating new transnational platforms for citizen engagement, such as The New Partnership for Africa’s Development (NEPAD) and the African Union. Furthermore, </w:t>
      </w:r>
      <w:proofErr w:type="spellStart"/>
      <w:r>
        <w:t>Gaventa</w:t>
      </w:r>
      <w:proofErr w:type="spellEnd"/>
      <w:r>
        <w:t xml:space="preserve"> (2006) highlighted the increasing interconnectedness between the local, national, and global levels, rather than being separate realms.</w:t>
      </w:r>
    </w:p>
    <w:p w14:paraId="76F85FD4" w14:textId="4BB35502" w:rsidR="00D72CFB" w:rsidRPr="00126EF5" w:rsidRDefault="00BE014D" w:rsidP="00126EF5">
      <w:pPr>
        <w:pStyle w:val="NormalWeb"/>
        <w:spacing w:before="0" w:beforeAutospacing="0" w:after="0" w:afterAutospacing="0" w:line="480" w:lineRule="auto"/>
        <w:ind w:firstLine="720"/>
        <w:jc w:val="both"/>
      </w:pPr>
      <w:r>
        <w:t>Local forms and expressions of power are continually influenced by global actors and forces, and, in turn, local actions can shape and impact global power dynamics. Local actors may utilise global platforms as venues for action, such as the Narmada Dam project in India and the Zapatista movement in Chiapas, Mexico. Similarly, global expressions of civil society or citizenship may lack substantive connections with local actors and knowledge (</w:t>
      </w:r>
      <w:proofErr w:type="spellStart"/>
      <w:r>
        <w:t>Gaventa</w:t>
      </w:r>
      <w:proofErr w:type="spellEnd"/>
      <w:r>
        <w:t>, 2006).</w:t>
      </w:r>
    </w:p>
    <w:p w14:paraId="251293D1" w14:textId="77777777" w:rsidR="00BE014D" w:rsidRPr="00E0011D" w:rsidRDefault="00BE014D" w:rsidP="004E5FE3">
      <w:pPr>
        <w:pStyle w:val="NormalWeb"/>
        <w:spacing w:after="0" w:afterAutospacing="0" w:line="480" w:lineRule="auto"/>
        <w:jc w:val="both"/>
        <w:rPr>
          <w:b/>
          <w:bCs/>
        </w:rPr>
      </w:pPr>
      <w:r w:rsidRPr="00E0011D">
        <w:rPr>
          <w:b/>
          <w:bCs/>
        </w:rPr>
        <w:t>The forms and visibility of power across spaces and places</w:t>
      </w:r>
    </w:p>
    <w:p w14:paraId="54BD86B3" w14:textId="77777777" w:rsidR="00BE014D" w:rsidRDefault="00BE014D" w:rsidP="004E5FE3">
      <w:pPr>
        <w:pStyle w:val="NormalWeb"/>
        <w:spacing w:before="0" w:beforeAutospacing="0" w:after="0" w:afterAutospacing="0" w:line="480" w:lineRule="auto"/>
        <w:ind w:firstLine="720"/>
        <w:jc w:val="both"/>
      </w:pPr>
      <w:r>
        <w:t xml:space="preserve">The study further examined the dynamics of power that shape the inclusiveness of relationships after discussing place and space vis-à-vis participation. In the context of power dynamics, this study discussed visible, hidden, and invisible power. </w:t>
      </w:r>
    </w:p>
    <w:p w14:paraId="0257DF7C" w14:textId="34F1089D" w:rsidR="00C9668A" w:rsidRDefault="00C9668A" w:rsidP="00D72CFB">
      <w:pPr>
        <w:pStyle w:val="NormalWeb"/>
        <w:spacing w:after="0" w:afterAutospacing="0" w:line="480" w:lineRule="auto"/>
        <w:ind w:firstLine="720"/>
        <w:jc w:val="both"/>
      </w:pPr>
      <w:r w:rsidRPr="00C9668A">
        <w:t xml:space="preserve">Visible power pertains to the tangible aspects of decision-making, including formal rules, structures, authorities, institutions, and procedures. </w:t>
      </w:r>
      <w:proofErr w:type="spellStart"/>
      <w:r w:rsidRPr="00C9668A">
        <w:lastRenderedPageBreak/>
        <w:t>Gaventa</w:t>
      </w:r>
      <w:proofErr w:type="spellEnd"/>
      <w:r w:rsidRPr="00C9668A">
        <w:t xml:space="preserve"> (2006) asserts that this type of power encompasses the clear and identifiable elements of political power. Conversely, hidden power is about shaping the political agenda by determining who participates in decision-making and what issues are considered. Influential individuals and institutions perpetuate their dominance through these mechanisms, often marginali</w:t>
      </w:r>
      <w:r w:rsidR="000E2B2C">
        <w:t>s</w:t>
      </w:r>
      <w:r w:rsidRPr="00C9668A">
        <w:t>ing the concerns and voices of less powerful groups. To counteract this, advocacy efforts aimed at empowering organi</w:t>
      </w:r>
      <w:r>
        <w:t>s</w:t>
      </w:r>
      <w:r w:rsidRPr="00C9668A">
        <w:t>ations and movements of the marginali</w:t>
      </w:r>
      <w:r>
        <w:t>s</w:t>
      </w:r>
      <w:r w:rsidRPr="00C9668A">
        <w:t>ed can cultivate collective power and foster new leadership to influence the political agenda.</w:t>
      </w:r>
    </w:p>
    <w:p w14:paraId="4DFAE45E" w14:textId="0BEC4676" w:rsidR="00BE014D" w:rsidRDefault="00BE014D" w:rsidP="00D72CFB">
      <w:pPr>
        <w:pStyle w:val="NormalWeb"/>
        <w:spacing w:before="0" w:beforeAutospacing="0" w:line="480" w:lineRule="auto"/>
        <w:ind w:firstLine="720"/>
        <w:jc w:val="both"/>
      </w:pPr>
      <w:proofErr w:type="spellStart"/>
      <w:r>
        <w:t>Gaventa</w:t>
      </w:r>
      <w:proofErr w:type="spellEnd"/>
      <w:r>
        <w:t xml:space="preserve"> and Luttrell (2007) maintained that invisible power encompasses the ability to shape meaning and define what is acceptable. This form of power is particularly pernicious, as it influences the psychological and ideological boundaries of participation, excluding issues from decision-making processes as well as the minds and consciousnesses of those affected. By shaping individuals' beliefs, sense of self, and acceptance of the status quo, this level of power perpetuates exclusion and inequality through socialisation, culture, and ideology, which define what is considered normal, acceptable, and safe.</w:t>
      </w:r>
      <w:r w:rsidR="00757547">
        <w:t xml:space="preserve"> Figure two illustrates </w:t>
      </w:r>
    </w:p>
    <w:p w14:paraId="2D17C8C9" w14:textId="77777777" w:rsidR="00757547" w:rsidRDefault="00757547" w:rsidP="00757547">
      <w:pPr>
        <w:pStyle w:val="NormalWeb"/>
        <w:spacing w:line="480" w:lineRule="auto"/>
        <w:jc w:val="both"/>
      </w:pPr>
      <w:r>
        <w:rPr>
          <w:noProof/>
          <w:lang w:val="en-US" w:eastAsia="en-US"/>
        </w:rPr>
        <w:lastRenderedPageBreak/>
        <w:drawing>
          <wp:inline distT="0" distB="0" distL="0" distR="0" wp14:anchorId="1A01E946" wp14:editId="565EE38B">
            <wp:extent cx="5086417" cy="3749040"/>
            <wp:effectExtent l="0" t="0" r="0" b="3810"/>
            <wp:docPr id="11363017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301768" name="Picture 1136301768"/>
                    <pic:cNvPicPr/>
                  </pic:nvPicPr>
                  <pic:blipFill>
                    <a:blip r:embed="rId16">
                      <a:extLst>
                        <a:ext uri="{28A0092B-C50C-407E-A947-70E740481C1C}">
                          <a14:useLocalDpi xmlns:a14="http://schemas.microsoft.com/office/drawing/2010/main" val="0"/>
                        </a:ext>
                      </a:extLst>
                    </a:blip>
                    <a:stretch>
                      <a:fillRect/>
                    </a:stretch>
                  </pic:blipFill>
                  <pic:spPr>
                    <a:xfrm>
                      <a:off x="0" y="0"/>
                      <a:ext cx="5086417" cy="3749040"/>
                    </a:xfrm>
                    <a:prstGeom prst="rect">
                      <a:avLst/>
                    </a:prstGeom>
                  </pic:spPr>
                </pic:pic>
              </a:graphicData>
            </a:graphic>
          </wp:inline>
        </w:drawing>
      </w:r>
    </w:p>
    <w:p w14:paraId="047E8A4F" w14:textId="77777777" w:rsidR="00757547" w:rsidRPr="00661B29" w:rsidRDefault="00757547" w:rsidP="004E5FE3">
      <w:pPr>
        <w:pStyle w:val="Heading3"/>
        <w:ind w:left="0" w:firstLine="0"/>
        <w:rPr>
          <w:b/>
          <w:bCs/>
        </w:rPr>
      </w:pPr>
      <w:bookmarkStart w:id="153" w:name="_Toc161749035"/>
      <w:bookmarkStart w:id="154" w:name="_Toc161750296"/>
      <w:bookmarkStart w:id="155" w:name="_Toc163253964"/>
      <w:bookmarkStart w:id="156" w:name="_Toc172102345"/>
      <w:bookmarkStart w:id="157" w:name="_Toc197068786"/>
      <w:bookmarkStart w:id="158" w:name="_Toc199164896"/>
      <w:bookmarkStart w:id="159" w:name="_Toc202196559"/>
      <w:bookmarkStart w:id="160" w:name="_Toc202197606"/>
      <w:r w:rsidRPr="00661B29">
        <w:rPr>
          <w:rStyle w:val="Heading3Char"/>
          <w:b/>
          <w:bCs/>
          <w:i/>
        </w:rPr>
        <w:t>Figure 2</w:t>
      </w:r>
      <w:r w:rsidRPr="00661B29">
        <w:rPr>
          <w:rStyle w:val="Heading3Char"/>
          <w:b/>
          <w:bCs/>
        </w:rPr>
        <w:t xml:space="preserve">: The Power Cube; the </w:t>
      </w:r>
      <w:r w:rsidR="00A707D8" w:rsidRPr="00661B29">
        <w:rPr>
          <w:rStyle w:val="Heading3Char"/>
          <w:b/>
          <w:bCs/>
        </w:rPr>
        <w:t>Spaces, Levels and Forms of Power</w:t>
      </w:r>
      <w:r w:rsidRPr="00661B29">
        <w:rPr>
          <w:b/>
          <w:bCs/>
        </w:rPr>
        <w:t>.</w:t>
      </w:r>
      <w:bookmarkEnd w:id="153"/>
      <w:bookmarkEnd w:id="154"/>
      <w:bookmarkEnd w:id="155"/>
      <w:bookmarkEnd w:id="156"/>
      <w:bookmarkEnd w:id="157"/>
      <w:bookmarkEnd w:id="158"/>
      <w:bookmarkEnd w:id="159"/>
      <w:bookmarkEnd w:id="160"/>
    </w:p>
    <w:p w14:paraId="058CB086" w14:textId="77777777" w:rsidR="00757547" w:rsidRDefault="00757547" w:rsidP="004E5FE3">
      <w:pPr>
        <w:pStyle w:val="NormalWeb"/>
        <w:spacing w:before="0" w:beforeAutospacing="0" w:after="0" w:afterAutospacing="0" w:line="480" w:lineRule="auto"/>
        <w:jc w:val="both"/>
      </w:pPr>
      <w:r>
        <w:t xml:space="preserve">Source: </w:t>
      </w:r>
      <w:proofErr w:type="spellStart"/>
      <w:r>
        <w:t>Gaventa</w:t>
      </w:r>
      <w:proofErr w:type="spellEnd"/>
      <w:r>
        <w:t xml:space="preserve"> (2006).</w:t>
      </w:r>
    </w:p>
    <w:p w14:paraId="015CC486" w14:textId="77777777" w:rsidR="00757547" w:rsidRDefault="00BE014D" w:rsidP="004E5FE3">
      <w:pPr>
        <w:pStyle w:val="NormalWeb"/>
        <w:spacing w:before="0" w:beforeAutospacing="0" w:after="0" w:afterAutospacing="0" w:line="480" w:lineRule="auto"/>
        <w:ind w:firstLine="720"/>
        <w:jc w:val="both"/>
      </w:pPr>
      <w:proofErr w:type="spellStart"/>
      <w:r>
        <w:t>Gaventa's</w:t>
      </w:r>
      <w:proofErr w:type="spellEnd"/>
      <w:r>
        <w:t xml:space="preserve"> (2006) Power Cube model offers a theoretical framework for comprehending power dynamics within communities, which is particularly applicable in the context of stakeholder analysis and sustainable community forestry initiatives in areas such as the Bobiri and Southern Scarp Forest Reserves. This model categorises power into three dimensions—visible, invisible, and hidden—each corresponding to distinct levels of analysis ranging from observable expressions of power to underlying structural and ideological influences.</w:t>
      </w:r>
    </w:p>
    <w:p w14:paraId="5EEBF2DD" w14:textId="77777777" w:rsidR="00BE014D" w:rsidRDefault="00BE014D" w:rsidP="00074089">
      <w:pPr>
        <w:pStyle w:val="NormalWeb"/>
        <w:spacing w:before="0" w:beforeAutospacing="0" w:after="0" w:afterAutospacing="0" w:line="480" w:lineRule="auto"/>
        <w:ind w:firstLine="720"/>
        <w:jc w:val="both"/>
      </w:pPr>
      <w:r>
        <w:t xml:space="preserve"> In the context of stakeholder analysis, the Power Cube enables a more nuanced understanding of power dynamics among the diverse stakeholders involved in forestry management, illuminating both visible power struggles and concealed forces that shape decision-making processes. By recognising these </w:t>
      </w:r>
      <w:r>
        <w:lastRenderedPageBreak/>
        <w:t>multifaceted dimensions of power, stakeholders can identify and rectify power imbalances and promote equitable and inclusive approaches to forestry governance.</w:t>
      </w:r>
    </w:p>
    <w:p w14:paraId="1CD0EC3E" w14:textId="77777777" w:rsidR="00757547" w:rsidRDefault="00BE014D" w:rsidP="00074089">
      <w:pPr>
        <w:pStyle w:val="NormalWeb"/>
        <w:spacing w:before="0" w:beforeAutospacing="0" w:after="0" w:afterAutospacing="0" w:line="480" w:lineRule="auto"/>
        <w:ind w:firstLine="720"/>
        <w:jc w:val="both"/>
      </w:pPr>
      <w:r>
        <w:t xml:space="preserve">The Power Cube, as outlined by </w:t>
      </w:r>
      <w:proofErr w:type="spellStart"/>
      <w:r>
        <w:t>Gaventa</w:t>
      </w:r>
      <w:proofErr w:type="spellEnd"/>
      <w:r>
        <w:t xml:space="preserve"> (2006), emphasises the importance of transformative spaces, which represent an unseen third dimension of power. In the context of local sustainable community forestry initiatives, such as the Bobiri and Southern Scarp Forest Reserves, this dimension highlights the necessity of addressing the underlying socio-economic and cultural determinants that influence power relations and shape forest management practices. By engaging with these fundamental structures, stakeholders can establish governance mechanisms characterised by greater inclusivity and sustainability, prioritising the conservation and equitable utilisation of forest resources. </w:t>
      </w:r>
    </w:p>
    <w:p w14:paraId="1603D14E" w14:textId="77777777" w:rsidR="00BE014D" w:rsidRDefault="00BE014D" w:rsidP="004E5FE3">
      <w:pPr>
        <w:pStyle w:val="NormalWeb"/>
        <w:spacing w:before="0" w:beforeAutospacing="0" w:after="0" w:afterAutospacing="0" w:line="480" w:lineRule="auto"/>
        <w:ind w:firstLine="720"/>
        <w:jc w:val="both"/>
      </w:pPr>
      <w:r>
        <w:t xml:space="preserve">Consequently, </w:t>
      </w:r>
      <w:r w:rsidR="00757547">
        <w:t>the</w:t>
      </w:r>
      <w:r>
        <w:t xml:space="preserve"> Power Cube model has emerged as a vital analytical tool for stakeholders involved in sustainable community forestry efforts, enabling a more nuanced understanding of complex power dynamics and facilitating the development of governance frameworks that promote sustainable forestry management and social equity.</w:t>
      </w:r>
    </w:p>
    <w:p w14:paraId="2B815B74" w14:textId="77777777" w:rsidR="00BB570F" w:rsidRDefault="00BB570F" w:rsidP="00BB570F">
      <w:pPr>
        <w:pStyle w:val="Heading2"/>
        <w:ind w:left="0"/>
        <w:rPr>
          <w:rFonts w:eastAsia="Times New Roman"/>
          <w:lang w:eastAsia="en-GB"/>
        </w:rPr>
      </w:pPr>
      <w:bookmarkStart w:id="161" w:name="_Toc202197607"/>
      <w:r>
        <w:rPr>
          <w:rFonts w:eastAsia="Times New Roman"/>
          <w:lang w:eastAsia="en-GB"/>
        </w:rPr>
        <w:t>Forest Management Regimes</w:t>
      </w:r>
      <w:bookmarkEnd w:id="161"/>
    </w:p>
    <w:p w14:paraId="1C9E3ADF" w14:textId="77777777" w:rsidR="00BB570F" w:rsidRPr="0019675E" w:rsidRDefault="00BB570F" w:rsidP="00BB570F">
      <w:pPr>
        <w:ind w:left="0"/>
        <w:rPr>
          <w:lang w:eastAsia="en-GB"/>
        </w:rPr>
      </w:pPr>
      <w:r>
        <w:rPr>
          <w:lang w:eastAsia="en-GB"/>
        </w:rPr>
        <w:t>Forest management regimes encompass the systems and methods utilised to oversee and manage forests, and can be classified into four types: private, public, common pool, and open resource regimes. Each category has its own set of benefits and drawbacks, and its efficiency is influenced by several factors, including the size of the forest, the number of users, and the level of surveillance and protection.</w:t>
      </w:r>
    </w:p>
    <w:p w14:paraId="7D454CA8" w14:textId="77777777" w:rsidR="00BB570F" w:rsidRPr="0019675E" w:rsidRDefault="00BB570F" w:rsidP="00BB570F">
      <w:pPr>
        <w:ind w:left="0"/>
        <w:rPr>
          <w:lang w:eastAsia="en-GB"/>
        </w:rPr>
      </w:pPr>
      <w:r>
        <w:rPr>
          <w:lang w:eastAsia="en-GB"/>
        </w:rPr>
        <w:lastRenderedPageBreak/>
        <w:t>Agrawal (1994) described Private Forest management arrangements as those in which individuals or corporations oversee and profit from forested land. The possession of private property rights motivates individuals to efficiently utilise resources and invest in conservation and management. Ostrom (1990) noted that since private landowners can prohibit others from using their resources, they can control access to and manage the forest according to their specific goals. Nevertheless, private ownership may result in overexploitation and degradation of the forest if the owner prioritises immediate gains over long-term sustainability.</w:t>
      </w:r>
    </w:p>
    <w:p w14:paraId="669ACC74" w14:textId="77777777" w:rsidR="00BB570F" w:rsidRPr="0019675E" w:rsidRDefault="00BB570F" w:rsidP="00BB570F">
      <w:pPr>
        <w:ind w:left="0"/>
        <w:rPr>
          <w:lang w:eastAsia="en-GB"/>
        </w:rPr>
      </w:pPr>
      <w:r>
        <w:rPr>
          <w:lang w:eastAsia="en-GB"/>
        </w:rPr>
        <w:t>Similarly, Public Forest management</w:t>
      </w:r>
      <w:r w:rsidRPr="00BB570F">
        <w:rPr>
          <w:lang w:eastAsia="en-GB"/>
        </w:rPr>
        <w:t xml:space="preserve"> </w:t>
      </w:r>
      <w:r>
        <w:rPr>
          <w:lang w:eastAsia="en-GB"/>
        </w:rPr>
        <w:t>regimes, according to Blomquist (1992), typically involve forests owned and managed by the government for the benefit of the public. The public ownership of these forests allows for their protection for various purposes, such as conservation, recreation, and timber production. These forests can be managed at the national, regional, or local level, and management objectives can differ based on the level of governance. While public management can ensure the sustainable use of forests and protect them from overexploitation and degradation, it can also lead to inefficiencies and corruption, resulting in poor forest management and conservation outcomes (Thomson, 1992).</w:t>
      </w:r>
    </w:p>
    <w:p w14:paraId="5BA26F0E" w14:textId="77777777" w:rsidR="00BB570F" w:rsidRPr="0019675E" w:rsidRDefault="00BB570F" w:rsidP="00BB570F">
      <w:pPr>
        <w:ind w:left="0"/>
        <w:rPr>
          <w:lang w:eastAsia="en-GB"/>
        </w:rPr>
      </w:pPr>
      <w:r>
        <w:rPr>
          <w:lang w:eastAsia="en-GB"/>
        </w:rPr>
        <w:t xml:space="preserve">In the context of Common pool forest management, Ostrom (1990) defined it as forests that are collectively owned and managed by a group of users for mutual benefit. Such systems allow the collective management of forests, resulting in sustainable use and conservation outcomes. The presence of common property regimes can encourage users to invest in conservation and management as they have a vested interest in the forest's long-term </w:t>
      </w:r>
      <w:r>
        <w:rPr>
          <w:lang w:eastAsia="en-GB"/>
        </w:rPr>
        <w:lastRenderedPageBreak/>
        <w:t xml:space="preserve">sustainability. However, </w:t>
      </w:r>
      <w:proofErr w:type="spellStart"/>
      <w:r>
        <w:rPr>
          <w:lang w:eastAsia="en-GB"/>
        </w:rPr>
        <w:t>Demsetz</w:t>
      </w:r>
      <w:proofErr w:type="spellEnd"/>
      <w:r>
        <w:rPr>
          <w:lang w:eastAsia="en-GB"/>
        </w:rPr>
        <w:t xml:space="preserve"> (1967) argued that if users prioritise short-term gains over long-term sustainability, common property regimes can also lead to the overexploitation and degradation of the forest.</w:t>
      </w:r>
    </w:p>
    <w:p w14:paraId="018B6207" w14:textId="77777777" w:rsidR="00BB570F" w:rsidRPr="0019675E" w:rsidRDefault="00BB570F" w:rsidP="00BB570F">
      <w:pPr>
        <w:ind w:left="0"/>
        <w:rPr>
          <w:lang w:eastAsia="en-GB"/>
        </w:rPr>
      </w:pPr>
      <w:r>
        <w:rPr>
          <w:lang w:eastAsia="en-GB"/>
        </w:rPr>
        <w:t>Open-access Forest management systems are characterised by forests that are not owned or managed by any specific entity. These forests are vulnerable to overexploitation and degradation because they have no incentive to invest in conservation and management (Scott, 1955). The "tragedy of the commons" phenomenon can occur in open-access forests, where users prioritise their short-term gains over the long-term sustainability of the forest (Hardin, 1968). However, open-access forests can offer opportunities for sustainable use and conservation if appropriate governance structures are implemented (Ostrom, 1990).</w:t>
      </w:r>
    </w:p>
    <w:p w14:paraId="34C689F5" w14:textId="77777777" w:rsidR="0043075F" w:rsidRPr="00AC7C69" w:rsidRDefault="0043075F" w:rsidP="0043075F">
      <w:pPr>
        <w:pStyle w:val="Heading2"/>
        <w:ind w:left="0"/>
      </w:pPr>
      <w:bookmarkStart w:id="162" w:name="_Toc202197608"/>
      <w:r w:rsidRPr="00AC7C69">
        <w:t>Sustainable forest management</w:t>
      </w:r>
      <w:bookmarkEnd w:id="162"/>
    </w:p>
    <w:p w14:paraId="3FA748BB" w14:textId="77777777" w:rsidR="0043075F" w:rsidRDefault="0043075F" w:rsidP="004E5FE3">
      <w:pPr>
        <w:spacing w:after="0"/>
        <w:ind w:left="0"/>
        <w:rPr>
          <w:rFonts w:cs="Times New Roman"/>
          <w:szCs w:val="24"/>
        </w:rPr>
      </w:pPr>
      <w:r w:rsidRPr="00F508E0">
        <w:rPr>
          <w:rFonts w:cs="Times New Roman"/>
          <w:szCs w:val="24"/>
        </w:rPr>
        <w:t>Sustainability gained more attention in the late 1980s and the early 1990s, with the release of the Brundtland report in 1987 and the Earth Summit in Rio de Janeiro, Brazil, in 1992. However, the importance of preserving forest resources for future generations has long been recognised for quite some time.</w:t>
      </w:r>
    </w:p>
    <w:p w14:paraId="0F9E07C7" w14:textId="6B41AD5C" w:rsidR="0043075F" w:rsidRDefault="0043075F" w:rsidP="00074089">
      <w:pPr>
        <w:spacing w:after="0"/>
        <w:ind w:left="0"/>
        <w:rPr>
          <w:rFonts w:cs="Times New Roman"/>
          <w:szCs w:val="24"/>
        </w:rPr>
      </w:pPr>
      <w:r w:rsidRPr="00F508E0">
        <w:rPr>
          <w:rFonts w:cs="Times New Roman"/>
          <w:szCs w:val="24"/>
        </w:rPr>
        <w:t>The harmful effects of forest use in the past and the need to use them sustainably for future generations have been recognised since the 17th century (Glacken, 1976, as cited in Wiersum, 1995). However, it was not until the 18th century that people began talking specifically about sustainability. They believed that smart forest managers should assess forests quickly to get the most out of them, while making sure that future generations get at least as much benefit as the current one (</w:t>
      </w:r>
      <w:proofErr w:type="spellStart"/>
      <w:r w:rsidRPr="00F508E0">
        <w:rPr>
          <w:rFonts w:cs="Times New Roman"/>
          <w:szCs w:val="24"/>
        </w:rPr>
        <w:t>Schmutzenhofer</w:t>
      </w:r>
      <w:proofErr w:type="spellEnd"/>
      <w:r w:rsidRPr="00F508E0">
        <w:rPr>
          <w:rFonts w:cs="Times New Roman"/>
          <w:szCs w:val="24"/>
        </w:rPr>
        <w:t>, 1992, as cited in Wiersum, 1995).</w:t>
      </w:r>
    </w:p>
    <w:p w14:paraId="3C9D089A" w14:textId="77777777" w:rsidR="0043075F" w:rsidRDefault="0043075F" w:rsidP="004E5FE3">
      <w:pPr>
        <w:spacing w:after="0"/>
        <w:ind w:left="0"/>
        <w:rPr>
          <w:rFonts w:cs="Times New Roman"/>
          <w:szCs w:val="24"/>
        </w:rPr>
      </w:pPr>
      <w:r w:rsidRPr="003A3F96">
        <w:rPr>
          <w:rFonts w:cs="Times New Roman"/>
          <w:szCs w:val="24"/>
        </w:rPr>
        <w:lastRenderedPageBreak/>
        <w:t>The initial idea behind sustainable forestry focused on maintaining a steady output of timber from forests. The main goal was to ensure ongoing timber production, assuming that if timber-producing forests were kept healthy, other forest products would also thrive (Peng, 2000). This approach prioritises the sustainability of timber production, often overlooking the ecological and socioeconomic aspects. Forests were mainly seen as resources for practical use, so their broader functions were often overlooked.</w:t>
      </w:r>
    </w:p>
    <w:p w14:paraId="6F5FD555" w14:textId="77777777" w:rsidR="0043075F" w:rsidRPr="00AC7C69" w:rsidRDefault="0043075F" w:rsidP="004E5FE3">
      <w:pPr>
        <w:spacing w:after="0"/>
        <w:ind w:left="0"/>
        <w:rPr>
          <w:rFonts w:cs="Times New Roman"/>
          <w:szCs w:val="24"/>
        </w:rPr>
      </w:pPr>
      <w:r>
        <w:rPr>
          <w:rFonts w:cs="Times New Roman"/>
          <w:szCs w:val="24"/>
        </w:rPr>
        <w:t>However, the growing awareness of the environment and advancements in the scientific understanding of environmental degradation have shifted societal values and global policy structures, significantly impacting forest management objectives in the 20th century (Wang &amp; Wilson, 2007). Despite this, many researchers now believe that climate change is altering the paradigm, and that sustainability should not be confined to what it once was.</w:t>
      </w:r>
    </w:p>
    <w:p w14:paraId="4A881278" w14:textId="47983CC1" w:rsidR="0043075F" w:rsidRDefault="00C9668A" w:rsidP="004E5FE3">
      <w:pPr>
        <w:spacing w:after="0"/>
        <w:ind w:left="0"/>
        <w:rPr>
          <w:rFonts w:cs="Times New Roman"/>
          <w:szCs w:val="24"/>
        </w:rPr>
      </w:pPr>
      <w:r w:rsidRPr="00C9668A">
        <w:rPr>
          <w:rFonts w:cs="Times New Roman"/>
          <w:szCs w:val="24"/>
        </w:rPr>
        <w:t>Sustainable Forest Management (SFM) involves managing forest land to meet specific goals for the ongoing production of forest products and services while preserving the land's intrinsic values and future productivity, and avoiding negative environmental impacts (ITTO, 1992). It also entails utilizing forests and forest lands in a manner that sustains their biodiversity, productivity, regenerative ability, and potential to perform ecological, economic, and social roles at local, national, and global scales, without damaging other ecosystems (MCPFE, 1993).</w:t>
      </w:r>
    </w:p>
    <w:p w14:paraId="61395158" w14:textId="77777777" w:rsidR="0043075F" w:rsidRDefault="0043075F" w:rsidP="004E5FE3">
      <w:pPr>
        <w:spacing w:after="0"/>
        <w:ind w:left="0"/>
        <w:rPr>
          <w:rFonts w:cs="Times New Roman"/>
          <w:szCs w:val="24"/>
        </w:rPr>
      </w:pPr>
      <w:r w:rsidRPr="00054FCC">
        <w:rPr>
          <w:rFonts w:cs="Times New Roman"/>
          <w:szCs w:val="24"/>
        </w:rPr>
        <w:t xml:space="preserve">The subsequent notion, as articulated by MCPFE in 1993, synthesises ecological and socioeconomic factors across diverse management scales and temporal horizons. Nevertheless, both notions predominantly enhance the elucidation of sustainable development posited by the Brundtland Commission </w:t>
      </w:r>
      <w:r w:rsidRPr="00054FCC">
        <w:rPr>
          <w:rFonts w:cs="Times New Roman"/>
          <w:szCs w:val="24"/>
        </w:rPr>
        <w:lastRenderedPageBreak/>
        <w:t>in 1987, which advocates for development to transpire without jeopardising the capacity of forthcoming generations to fulfil their own requirements. These dual concepts concentrate on implementing this framework specifically in forest contexts.</w:t>
      </w:r>
    </w:p>
    <w:p w14:paraId="6EF28F4F" w14:textId="77777777" w:rsidR="0043075F" w:rsidRDefault="0043075F" w:rsidP="004E5FE3">
      <w:pPr>
        <w:spacing w:after="0"/>
        <w:ind w:left="0"/>
        <w:rPr>
          <w:rFonts w:cs="Times New Roman"/>
          <w:szCs w:val="24"/>
        </w:rPr>
      </w:pPr>
      <w:r w:rsidRPr="00714A3D">
        <w:rPr>
          <w:rFonts w:cs="Times New Roman"/>
          <w:szCs w:val="24"/>
        </w:rPr>
        <w:t>Additionally, in accordance with Floyd's (2002) d</w:t>
      </w:r>
      <w:r>
        <w:rPr>
          <w:rFonts w:cs="Times New Roman"/>
          <w:szCs w:val="24"/>
        </w:rPr>
        <w:t>escription</w:t>
      </w:r>
      <w:r w:rsidRPr="00714A3D">
        <w:rPr>
          <w:rFonts w:cs="Times New Roman"/>
          <w:szCs w:val="24"/>
        </w:rPr>
        <w:t>, sustainable forestry encompasses the management of forests to meet current needs while preserving the ability of future generations to meet their own needs. Floyd (2002) asserted that this frequently necessitates achieving equilibrium between societal demands on forests and the imperative to safeguard forest vitality and biodiversity. The author underscored that a considerable number of individuals adopt a triple bottom-line methodology to gauge sustainability, which involves assessing three dimensions: economic, environmental, and societal.</w:t>
      </w:r>
      <w:r>
        <w:rPr>
          <w:rFonts w:cs="Times New Roman"/>
          <w:szCs w:val="24"/>
        </w:rPr>
        <w:t xml:space="preserve"> </w:t>
      </w:r>
    </w:p>
    <w:p w14:paraId="6A70AA94" w14:textId="3FDED02D" w:rsidR="0043075F" w:rsidRDefault="0043075F" w:rsidP="0043075F">
      <w:pPr>
        <w:ind w:left="0"/>
        <w:rPr>
          <w:rFonts w:cs="Times New Roman"/>
          <w:szCs w:val="24"/>
        </w:rPr>
      </w:pPr>
      <w:r w:rsidRPr="0091655E">
        <w:rPr>
          <w:rFonts w:cs="Times New Roman"/>
          <w:szCs w:val="24"/>
        </w:rPr>
        <w:t xml:space="preserve">Floyd (2002) elucidated the tripartite aspects of economic prosperity, environmental </w:t>
      </w:r>
      <w:r>
        <w:rPr>
          <w:rFonts w:cs="Times New Roman"/>
          <w:szCs w:val="24"/>
        </w:rPr>
        <w:t>c</w:t>
      </w:r>
      <w:r w:rsidRPr="0091655E">
        <w:rPr>
          <w:rFonts w:cs="Times New Roman"/>
          <w:szCs w:val="24"/>
        </w:rPr>
        <w:t>onservation, and societal welfare, illustrated in the accompanying figure</w:t>
      </w:r>
      <w:r w:rsidR="001D141A">
        <w:rPr>
          <w:rFonts w:cs="Times New Roman"/>
          <w:szCs w:val="24"/>
        </w:rPr>
        <w:t xml:space="preserve"> 3</w:t>
      </w:r>
      <w:r w:rsidRPr="0091655E">
        <w:rPr>
          <w:rFonts w:cs="Times New Roman"/>
          <w:szCs w:val="24"/>
        </w:rPr>
        <w:t xml:space="preserve">, highlighting their interconnectedness and potential variations across specific contexts. The objective of forest sustainability is to harmonise </w:t>
      </w:r>
      <w:r>
        <w:rPr>
          <w:rFonts w:cs="Times New Roman"/>
          <w:szCs w:val="24"/>
        </w:rPr>
        <w:t>t</w:t>
      </w:r>
      <w:r w:rsidRPr="0091655E">
        <w:rPr>
          <w:rFonts w:cs="Times New Roman"/>
          <w:szCs w:val="24"/>
        </w:rPr>
        <w:t xml:space="preserve">hese three components, </w:t>
      </w:r>
      <w:r>
        <w:rPr>
          <w:rFonts w:cs="Times New Roman"/>
          <w:szCs w:val="24"/>
        </w:rPr>
        <w:t>represented</w:t>
      </w:r>
      <w:r w:rsidRPr="0091655E">
        <w:rPr>
          <w:rFonts w:cs="Times New Roman"/>
          <w:szCs w:val="24"/>
        </w:rPr>
        <w:t xml:space="preserve"> by the shaded region at the core.</w:t>
      </w:r>
    </w:p>
    <w:p w14:paraId="7F4CEAB8" w14:textId="77777777" w:rsidR="0043075F" w:rsidRPr="00AC7C69" w:rsidRDefault="0043075F" w:rsidP="0043075F">
      <w:pPr>
        <w:ind w:left="0" w:firstLine="0"/>
        <w:rPr>
          <w:rFonts w:cs="Times New Roman"/>
          <w:szCs w:val="24"/>
        </w:rPr>
      </w:pPr>
      <w:r w:rsidRPr="00AC7C69">
        <w:rPr>
          <w:rFonts w:cs="Times New Roman"/>
          <w:noProof/>
          <w:szCs w:val="24"/>
          <w:lang w:val="en-US"/>
        </w:rPr>
        <w:lastRenderedPageBreak/>
        <w:drawing>
          <wp:inline distT="0" distB="0" distL="0" distR="0" wp14:anchorId="114C1F6B" wp14:editId="305E1022">
            <wp:extent cx="4279265" cy="3748922"/>
            <wp:effectExtent l="0" t="0" r="6985" b="4445"/>
            <wp:docPr id="204428564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4285647" name="Picture 2044285647"/>
                    <pic:cNvPicPr/>
                  </pic:nvPicPr>
                  <pic:blipFill>
                    <a:blip r:embed="rId17">
                      <a:extLst>
                        <a:ext uri="{28A0092B-C50C-407E-A947-70E740481C1C}">
                          <a14:useLocalDpi xmlns:a14="http://schemas.microsoft.com/office/drawing/2010/main" val="0"/>
                        </a:ext>
                      </a:extLst>
                    </a:blip>
                    <a:stretch>
                      <a:fillRect/>
                    </a:stretch>
                  </pic:blipFill>
                  <pic:spPr>
                    <a:xfrm>
                      <a:off x="0" y="0"/>
                      <a:ext cx="4287671" cy="3756286"/>
                    </a:xfrm>
                    <a:prstGeom prst="rect">
                      <a:avLst/>
                    </a:prstGeom>
                  </pic:spPr>
                </pic:pic>
              </a:graphicData>
            </a:graphic>
          </wp:inline>
        </w:drawing>
      </w:r>
    </w:p>
    <w:p w14:paraId="44D597D2" w14:textId="77777777" w:rsidR="0043075F" w:rsidRPr="00AC7C69" w:rsidRDefault="0043075F" w:rsidP="0043075F">
      <w:pPr>
        <w:ind w:left="0" w:firstLine="0"/>
        <w:rPr>
          <w:rFonts w:cs="Times New Roman"/>
          <w:szCs w:val="24"/>
        </w:rPr>
      </w:pPr>
      <w:bookmarkStart w:id="163" w:name="_Toc161749037"/>
      <w:bookmarkStart w:id="164" w:name="_Toc161750298"/>
      <w:bookmarkStart w:id="165" w:name="_Toc163253967"/>
      <w:bookmarkStart w:id="166" w:name="_Toc172102348"/>
      <w:bookmarkStart w:id="167" w:name="_Toc197068789"/>
      <w:bookmarkStart w:id="168" w:name="_Toc199164899"/>
      <w:bookmarkStart w:id="169" w:name="_Toc202196560"/>
      <w:bookmarkStart w:id="170" w:name="_Toc202197609"/>
      <w:r w:rsidRPr="00A707D8">
        <w:rPr>
          <w:rStyle w:val="Heading3Char"/>
          <w:b/>
          <w:i/>
        </w:rPr>
        <w:t>Figure 3</w:t>
      </w:r>
      <w:r w:rsidRPr="00A707D8">
        <w:rPr>
          <w:rStyle w:val="Heading3Char"/>
          <w:b/>
        </w:rPr>
        <w:t xml:space="preserve">: The </w:t>
      </w:r>
      <w:r w:rsidR="00A707D8" w:rsidRPr="00A707D8">
        <w:rPr>
          <w:rStyle w:val="Heading3Char"/>
          <w:b/>
        </w:rPr>
        <w:t>Elements of Sustainability</w:t>
      </w:r>
      <w:bookmarkEnd w:id="163"/>
      <w:bookmarkEnd w:id="164"/>
      <w:bookmarkEnd w:id="165"/>
      <w:bookmarkEnd w:id="166"/>
      <w:bookmarkEnd w:id="167"/>
      <w:bookmarkEnd w:id="168"/>
      <w:bookmarkEnd w:id="169"/>
      <w:bookmarkEnd w:id="170"/>
      <w:r w:rsidRPr="00AC7C69">
        <w:rPr>
          <w:rFonts w:cs="Times New Roman"/>
          <w:szCs w:val="24"/>
        </w:rPr>
        <w:t>.</w:t>
      </w:r>
    </w:p>
    <w:p w14:paraId="512E1A3F" w14:textId="77777777" w:rsidR="0043075F" w:rsidRPr="00AC7C69" w:rsidRDefault="0043075F" w:rsidP="0043075F">
      <w:pPr>
        <w:ind w:left="0" w:firstLine="0"/>
        <w:rPr>
          <w:rFonts w:cs="Times New Roman"/>
          <w:szCs w:val="24"/>
        </w:rPr>
      </w:pPr>
      <w:r w:rsidRPr="00AC7C69">
        <w:rPr>
          <w:rFonts w:cs="Times New Roman"/>
          <w:szCs w:val="24"/>
        </w:rPr>
        <w:t>Source: Floyd (2002).</w:t>
      </w:r>
    </w:p>
    <w:p w14:paraId="70B1BD3F" w14:textId="1672CD5E" w:rsidR="0043075F" w:rsidRDefault="0043075F" w:rsidP="005432A0">
      <w:pPr>
        <w:pStyle w:val="NoSpacing"/>
        <w:spacing w:line="480" w:lineRule="auto"/>
        <w:ind w:left="0"/>
      </w:pPr>
      <w:r w:rsidRPr="00FB1D4F">
        <w:t>Another perspective on the triad of sustainability, as illuminated by Floyd</w:t>
      </w:r>
      <w:r>
        <w:t xml:space="preserve"> </w:t>
      </w:r>
      <w:r w:rsidRPr="00FB1D4F">
        <w:t>(2002) in the diagram, posits that the human economy hinges on both societal structures and social welfare. Society, in turn, relies on the natural environment, encompassing air, energy, sustenance, and raw materials. This suggests an interdependence in which the economy is reliant on societal well-being, which itself is contingent upon the health of the natural environment</w:t>
      </w:r>
      <w:r w:rsidR="005432A0">
        <w:t xml:space="preserve"> as illustrated in figure 4. </w:t>
      </w:r>
    </w:p>
    <w:p w14:paraId="56548F18" w14:textId="77777777" w:rsidR="00F2480C" w:rsidRDefault="00F2480C" w:rsidP="005432A0">
      <w:pPr>
        <w:pStyle w:val="NoSpacing"/>
        <w:spacing w:line="480" w:lineRule="auto"/>
        <w:ind w:left="0"/>
      </w:pPr>
    </w:p>
    <w:p w14:paraId="050264D0" w14:textId="77777777" w:rsidR="00F2480C" w:rsidRDefault="00F2480C" w:rsidP="005432A0">
      <w:pPr>
        <w:pStyle w:val="NoSpacing"/>
        <w:spacing w:line="480" w:lineRule="auto"/>
        <w:ind w:left="0"/>
      </w:pPr>
    </w:p>
    <w:p w14:paraId="47E231EA" w14:textId="77777777" w:rsidR="00F2480C" w:rsidRDefault="00F2480C" w:rsidP="005432A0">
      <w:pPr>
        <w:pStyle w:val="NoSpacing"/>
        <w:spacing w:line="480" w:lineRule="auto"/>
        <w:ind w:left="0"/>
      </w:pPr>
    </w:p>
    <w:p w14:paraId="6DB61C56" w14:textId="7B3366D0" w:rsidR="005432A0" w:rsidRDefault="005432A0" w:rsidP="005432A0">
      <w:pPr>
        <w:pStyle w:val="NoSpacing"/>
        <w:spacing w:line="480" w:lineRule="auto"/>
        <w:ind w:left="0" w:firstLine="0"/>
      </w:pPr>
    </w:p>
    <w:p w14:paraId="254DB383" w14:textId="39961ADE" w:rsidR="005432A0" w:rsidRDefault="00F2480C" w:rsidP="005432A0">
      <w:pPr>
        <w:pStyle w:val="NoSpacing"/>
        <w:spacing w:line="480" w:lineRule="auto"/>
        <w:ind w:left="0"/>
      </w:pPr>
      <w:r w:rsidRPr="00AC7C69">
        <w:rPr>
          <w:noProof/>
          <w:lang w:val="en-US"/>
        </w:rPr>
        <w:lastRenderedPageBreak/>
        <w:drawing>
          <wp:anchor distT="0" distB="0" distL="114300" distR="114300" simplePos="0" relativeHeight="251658240" behindDoc="0" locked="0" layoutInCell="1" allowOverlap="1" wp14:anchorId="239DAE09" wp14:editId="7F77EF4D">
            <wp:simplePos x="0" y="0"/>
            <wp:positionH relativeFrom="column">
              <wp:posOffset>586105</wp:posOffset>
            </wp:positionH>
            <wp:positionV relativeFrom="paragraph">
              <wp:posOffset>-124701</wp:posOffset>
            </wp:positionV>
            <wp:extent cx="3192780" cy="2444750"/>
            <wp:effectExtent l="0" t="0" r="7620" b="0"/>
            <wp:wrapNone/>
            <wp:docPr id="9456483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648395" name="Picture 945648395"/>
                    <pic:cNvPicPr/>
                  </pic:nvPicPr>
                  <pic:blipFill>
                    <a:blip r:embed="rId18">
                      <a:extLst>
                        <a:ext uri="{28A0092B-C50C-407E-A947-70E740481C1C}">
                          <a14:useLocalDpi xmlns:a14="http://schemas.microsoft.com/office/drawing/2010/main" val="0"/>
                        </a:ext>
                      </a:extLst>
                    </a:blip>
                    <a:stretch>
                      <a:fillRect/>
                    </a:stretch>
                  </pic:blipFill>
                  <pic:spPr>
                    <a:xfrm>
                      <a:off x="0" y="0"/>
                      <a:ext cx="3192780" cy="2444750"/>
                    </a:xfrm>
                    <a:prstGeom prst="rect">
                      <a:avLst/>
                    </a:prstGeom>
                  </pic:spPr>
                </pic:pic>
              </a:graphicData>
            </a:graphic>
            <wp14:sizeRelH relativeFrom="margin">
              <wp14:pctWidth>0</wp14:pctWidth>
            </wp14:sizeRelH>
            <wp14:sizeRelV relativeFrom="margin">
              <wp14:pctHeight>0</wp14:pctHeight>
            </wp14:sizeRelV>
          </wp:anchor>
        </w:drawing>
      </w:r>
    </w:p>
    <w:p w14:paraId="30EC68F4" w14:textId="77777777" w:rsidR="005432A0" w:rsidRPr="00AC7C69" w:rsidRDefault="005432A0" w:rsidP="005432A0">
      <w:pPr>
        <w:pStyle w:val="NoSpacing"/>
        <w:spacing w:line="480" w:lineRule="auto"/>
        <w:ind w:left="0"/>
      </w:pPr>
    </w:p>
    <w:p w14:paraId="7883339A" w14:textId="11BDCE0A" w:rsidR="005432A0" w:rsidRDefault="005432A0" w:rsidP="0043075F">
      <w:pPr>
        <w:ind w:left="0" w:firstLine="0"/>
        <w:rPr>
          <w:rStyle w:val="Heading3Char"/>
          <w:b/>
          <w:i/>
        </w:rPr>
      </w:pPr>
      <w:bookmarkStart w:id="171" w:name="_Toc161749038"/>
      <w:bookmarkStart w:id="172" w:name="_Toc161750299"/>
      <w:bookmarkStart w:id="173" w:name="_Toc163253968"/>
    </w:p>
    <w:p w14:paraId="30A290AA" w14:textId="77777777" w:rsidR="00F2480C" w:rsidRDefault="00F2480C" w:rsidP="00F2480C">
      <w:pPr>
        <w:pStyle w:val="BodyText"/>
      </w:pPr>
    </w:p>
    <w:p w14:paraId="67948759" w14:textId="77777777" w:rsidR="00F2480C" w:rsidRDefault="00F2480C" w:rsidP="00F2480C">
      <w:pPr>
        <w:pStyle w:val="BodyText"/>
      </w:pPr>
    </w:p>
    <w:p w14:paraId="239CD926" w14:textId="77777777" w:rsidR="00F2480C" w:rsidRPr="00F2480C" w:rsidRDefault="00F2480C" w:rsidP="00F2480C">
      <w:pPr>
        <w:pStyle w:val="BodyText"/>
      </w:pPr>
    </w:p>
    <w:p w14:paraId="13C840AE" w14:textId="77777777" w:rsidR="0043075F" w:rsidRPr="00AC7C69" w:rsidRDefault="0043075F" w:rsidP="0043075F">
      <w:pPr>
        <w:ind w:left="0" w:firstLine="0"/>
        <w:rPr>
          <w:rFonts w:cs="Times New Roman"/>
          <w:szCs w:val="24"/>
        </w:rPr>
      </w:pPr>
      <w:bookmarkStart w:id="174" w:name="_Toc172102349"/>
      <w:bookmarkStart w:id="175" w:name="_Toc197068790"/>
      <w:bookmarkStart w:id="176" w:name="_Toc199164900"/>
      <w:bookmarkStart w:id="177" w:name="_Toc202196561"/>
      <w:bookmarkStart w:id="178" w:name="_Toc202197610"/>
      <w:r w:rsidRPr="00073205">
        <w:rPr>
          <w:rStyle w:val="Heading3Char"/>
          <w:b/>
          <w:i/>
        </w:rPr>
        <w:t>Figure 4</w:t>
      </w:r>
      <w:r w:rsidRPr="00073205">
        <w:rPr>
          <w:rStyle w:val="Heading3Char"/>
          <w:b/>
        </w:rPr>
        <w:t>:</w:t>
      </w:r>
      <w:r w:rsidRPr="00A707D8">
        <w:rPr>
          <w:rStyle w:val="Heading3Char"/>
          <w:b/>
        </w:rPr>
        <w:t xml:space="preserve"> </w:t>
      </w:r>
      <w:r w:rsidR="00074089" w:rsidRPr="00A707D8">
        <w:rPr>
          <w:rStyle w:val="Heading3Char"/>
          <w:b/>
        </w:rPr>
        <w:t>The</w:t>
      </w:r>
      <w:r w:rsidRPr="00A707D8">
        <w:rPr>
          <w:rStyle w:val="Heading3Char"/>
          <w:b/>
        </w:rPr>
        <w:t xml:space="preserve"> Triple Bottom Line of Sustainability</w:t>
      </w:r>
      <w:bookmarkEnd w:id="171"/>
      <w:bookmarkEnd w:id="172"/>
      <w:bookmarkEnd w:id="173"/>
      <w:bookmarkEnd w:id="174"/>
      <w:bookmarkEnd w:id="175"/>
      <w:bookmarkEnd w:id="176"/>
      <w:bookmarkEnd w:id="177"/>
      <w:bookmarkEnd w:id="178"/>
      <w:r w:rsidRPr="00AC7C69">
        <w:rPr>
          <w:rFonts w:cs="Times New Roman"/>
          <w:szCs w:val="24"/>
        </w:rPr>
        <w:t>.</w:t>
      </w:r>
    </w:p>
    <w:p w14:paraId="0465FFF2" w14:textId="77777777" w:rsidR="0043075F" w:rsidRPr="00AC7C69" w:rsidRDefault="0043075F" w:rsidP="0043075F">
      <w:pPr>
        <w:ind w:left="0" w:firstLine="0"/>
        <w:rPr>
          <w:rFonts w:cs="Times New Roman"/>
          <w:szCs w:val="24"/>
        </w:rPr>
      </w:pPr>
      <w:r w:rsidRPr="00AC7C69">
        <w:rPr>
          <w:rFonts w:cs="Times New Roman"/>
          <w:szCs w:val="24"/>
        </w:rPr>
        <w:t>Source: Floyd (2002)</w:t>
      </w:r>
    </w:p>
    <w:p w14:paraId="5818AB3F" w14:textId="77777777" w:rsidR="0043075F" w:rsidRDefault="0043075F" w:rsidP="0043075F">
      <w:pPr>
        <w:ind w:left="0"/>
        <w:rPr>
          <w:rFonts w:cs="Times New Roman"/>
          <w:szCs w:val="24"/>
        </w:rPr>
      </w:pPr>
      <w:r>
        <w:rPr>
          <w:rFonts w:cs="Times New Roman"/>
          <w:szCs w:val="24"/>
        </w:rPr>
        <w:t>This study defined sustainable forestry as the capacity</w:t>
      </w:r>
      <w:r w:rsidRPr="00FC303C">
        <w:rPr>
          <w:rFonts w:cs="Times New Roman"/>
          <w:szCs w:val="24"/>
        </w:rPr>
        <w:t xml:space="preserve"> to derive continuous economic gains from the forest without damaging or limiting the ecological and socio-cultural benefits of the present and future generations at the local, regional, national, or global level. </w:t>
      </w:r>
      <w:r w:rsidRPr="00FF4A7B">
        <w:rPr>
          <w:rFonts w:cs="Times New Roman"/>
          <w:szCs w:val="24"/>
        </w:rPr>
        <w:t>Hence, the fundamental concept of forest sustainability entails the incorporation of environmental, social, and economic considerations and values into decisions and activities impacting forests, with due regard to both present and future requirements.</w:t>
      </w:r>
    </w:p>
    <w:p w14:paraId="456E82E7" w14:textId="77777777" w:rsidR="00F65AF5" w:rsidRPr="000139A9" w:rsidRDefault="00F65AF5" w:rsidP="00F65AF5">
      <w:pPr>
        <w:pStyle w:val="Heading2"/>
        <w:ind w:left="0"/>
      </w:pPr>
      <w:bookmarkStart w:id="179" w:name="_Toc202197611"/>
      <w:r w:rsidRPr="000139A9">
        <w:t>Criteria and indicators</w:t>
      </w:r>
      <w:bookmarkEnd w:id="179"/>
    </w:p>
    <w:p w14:paraId="3BA0AACA" w14:textId="77777777" w:rsidR="00F65AF5" w:rsidRDefault="00F65AF5" w:rsidP="00074089">
      <w:pPr>
        <w:spacing w:after="0"/>
        <w:ind w:left="0"/>
        <w:rPr>
          <w:rFonts w:cs="Times New Roman"/>
          <w:szCs w:val="24"/>
        </w:rPr>
      </w:pPr>
      <w:r w:rsidRPr="00FF4A7B">
        <w:rPr>
          <w:rFonts w:cs="Times New Roman"/>
          <w:szCs w:val="24"/>
        </w:rPr>
        <w:t>Sustainable Forest Management (SFM) is typically assessed through the utili</w:t>
      </w:r>
      <w:r>
        <w:rPr>
          <w:rFonts w:cs="Times New Roman"/>
          <w:szCs w:val="24"/>
        </w:rPr>
        <w:t>s</w:t>
      </w:r>
      <w:r w:rsidRPr="00FF4A7B">
        <w:rPr>
          <w:rFonts w:cs="Times New Roman"/>
          <w:szCs w:val="24"/>
        </w:rPr>
        <w:t xml:space="preserve">ation of criteria and indicators (C&amp;I). These criteria represent various aspects of the conditions or processes which serve as benchmarks for evaluating the efficacy of sustainable forest management practices. These criteria were further refined through the application of quantitative indicators, facilitating periodic monitoring to discern prevailing trends (Brand, 1997; Wijewardana, 2008). Additionally, qualitative indicators have been devised to delineate the </w:t>
      </w:r>
      <w:r w:rsidRPr="00FF4A7B">
        <w:rPr>
          <w:rFonts w:cs="Times New Roman"/>
          <w:szCs w:val="24"/>
        </w:rPr>
        <w:lastRenderedPageBreak/>
        <w:t>overarching policies, institutions, and mechanisms that underpin SFM. These indicators play a pivotal role in evaluating the efficacy of SFM (Forest Europe, 2011).</w:t>
      </w:r>
    </w:p>
    <w:p w14:paraId="1DC4DD2E" w14:textId="77777777" w:rsidR="00F65AF5" w:rsidRDefault="00F65AF5" w:rsidP="00074089">
      <w:pPr>
        <w:spacing w:after="0"/>
        <w:ind w:left="0"/>
        <w:rPr>
          <w:rFonts w:cs="Times New Roman"/>
          <w:szCs w:val="24"/>
        </w:rPr>
      </w:pPr>
      <w:r w:rsidRPr="00FF4A7B">
        <w:rPr>
          <w:rFonts w:cs="Times New Roman"/>
          <w:szCs w:val="24"/>
        </w:rPr>
        <w:t xml:space="preserve">Numerous studies have </w:t>
      </w:r>
      <w:r>
        <w:rPr>
          <w:rFonts w:cs="Times New Roman"/>
          <w:szCs w:val="24"/>
        </w:rPr>
        <w:t>revealed</w:t>
      </w:r>
      <w:r w:rsidRPr="00FF4A7B">
        <w:rPr>
          <w:rFonts w:cs="Times New Roman"/>
          <w:szCs w:val="24"/>
        </w:rPr>
        <w:t xml:space="preserve"> the fundamental characteristics of effective indicators. For instance, Prabhu et al. (2001) put forward seven attributes that can augment the quality of indicators: precision of definition; diagnostic specificity; sensitivity to change or stress; ease of detection, recording, and interpretation; capacity to summarise or integrate information; dependability; and user appeal. Conversely, Dale and Beyeler (2001) identified eight criteria that must be met for selection: ease of measurement, sensitivity to system stresses, responsiveness to stress in a predictable manner, predictive capabilities, the ability to anticipate changes that can be prevented by management actions, integrative nature, known responses to disturbances and human-induced changes over time, and consistency in responses.</w:t>
      </w:r>
    </w:p>
    <w:p w14:paraId="2465E05D" w14:textId="77777777" w:rsidR="00F65AF5" w:rsidRDefault="00F65AF5" w:rsidP="00074089">
      <w:pPr>
        <w:spacing w:after="0"/>
        <w:ind w:left="0"/>
        <w:rPr>
          <w:rFonts w:cs="Times New Roman"/>
          <w:szCs w:val="24"/>
        </w:rPr>
      </w:pPr>
      <w:r w:rsidRPr="003D24E1">
        <w:rPr>
          <w:rFonts w:cs="Times New Roman"/>
          <w:szCs w:val="24"/>
        </w:rPr>
        <w:t xml:space="preserve">Several critiques have focused on the C&amp;I system (Bass, 2001). The popularity of this system has been underscored by Gough et al. (2008), Poore (2003), and Prabhu et al. (2001), as evidenced by significant investments in its development over recent decades and the adoption of C&amp;I frameworks by numerous countries within the purview of nine international or regional initiatives (African Timber Organization [ATO], Dry Forest in Asia, Dry Zone Africa, International Tropical Timber Organization [ITTO], </w:t>
      </w:r>
      <w:proofErr w:type="spellStart"/>
      <w:r w:rsidRPr="003D24E1">
        <w:rPr>
          <w:rFonts w:cs="Times New Roman"/>
          <w:szCs w:val="24"/>
        </w:rPr>
        <w:t>Lepaterique</w:t>
      </w:r>
      <w:proofErr w:type="spellEnd"/>
      <w:r w:rsidRPr="003D24E1">
        <w:rPr>
          <w:rFonts w:cs="Times New Roman"/>
          <w:szCs w:val="24"/>
        </w:rPr>
        <w:t xml:space="preserve"> in Central America, Montreal Process, Near East, Pan-European Forest [also known as the Ministerial Conference on the Protection of Forest in Europe, MCPFE], and </w:t>
      </w:r>
      <w:proofErr w:type="spellStart"/>
      <w:r w:rsidRPr="003D24E1">
        <w:rPr>
          <w:rFonts w:cs="Times New Roman"/>
          <w:szCs w:val="24"/>
        </w:rPr>
        <w:t>Tarapoto</w:t>
      </w:r>
      <w:proofErr w:type="spellEnd"/>
      <w:r w:rsidRPr="003D24E1">
        <w:rPr>
          <w:rFonts w:cs="Times New Roman"/>
          <w:szCs w:val="24"/>
        </w:rPr>
        <w:t xml:space="preserve"> of the Amazon Forest). However, three of these </w:t>
      </w:r>
      <w:r w:rsidRPr="003D24E1">
        <w:rPr>
          <w:rFonts w:cs="Times New Roman"/>
          <w:szCs w:val="24"/>
        </w:rPr>
        <w:lastRenderedPageBreak/>
        <w:t>initiatives—ITTO, MCPFE, and the Montreal Process—stand out prominently among the others.</w:t>
      </w:r>
    </w:p>
    <w:p w14:paraId="735D2187" w14:textId="77777777" w:rsidR="00F65AF5" w:rsidRDefault="00F65AF5" w:rsidP="00074089">
      <w:pPr>
        <w:spacing w:after="0"/>
        <w:ind w:left="0"/>
        <w:rPr>
          <w:rFonts w:cs="Times New Roman"/>
          <w:szCs w:val="24"/>
        </w:rPr>
      </w:pPr>
      <w:r w:rsidRPr="003D24E1">
        <w:rPr>
          <w:rFonts w:cs="Times New Roman"/>
          <w:szCs w:val="24"/>
        </w:rPr>
        <w:t xml:space="preserve">The original collection of Criteria and Indicators (C&amp;I) was formulated by the International Tropical Timber Organization (ITTO) in 1992 to promote sustainable governance of tropical forests. In 1993, a parallel effort to establish C&amp;I for sustainable management of boreal and temperate forests was initiated in Canada under the auspices of the Conference on Security and Cooperation. The International Conference on the Contribution of Criteria and Indicators for Sustainable Forest Management: The way forward (CICI 2003) convened in Guatemala, convened stakeholders from the </w:t>
      </w:r>
      <w:proofErr w:type="gramStart"/>
      <w:r w:rsidRPr="003D24E1">
        <w:rPr>
          <w:rFonts w:cs="Times New Roman"/>
          <w:szCs w:val="24"/>
        </w:rPr>
        <w:t>aforementioned initiatives</w:t>
      </w:r>
      <w:proofErr w:type="gramEnd"/>
      <w:r w:rsidRPr="003D24E1">
        <w:rPr>
          <w:rFonts w:cs="Times New Roman"/>
          <w:szCs w:val="24"/>
        </w:rPr>
        <w:t>, government authorities, international intergovernmental and non-governmental organisations, and field experts.</w:t>
      </w:r>
    </w:p>
    <w:p w14:paraId="56DC3EC3" w14:textId="77777777" w:rsidR="00F65AF5" w:rsidRPr="00AC7C69" w:rsidRDefault="00074089" w:rsidP="00074089">
      <w:pPr>
        <w:spacing w:after="0"/>
        <w:ind w:left="0" w:firstLine="360"/>
        <w:rPr>
          <w:rFonts w:cs="Times New Roman"/>
          <w:szCs w:val="24"/>
        </w:rPr>
      </w:pPr>
      <w:r>
        <w:rPr>
          <w:rFonts w:cs="Times New Roman"/>
          <w:szCs w:val="24"/>
        </w:rPr>
        <w:tab/>
      </w:r>
      <w:r w:rsidR="00F65AF5" w:rsidRPr="003D24E1">
        <w:rPr>
          <w:rFonts w:cs="Times New Roman"/>
          <w:szCs w:val="24"/>
        </w:rPr>
        <w:t>Participants at this conference acknowledged the potential advantages of establishing a unified set of criteria for sustainable forest management, drawing on pre-existing frameworks developed by regional and eco-regional initiatives. This acknowledgement encompasses seven common thematic areas, as outlined by FAO/ITTO/INAB (2003)</w:t>
      </w:r>
      <w:r w:rsidR="00F65AF5" w:rsidRPr="00AC7C69">
        <w:rPr>
          <w:rFonts w:cs="Times New Roman"/>
          <w:szCs w:val="24"/>
        </w:rPr>
        <w:t>.</w:t>
      </w:r>
    </w:p>
    <w:p w14:paraId="5A60AF75" w14:textId="67140EAE" w:rsidR="00F65AF5" w:rsidRDefault="00F07AAE" w:rsidP="00074089">
      <w:pPr>
        <w:pStyle w:val="ListParagraph"/>
        <w:numPr>
          <w:ilvl w:val="0"/>
          <w:numId w:val="36"/>
        </w:numPr>
        <w:spacing w:after="0" w:line="480" w:lineRule="auto"/>
        <w:rPr>
          <w:rFonts w:cs="Times New Roman"/>
          <w:szCs w:val="24"/>
        </w:rPr>
      </w:pPr>
      <w:r>
        <w:rPr>
          <w:rFonts w:cs="Times New Roman"/>
          <w:szCs w:val="24"/>
        </w:rPr>
        <w:t xml:space="preserve">the </w:t>
      </w:r>
      <w:r w:rsidR="00F65AF5" w:rsidRPr="00AC7C69">
        <w:rPr>
          <w:rFonts w:cs="Times New Roman"/>
          <w:szCs w:val="24"/>
        </w:rPr>
        <w:t>extent of forest resources</w:t>
      </w:r>
      <w:r w:rsidR="00F65AF5" w:rsidRPr="003930D0">
        <w:rPr>
          <w:rFonts w:cs="Times New Roman"/>
          <w:szCs w:val="24"/>
        </w:rPr>
        <w:t xml:space="preserve"> </w:t>
      </w:r>
    </w:p>
    <w:p w14:paraId="4A37F591" w14:textId="77777777" w:rsidR="00074089" w:rsidRPr="005432A0" w:rsidRDefault="00074089" w:rsidP="00126EF5">
      <w:pPr>
        <w:spacing w:after="0"/>
        <w:ind w:left="0" w:firstLine="360"/>
        <w:rPr>
          <w:rFonts w:cs="Times New Roman"/>
          <w:szCs w:val="24"/>
        </w:rPr>
      </w:pPr>
      <w:r>
        <w:rPr>
          <w:rFonts w:cs="Times New Roman"/>
          <w:szCs w:val="24"/>
        </w:rPr>
        <w:tab/>
      </w:r>
      <w:proofErr w:type="gramStart"/>
      <w:r w:rsidR="00F65AF5" w:rsidRPr="00680AB1">
        <w:rPr>
          <w:rFonts w:cs="Times New Roman"/>
          <w:szCs w:val="24"/>
        </w:rPr>
        <w:t>In order to</w:t>
      </w:r>
      <w:proofErr w:type="gramEnd"/>
      <w:r w:rsidR="00F65AF5" w:rsidRPr="00680AB1">
        <w:rPr>
          <w:rFonts w:cs="Times New Roman"/>
          <w:szCs w:val="24"/>
        </w:rPr>
        <w:t xml:space="preserve"> maintain the sustainability of forests, it is crucial to ascertain the degree to which goods and services can be acquired or utilised without impeding the functionality of forest ecosystems and their processes. </w:t>
      </w:r>
    </w:p>
    <w:p w14:paraId="5FD4A240" w14:textId="77777777" w:rsidR="00F65AF5" w:rsidRPr="00AC7C69" w:rsidRDefault="00F65AF5" w:rsidP="00074089">
      <w:pPr>
        <w:spacing w:after="0"/>
        <w:ind w:left="0" w:firstLine="0"/>
        <w:rPr>
          <w:rFonts w:cs="Times New Roman"/>
          <w:szCs w:val="24"/>
        </w:rPr>
      </w:pPr>
      <w:r w:rsidRPr="00AC7C69">
        <w:rPr>
          <w:rFonts w:cs="Times New Roman"/>
          <w:szCs w:val="24"/>
        </w:rPr>
        <w:t xml:space="preserve">(2) </w:t>
      </w:r>
      <w:bookmarkStart w:id="180" w:name="_Hlk160702505"/>
      <w:r w:rsidRPr="00AC7C69">
        <w:rPr>
          <w:rFonts w:cs="Times New Roman"/>
          <w:szCs w:val="24"/>
        </w:rPr>
        <w:t>biological diversity</w:t>
      </w:r>
      <w:bookmarkEnd w:id="180"/>
    </w:p>
    <w:p w14:paraId="7B6164A3" w14:textId="77777777" w:rsidR="00F65AF5" w:rsidRPr="00AC7C69" w:rsidRDefault="00F65AF5" w:rsidP="00074089">
      <w:pPr>
        <w:spacing w:after="0"/>
        <w:ind w:left="0"/>
        <w:rPr>
          <w:rFonts w:cs="Times New Roman"/>
          <w:szCs w:val="24"/>
        </w:rPr>
      </w:pPr>
      <w:r>
        <w:rPr>
          <w:rFonts w:cs="Times New Roman"/>
          <w:szCs w:val="24"/>
        </w:rPr>
        <w:t>Biological varieties allow an ecosystem to react to external factors, recuperate after disturbances, and preserve vital ecological processes.</w:t>
      </w:r>
    </w:p>
    <w:p w14:paraId="37244C05" w14:textId="77777777" w:rsidR="00F2480C" w:rsidRDefault="00F2480C" w:rsidP="00074089">
      <w:pPr>
        <w:spacing w:after="0"/>
        <w:ind w:left="0" w:firstLine="0"/>
        <w:rPr>
          <w:rFonts w:cs="Times New Roman"/>
          <w:szCs w:val="24"/>
        </w:rPr>
      </w:pPr>
    </w:p>
    <w:p w14:paraId="625EB6ED" w14:textId="77777777" w:rsidR="00F65AF5" w:rsidRPr="00AC7C69" w:rsidRDefault="00F65AF5" w:rsidP="00074089">
      <w:pPr>
        <w:spacing w:after="0"/>
        <w:ind w:left="0" w:firstLine="0"/>
        <w:rPr>
          <w:rFonts w:cs="Times New Roman"/>
          <w:szCs w:val="24"/>
        </w:rPr>
      </w:pPr>
      <w:r w:rsidRPr="00AC7C69">
        <w:rPr>
          <w:rFonts w:cs="Times New Roman"/>
          <w:szCs w:val="24"/>
        </w:rPr>
        <w:lastRenderedPageBreak/>
        <w:t xml:space="preserve">(3) </w:t>
      </w:r>
      <w:bookmarkStart w:id="181" w:name="_Hlk160702541"/>
      <w:r w:rsidRPr="00AC7C69">
        <w:rPr>
          <w:rFonts w:cs="Times New Roman"/>
          <w:szCs w:val="24"/>
        </w:rPr>
        <w:t>forest health and vitality</w:t>
      </w:r>
    </w:p>
    <w:bookmarkEnd w:id="181"/>
    <w:p w14:paraId="669C89B9" w14:textId="77777777" w:rsidR="00F65AF5" w:rsidRPr="00AC7C69" w:rsidRDefault="00F65AF5" w:rsidP="00074089">
      <w:pPr>
        <w:spacing w:after="0"/>
        <w:ind w:left="0"/>
        <w:rPr>
          <w:rFonts w:cs="Times New Roman"/>
          <w:szCs w:val="24"/>
        </w:rPr>
      </w:pPr>
      <w:r>
        <w:rPr>
          <w:rFonts w:cs="Times New Roman"/>
          <w:szCs w:val="24"/>
        </w:rPr>
        <w:t xml:space="preserve">The deterioration of forest ecosystems could lead to severe economic and environmental repercussions for society, encompassing the disappearance of forest advantages and the impairment of environmental quality. </w:t>
      </w:r>
    </w:p>
    <w:p w14:paraId="1E5C6011" w14:textId="77777777" w:rsidR="00F65AF5" w:rsidRPr="00AC7C69" w:rsidRDefault="00F65AF5" w:rsidP="00074089">
      <w:pPr>
        <w:spacing w:after="0"/>
        <w:ind w:left="0" w:firstLine="0"/>
        <w:rPr>
          <w:rFonts w:cs="Times New Roman"/>
          <w:szCs w:val="24"/>
        </w:rPr>
      </w:pPr>
      <w:r w:rsidRPr="00AC7C69">
        <w:rPr>
          <w:rFonts w:cs="Times New Roman"/>
          <w:szCs w:val="24"/>
        </w:rPr>
        <w:t>(4) Productive functions of forest resources</w:t>
      </w:r>
    </w:p>
    <w:p w14:paraId="58DE2831" w14:textId="77777777" w:rsidR="00F65AF5" w:rsidRPr="00AC7C69" w:rsidRDefault="00F65AF5" w:rsidP="00074089">
      <w:pPr>
        <w:spacing w:after="0"/>
        <w:ind w:left="0"/>
        <w:rPr>
          <w:rFonts w:cs="Times New Roman"/>
          <w:szCs w:val="24"/>
        </w:rPr>
      </w:pPr>
      <w:r>
        <w:rPr>
          <w:rFonts w:cs="Times New Roman"/>
          <w:szCs w:val="24"/>
        </w:rPr>
        <w:t>Forest management practices can have a profound impact on the quality of the soil and water found in forests, as well as on the habitats of aquatic organisms that are connected to these ecosystems.</w:t>
      </w:r>
    </w:p>
    <w:p w14:paraId="5DB8CC98" w14:textId="77777777" w:rsidR="00F65AF5" w:rsidRPr="00AC7C69" w:rsidRDefault="00F65AF5" w:rsidP="00074089">
      <w:pPr>
        <w:spacing w:after="0"/>
        <w:ind w:left="0" w:firstLine="0"/>
        <w:rPr>
          <w:rFonts w:cs="Times New Roman"/>
          <w:szCs w:val="24"/>
        </w:rPr>
      </w:pPr>
      <w:r w:rsidRPr="00AC7C69">
        <w:rPr>
          <w:rFonts w:cs="Times New Roman"/>
          <w:szCs w:val="24"/>
        </w:rPr>
        <w:t xml:space="preserve">(5) </w:t>
      </w:r>
      <w:bookmarkStart w:id="182" w:name="_Hlk160702568"/>
      <w:r w:rsidRPr="00AC7C69">
        <w:rPr>
          <w:rFonts w:cs="Times New Roman"/>
          <w:szCs w:val="24"/>
        </w:rPr>
        <w:t>protective functions of forest resources</w:t>
      </w:r>
      <w:bookmarkEnd w:id="182"/>
    </w:p>
    <w:p w14:paraId="158DD989" w14:textId="0784041A" w:rsidR="00F65AF5" w:rsidRPr="00AC7C69" w:rsidRDefault="00F65AF5" w:rsidP="00074089">
      <w:pPr>
        <w:spacing w:after="0"/>
        <w:ind w:left="0"/>
        <w:rPr>
          <w:rFonts w:cs="Times New Roman"/>
          <w:szCs w:val="24"/>
        </w:rPr>
      </w:pPr>
      <w:r>
        <w:rPr>
          <w:rFonts w:cs="Times New Roman"/>
          <w:szCs w:val="24"/>
        </w:rPr>
        <w:t>Forests are a renewable resource that hold</w:t>
      </w:r>
      <w:r w:rsidR="00F07AAE">
        <w:rPr>
          <w:rFonts w:cs="Times New Roman"/>
          <w:szCs w:val="24"/>
        </w:rPr>
        <w:t>s</w:t>
      </w:r>
      <w:r>
        <w:rPr>
          <w:rFonts w:cs="Times New Roman"/>
          <w:szCs w:val="24"/>
        </w:rPr>
        <w:t xml:space="preserve"> a significant amount of biomass and soil carbon, making them a vital component in global carbon cycles as both sinks and sources. They are among the largest terrestrial reservoirs of these vital elements and play an important role in maintaining the balance of carbon in the environment.</w:t>
      </w:r>
    </w:p>
    <w:p w14:paraId="7DDF08F9" w14:textId="77777777" w:rsidR="00F65AF5" w:rsidRPr="00AC7C69" w:rsidRDefault="00F65AF5" w:rsidP="00074089">
      <w:pPr>
        <w:spacing w:after="0"/>
        <w:ind w:left="0" w:firstLine="0"/>
        <w:rPr>
          <w:rFonts w:cs="Times New Roman"/>
          <w:szCs w:val="24"/>
        </w:rPr>
      </w:pPr>
      <w:r w:rsidRPr="00AC7C69">
        <w:rPr>
          <w:rFonts w:cs="Times New Roman"/>
          <w:szCs w:val="24"/>
        </w:rPr>
        <w:t xml:space="preserve">(6) </w:t>
      </w:r>
      <w:bookmarkStart w:id="183" w:name="_Hlk160702596"/>
      <w:r w:rsidRPr="00AC7C69">
        <w:rPr>
          <w:rFonts w:cs="Times New Roman"/>
          <w:szCs w:val="24"/>
        </w:rPr>
        <w:t>Socioeconomic Functions</w:t>
      </w:r>
      <w:bookmarkEnd w:id="183"/>
      <w:r w:rsidRPr="00AC7C69">
        <w:rPr>
          <w:rFonts w:cs="Times New Roman"/>
          <w:szCs w:val="24"/>
        </w:rPr>
        <w:t>.</w:t>
      </w:r>
    </w:p>
    <w:p w14:paraId="70683F1A" w14:textId="77777777" w:rsidR="00F65AF5" w:rsidRPr="00AC7C69" w:rsidRDefault="00F65AF5" w:rsidP="00074089">
      <w:pPr>
        <w:spacing w:after="0"/>
        <w:ind w:left="0"/>
        <w:rPr>
          <w:rFonts w:cs="Times New Roman"/>
          <w:szCs w:val="24"/>
        </w:rPr>
      </w:pPr>
      <w:r>
        <w:rPr>
          <w:rFonts w:cs="Times New Roman"/>
          <w:szCs w:val="24"/>
        </w:rPr>
        <w:t>Forests offer a multitude of social, cultural, and economic goods, services, and other benefits that aid in fulfilling societal requirements. Numerous individuals and communities, including indigenous populations, rely on forests for subsistence and prosperity.</w:t>
      </w:r>
    </w:p>
    <w:p w14:paraId="6A49B204" w14:textId="77777777" w:rsidR="00F65AF5" w:rsidRPr="00AC7C69" w:rsidRDefault="00F65AF5" w:rsidP="00074089">
      <w:pPr>
        <w:spacing w:after="0"/>
        <w:ind w:left="0" w:firstLine="0"/>
        <w:rPr>
          <w:rFonts w:cs="Times New Roman"/>
          <w:szCs w:val="24"/>
        </w:rPr>
      </w:pPr>
      <w:r w:rsidRPr="00AC7C69">
        <w:rPr>
          <w:rFonts w:cs="Times New Roman"/>
          <w:szCs w:val="24"/>
        </w:rPr>
        <w:t xml:space="preserve">(7) </w:t>
      </w:r>
      <w:bookmarkStart w:id="184" w:name="_Hlk160702616"/>
      <w:r w:rsidRPr="00AC7C69">
        <w:rPr>
          <w:rFonts w:cs="Times New Roman"/>
          <w:szCs w:val="24"/>
        </w:rPr>
        <w:t>Legal, policy, and institutional frameworks.</w:t>
      </w:r>
      <w:bookmarkEnd w:id="184"/>
    </w:p>
    <w:p w14:paraId="283F411C" w14:textId="77777777" w:rsidR="00F65AF5" w:rsidRPr="00AC7C69" w:rsidRDefault="00F65AF5" w:rsidP="00074089">
      <w:pPr>
        <w:spacing w:after="0"/>
        <w:ind w:left="0"/>
        <w:rPr>
          <w:rFonts w:cs="Times New Roman"/>
          <w:szCs w:val="24"/>
        </w:rPr>
      </w:pPr>
      <w:r>
        <w:rPr>
          <w:rFonts w:cs="Times New Roman"/>
          <w:szCs w:val="24"/>
        </w:rPr>
        <w:t>Legislation, institutional capacity, and economic arrangements, along with policy measures at both national and subnational levels, are essential elements that contribute to the creation of an environment that promotes sustainable forest management.</w:t>
      </w:r>
    </w:p>
    <w:p w14:paraId="1DB19A1A" w14:textId="77777777" w:rsidR="00F65AF5" w:rsidRPr="00AC7C69" w:rsidRDefault="00F65AF5" w:rsidP="00074089">
      <w:pPr>
        <w:spacing w:after="0"/>
        <w:ind w:left="0"/>
        <w:rPr>
          <w:rFonts w:cs="Times New Roman"/>
          <w:szCs w:val="24"/>
        </w:rPr>
      </w:pPr>
      <w:r>
        <w:rPr>
          <w:rFonts w:cs="Times New Roman"/>
          <w:szCs w:val="24"/>
        </w:rPr>
        <w:lastRenderedPageBreak/>
        <w:t>FAO (2003) stated that the indicators for initiatives can vary greatly owing to differences in forest types and environmental, social, economic, political, and cultural conditions. Furthermore, these indicators need to be adaptable and subject to change over time based on experience, knowledge, and evolving needs and values. Unfortunately, in several developing countries, limited resources, such as insufficient funds and trained personnel, hinder efforts to collect and analyse information and develop, implement, and monitor improved management practices that rely on this information.</w:t>
      </w:r>
    </w:p>
    <w:p w14:paraId="4171A37F" w14:textId="77777777" w:rsidR="00F65AF5" w:rsidRPr="00AC7C69" w:rsidRDefault="00F65AF5" w:rsidP="00126EF5">
      <w:pPr>
        <w:spacing w:after="0"/>
        <w:ind w:left="0"/>
        <w:rPr>
          <w:rFonts w:cs="Times New Roman"/>
          <w:szCs w:val="24"/>
        </w:rPr>
      </w:pPr>
      <w:r w:rsidRPr="00AC7C69">
        <w:rPr>
          <w:rFonts w:cs="Times New Roman"/>
          <w:szCs w:val="24"/>
        </w:rPr>
        <w:t>This study focused on f</w:t>
      </w:r>
      <w:r w:rsidR="00AB59BB">
        <w:rPr>
          <w:rFonts w:cs="Times New Roman"/>
          <w:szCs w:val="24"/>
        </w:rPr>
        <w:t>our</w:t>
      </w:r>
      <w:r w:rsidRPr="00AC7C69">
        <w:rPr>
          <w:rFonts w:cs="Times New Roman"/>
          <w:szCs w:val="24"/>
        </w:rPr>
        <w:t xml:space="preserve"> of the seven criteria related to the environment </w:t>
      </w:r>
      <w:r w:rsidR="00AB59BB">
        <w:rPr>
          <w:rFonts w:cs="Times New Roman"/>
          <w:szCs w:val="24"/>
        </w:rPr>
        <w:t>because it was focused on the social issues of the reserves and the discipline in which the work was situated.</w:t>
      </w:r>
      <w:r w:rsidRPr="00AC7C69">
        <w:rPr>
          <w:rFonts w:cs="Times New Roman"/>
          <w:szCs w:val="24"/>
        </w:rPr>
        <w:t xml:space="preserve"> </w:t>
      </w:r>
      <w:r w:rsidRPr="00680AB1">
        <w:rPr>
          <w:rFonts w:cs="Times New Roman"/>
          <w:szCs w:val="24"/>
        </w:rPr>
        <w:t>The criteria encompassed the sustenance of the productive capacity of forest ecosystems; preservation and safeguarding of soil and water resources; perpetuation of forests' role in global carbon cycles; amplification of enduring, diversified socioeconomic advantages to fulfil societal requirements; and establishment of legal, institutional, and economic frameworks for the conservation and sustainable management of forests.</w:t>
      </w:r>
    </w:p>
    <w:p w14:paraId="3F9A26FD" w14:textId="77777777" w:rsidR="0096374C" w:rsidRDefault="0096374C" w:rsidP="00772DAC">
      <w:pPr>
        <w:pStyle w:val="Heading2"/>
        <w:ind w:left="0"/>
      </w:pPr>
      <w:bookmarkStart w:id="185" w:name="_Toc202197612"/>
      <w:bookmarkStart w:id="186" w:name="_Hlk129179572"/>
      <w:r w:rsidRPr="00B95139">
        <w:t xml:space="preserve">Multi-stakeholder </w:t>
      </w:r>
      <w:r w:rsidR="00517D81">
        <w:t>management</w:t>
      </w:r>
      <w:r w:rsidRPr="00B95139">
        <w:t xml:space="preserve"> in </w:t>
      </w:r>
      <w:r w:rsidR="00067A2D">
        <w:t>n</w:t>
      </w:r>
      <w:r w:rsidRPr="00B95139">
        <w:t xml:space="preserve">atural </w:t>
      </w:r>
      <w:r w:rsidR="00067A2D">
        <w:t>r</w:t>
      </w:r>
      <w:r w:rsidRPr="00B95139">
        <w:t xml:space="preserve">esource </w:t>
      </w:r>
      <w:r w:rsidR="00067A2D">
        <w:t>m</w:t>
      </w:r>
      <w:r w:rsidRPr="00B95139">
        <w:t>anagement</w:t>
      </w:r>
      <w:bookmarkEnd w:id="185"/>
    </w:p>
    <w:bookmarkEnd w:id="186"/>
    <w:p w14:paraId="17D68850" w14:textId="77777777" w:rsidR="00067A2D" w:rsidRDefault="007A0CDA" w:rsidP="007A0CDA">
      <w:pPr>
        <w:spacing w:after="0"/>
        <w:ind w:left="0" w:firstLine="0"/>
      </w:pPr>
      <w:r>
        <w:tab/>
      </w:r>
      <w:r w:rsidR="00067A2D" w:rsidRPr="00C22216">
        <w:t>The concepts of integrated and community-centred resource management approach</w:t>
      </w:r>
      <w:r w:rsidR="008E4CCF">
        <w:t>es</w:t>
      </w:r>
      <w:r w:rsidR="00BF7670">
        <w:t xml:space="preserve"> and </w:t>
      </w:r>
      <w:r w:rsidR="008E4CCF">
        <w:t>adopting</w:t>
      </w:r>
      <w:r w:rsidR="00BF7670">
        <w:t xml:space="preserve"> multistakeholder strategies</w:t>
      </w:r>
      <w:r w:rsidR="00067A2D" w:rsidRPr="00C22216">
        <w:t xml:space="preserve"> have been gaining traction and popularity. The United Nations Environmental Program (2015) highlighted that community-based resource approaches offer participatory methods to address the intricacies and interconnected nature of challenges in natural resource management. These approaches also aim to </w:t>
      </w:r>
      <w:r w:rsidR="00067A2D" w:rsidRPr="00C22216">
        <w:lastRenderedPageBreak/>
        <w:t xml:space="preserve">balance the diverse interests of multiple parties to attain sustainable resource utilization. </w:t>
      </w:r>
    </w:p>
    <w:p w14:paraId="1C3814B8" w14:textId="77777777" w:rsidR="00067A2D" w:rsidRDefault="007A0CDA" w:rsidP="007A0CDA">
      <w:pPr>
        <w:spacing w:after="0"/>
        <w:ind w:left="0" w:firstLine="0"/>
      </w:pPr>
      <w:r>
        <w:tab/>
      </w:r>
      <w:r w:rsidR="00DD6C3F" w:rsidRPr="00DD6C3F">
        <w:t xml:space="preserve">Shyamsundar et al. (2005) observed a rising inclination towards collaborative initiatives in natural resource management between land authorities and local communities. This trend is especially evident in agricultural, forestry, and rangeland systems, with the shared objective of </w:t>
      </w:r>
      <w:r w:rsidR="00BF7670">
        <w:t>promoting conservation and development strategies concurrently</w:t>
      </w:r>
      <w:r w:rsidR="00DD6C3F" w:rsidRPr="00DD6C3F">
        <w:t xml:space="preserve"> since the 1980s.</w:t>
      </w:r>
      <w:r w:rsidR="00DD6C3F">
        <w:t xml:space="preserve"> </w:t>
      </w:r>
      <w:r w:rsidR="00067A2D" w:rsidRPr="00C22216">
        <w:t>Correspondingly, Nunan (2016) pointed out global endeavo</w:t>
      </w:r>
      <w:r w:rsidR="00067A2D">
        <w:t>u</w:t>
      </w:r>
      <w:r w:rsidR="00067A2D" w:rsidRPr="00C22216">
        <w:t xml:space="preserve">rs by stakeholders at various decision-making levels to tackle issues like conflict and degradation associated with natural resource management. </w:t>
      </w:r>
    </w:p>
    <w:p w14:paraId="2E7F9E67" w14:textId="1EE773F4" w:rsidR="00067A2D" w:rsidRDefault="007A0CDA" w:rsidP="007A0CDA">
      <w:pPr>
        <w:spacing w:after="0"/>
        <w:ind w:left="0" w:firstLine="0"/>
      </w:pPr>
      <w:r>
        <w:tab/>
      </w:r>
      <w:r w:rsidR="00067A2D" w:rsidRPr="00C22216">
        <w:t xml:space="preserve">Annis (1992) and World Bank (1990) argued that the nexus of poverty and insecure livelihoods alongside natural resources has been a driving factor behind environmental degradation and social conflicts. Consequently, UNDP (2008) advocated for ensuring sustainable livelihoods, especially for disadvantaged communities, to achieve ecological objectives and enhance the welfare of those in resource-rich regions. </w:t>
      </w:r>
      <w:r w:rsidR="00724E6E">
        <w:t xml:space="preserve">Van </w:t>
      </w:r>
      <w:r w:rsidR="00067A2D" w:rsidRPr="00C22216">
        <w:t xml:space="preserve">Laerhoven and Andersson (2006) stressed the necessity of collective action involving multiple stakeholders to avert tragedies like the commons, which entail conflicts among resource users. </w:t>
      </w:r>
    </w:p>
    <w:p w14:paraId="70EC9ACD" w14:textId="2F35CCF9" w:rsidR="00067A2D" w:rsidRDefault="007A0CDA" w:rsidP="007A0CDA">
      <w:pPr>
        <w:spacing w:after="0"/>
        <w:ind w:left="0" w:firstLine="0"/>
      </w:pPr>
      <w:r>
        <w:tab/>
      </w:r>
      <w:r w:rsidR="00067A2D" w:rsidRPr="00C22216">
        <w:t xml:space="preserve">Ratner et al. (2017) and Brouwer </w:t>
      </w:r>
      <w:r w:rsidR="001227B9">
        <w:t>et al.</w:t>
      </w:r>
      <w:r w:rsidR="00067A2D" w:rsidRPr="00C22216">
        <w:t xml:space="preserve"> (2015) perceived multi-stakeholder </w:t>
      </w:r>
      <w:r w:rsidR="00517D81">
        <w:t>participation</w:t>
      </w:r>
      <w:r w:rsidR="00067A2D" w:rsidRPr="00C22216">
        <w:t xml:space="preserve"> as a platform that enables dialogue among diverse participants, including local actors, individuals, and government agencies, sometimes facilitated by NGOs, to achieve conservation and social objectives related to a resource system. Crona and Parker (2012) emphasi</w:t>
      </w:r>
      <w:r w:rsidR="00D07F76">
        <w:t>s</w:t>
      </w:r>
      <w:r w:rsidR="00067A2D" w:rsidRPr="00C22216">
        <w:t>ed the vital role of connecting various actors through collaborative efforts in managing natural resources to mitigate conflicts stemming from their utilization.</w:t>
      </w:r>
    </w:p>
    <w:p w14:paraId="3FFB8BF4" w14:textId="1D2C3103" w:rsidR="00067A2D" w:rsidRDefault="007A0CDA" w:rsidP="007A0CDA">
      <w:pPr>
        <w:spacing w:after="0"/>
        <w:ind w:left="0" w:firstLine="0"/>
      </w:pPr>
      <w:r>
        <w:lastRenderedPageBreak/>
        <w:tab/>
      </w:r>
      <w:r w:rsidR="00067A2D" w:rsidRPr="00C22216">
        <w:t xml:space="preserve">According to UNEP (2015), fostering cooperation in the ownership, oversight, and utilization of natural resources is crucial for promoting peace and stability in societies and on a global scale. Nunan (2016) suggested that collaborative efforts involving multiple stakeholders in natural resource management form a governance process spanning different levels, encompassing the identification and assessment of the complete spectrum of actors and organizations influencing the governance and handling of a natural resource. Giest and Howlett (2013) contended that multistakeholder </w:t>
      </w:r>
      <w:r w:rsidR="00DF0738">
        <w:t>participation</w:t>
      </w:r>
      <w:r w:rsidR="00067A2D" w:rsidRPr="00C22216">
        <w:t xml:space="preserve"> has been recogni</w:t>
      </w:r>
      <w:r w:rsidR="00DF0738">
        <w:t>s</w:t>
      </w:r>
      <w:r w:rsidR="00067A2D" w:rsidRPr="00C22216">
        <w:t xml:space="preserve">ed as a prerequisite for maintaining peace among various interest groups, whether internal or external to natural resources. </w:t>
      </w:r>
    </w:p>
    <w:p w14:paraId="3034F59F" w14:textId="0BC08F95" w:rsidR="00067A2D" w:rsidRDefault="007A0CDA" w:rsidP="00074089">
      <w:pPr>
        <w:spacing w:after="0"/>
        <w:ind w:left="0" w:firstLine="0"/>
      </w:pPr>
      <w:r>
        <w:tab/>
      </w:r>
      <w:r w:rsidR="00067A2D" w:rsidRPr="00C22216">
        <w:t>Ostrom (2011) highlighted an existing body of research and a growing body of literature that have outlined various institutional prerequisites for effectively managing natural resources, which help to decrease uncertainty, enhance trust, and cultivate cooperation among the diverse stakeholders nested within the sphere of natural resource utili</w:t>
      </w:r>
      <w:r w:rsidR="00BF7670">
        <w:t>s</w:t>
      </w:r>
      <w:r w:rsidR="00067A2D" w:rsidRPr="00C22216">
        <w:t>ation and management, aiming to prevent conflicts stemming from issues of access, utilization, and control.</w:t>
      </w:r>
    </w:p>
    <w:p w14:paraId="7ABF9067" w14:textId="77777777" w:rsidR="00067A2D" w:rsidRDefault="007A0CDA" w:rsidP="007A0CDA">
      <w:pPr>
        <w:spacing w:after="0"/>
        <w:ind w:left="0" w:firstLine="0"/>
      </w:pPr>
      <w:r>
        <w:tab/>
      </w:r>
      <w:r w:rsidR="00067A2D" w:rsidRPr="0031529C">
        <w:t xml:space="preserve">Additionally, Agrawal (2002) and Ostrom (1992; 1990) unveiled that clearly defined boundaries and user collectives, well-established regulations outlining rights and obligations, alignment between institutional rules and the characteristics of the resource and user community, effective monitoring and enforcement mechanisms, just and graduated penalties for misuse, efficient conflict resolution procedures, acknowledged organizing rights, and nested institutions for larger systems are essential prerequisites that facilitate cooperation among diverse stakeholders within a natural resource framework. </w:t>
      </w:r>
    </w:p>
    <w:p w14:paraId="2213AFBD" w14:textId="77777777" w:rsidR="008A2399" w:rsidRDefault="007A0CDA" w:rsidP="007A0CDA">
      <w:pPr>
        <w:spacing w:after="0"/>
        <w:ind w:left="0" w:firstLine="0"/>
      </w:pPr>
      <w:r>
        <w:lastRenderedPageBreak/>
        <w:tab/>
      </w:r>
      <w:r w:rsidR="008A2399" w:rsidRPr="008A2399">
        <w:t>However, Garcia-Lopez (2013) asserted that, notwithstanding the complex engagement of diverse actors and their interests in multi-stakeholder Natural Resource Management (NRM) and the complexities of conflicts, the interactions and networks among these stakeholders have not uniformly resulted in favo</w:t>
      </w:r>
      <w:r w:rsidR="008A2399">
        <w:t>u</w:t>
      </w:r>
      <w:r w:rsidR="008A2399" w:rsidRPr="008A2399">
        <w:t>rable outcomes. Similarly, Wilshusen (2009) argued that inequities and power imbalances among local actors, as well as between communities, along with the inclusion of the State, NGOs, and international agencies as additional stakeholders, can influence the processes of collective natural resource management.</w:t>
      </w:r>
      <w:r w:rsidR="008A2399">
        <w:t xml:space="preserve"> </w:t>
      </w:r>
    </w:p>
    <w:p w14:paraId="6849A3EC" w14:textId="77777777" w:rsidR="00067A2D" w:rsidRDefault="007A0CDA" w:rsidP="007A0CDA">
      <w:pPr>
        <w:spacing w:after="0"/>
        <w:ind w:left="0" w:firstLine="0"/>
      </w:pPr>
      <w:r>
        <w:tab/>
      </w:r>
      <w:r w:rsidR="00067A2D" w:rsidRPr="0031529C">
        <w:t>Similarly, Perez-Cirera and Lovett (2006) contended that more influential entities such as the State, international organi</w:t>
      </w:r>
      <w:r w:rsidR="00030DCB">
        <w:t>s</w:t>
      </w:r>
      <w:r w:rsidR="00067A2D" w:rsidRPr="0031529C">
        <w:t xml:space="preserve">ations, and local governing bodies possessing the technological means to extract </w:t>
      </w:r>
      <w:r w:rsidR="00030DCB">
        <w:t>more significant</w:t>
      </w:r>
      <w:r w:rsidR="00067A2D" w:rsidRPr="0031529C">
        <w:t xml:space="preserve"> resources c</w:t>
      </w:r>
      <w:r w:rsidR="008E4CCF">
        <w:t>ould</w:t>
      </w:r>
      <w:r w:rsidR="00067A2D" w:rsidRPr="0031529C">
        <w:t xml:space="preserve"> impose regulations for managing shared resources upon less influential actors and interest groups. They can manipulate these regulations to their advantage, thereby leading to the degradation of resources and the emergence of conflicts. This is where Collaborative Forest Management plays a role in mitigating such issues. </w:t>
      </w:r>
    </w:p>
    <w:p w14:paraId="6C2292C3" w14:textId="77777777" w:rsidR="00067A2D" w:rsidRDefault="007A0CDA" w:rsidP="007A0CDA">
      <w:pPr>
        <w:spacing w:after="0"/>
        <w:ind w:left="0" w:firstLine="0"/>
      </w:pPr>
      <w:r>
        <w:tab/>
      </w:r>
      <w:r w:rsidR="00067A2D" w:rsidRPr="0031529C">
        <w:t xml:space="preserve">Despite the potential challenges that can impede multi-stakeholder cooperation in Forest Management, various </w:t>
      </w:r>
      <w:r w:rsidR="00030DCB">
        <w:t>African instances</w:t>
      </w:r>
      <w:r w:rsidR="00067A2D" w:rsidRPr="0031529C">
        <w:t xml:space="preserve"> showcase its significant achievements. For instance, Uganda's Wildlife Authority's (UWA) Tourist Revenue Sharing Programme, as part of their Protected Area outreach, has </w:t>
      </w:r>
      <w:r w:rsidR="00030DCB">
        <w:t>supported</w:t>
      </w:r>
      <w:r w:rsidR="00067A2D" w:rsidRPr="0031529C">
        <w:t xml:space="preserve"> community projects like schools, clinics, and infrastructure initiatives since the late 1990s. This has positioned Uganda as a leader in East Africa, driving co-management efforts over the past two decades, notably in programs like fisheries co-management on Lake George and Kyoga. This </w:t>
      </w:r>
      <w:r w:rsidR="00067A2D" w:rsidRPr="0031529C">
        <w:lastRenderedPageBreak/>
        <w:t>progress has inspired similar initiatives by the Rwandan Government in natural resource management (Roe et al., 2009).</w:t>
      </w:r>
    </w:p>
    <w:p w14:paraId="0565309D" w14:textId="77777777" w:rsidR="00067A2D" w:rsidRDefault="007A0CDA" w:rsidP="00126EF5">
      <w:pPr>
        <w:spacing w:after="0"/>
        <w:ind w:left="0" w:firstLine="0"/>
        <w:rPr>
          <w:b/>
        </w:rPr>
      </w:pPr>
      <w:r>
        <w:tab/>
      </w:r>
      <w:r w:rsidR="00067A2D" w:rsidRPr="0008522A">
        <w:t xml:space="preserve">Similarly, Williams et al. (2001) demonstrated how the </w:t>
      </w:r>
      <w:proofErr w:type="spellStart"/>
      <w:r w:rsidR="00067A2D" w:rsidRPr="0008522A">
        <w:t>Buhoma</w:t>
      </w:r>
      <w:proofErr w:type="spellEnd"/>
      <w:r w:rsidR="00067A2D" w:rsidRPr="0008522A">
        <w:t xml:space="preserve"> Community Rest Camp within Bwindi National Park confers various advantages to nearby communities through the tourism industry. Furthermore, Tanzania National Parks (TANAPA) and Kenya Wildlife Service (KWS) have </w:t>
      </w:r>
      <w:r w:rsidR="00030DCB">
        <w:t>distributed park-generated revenues to local communities since the late 1980s and early 1990s, leading to increased community engagement in natural resource management as facilitated by legislative changes enacted in 2002 and 2005</w:t>
      </w:r>
      <w:r w:rsidR="00067A2D" w:rsidRPr="0008522A">
        <w:t>. Additionally, Roe et al. (2009) unveiled that the Communal Areas Management Programme for Indigenous Resources (CAMPFIRE) in Zimbabwe, which implemented legislative reforms in the early 1980s, has achieved significant success since its inception by granting Rural District Councils authority over wildlife following colonial independence.</w:t>
      </w:r>
    </w:p>
    <w:p w14:paraId="1606AE8F" w14:textId="77777777" w:rsidR="00FA0080" w:rsidRDefault="00FA0080" w:rsidP="00772DAC">
      <w:pPr>
        <w:pStyle w:val="Heading2"/>
        <w:ind w:left="0"/>
      </w:pPr>
      <w:bookmarkStart w:id="187" w:name="_Toc202197613"/>
      <w:r>
        <w:t xml:space="preserve">The </w:t>
      </w:r>
      <w:r w:rsidR="001363B4">
        <w:t>c</w:t>
      </w:r>
      <w:r>
        <w:t xml:space="preserve">oncept of </w:t>
      </w:r>
      <w:bookmarkStart w:id="188" w:name="_Hlk129179599"/>
      <w:r w:rsidR="00067A2D">
        <w:t>c</w:t>
      </w:r>
      <w:r>
        <w:t>o-management</w:t>
      </w:r>
      <w:bookmarkEnd w:id="187"/>
      <w:bookmarkEnd w:id="188"/>
    </w:p>
    <w:p w14:paraId="19636E48" w14:textId="77777777" w:rsidR="00F95A78" w:rsidRDefault="007A0CDA" w:rsidP="00074089">
      <w:pPr>
        <w:spacing w:after="0"/>
        <w:ind w:left="0" w:firstLine="0"/>
      </w:pPr>
      <w:r>
        <w:tab/>
      </w:r>
      <w:r w:rsidR="00F95A78" w:rsidRPr="0008522A">
        <w:t>The concept of co-management has been interpreted diversely by various scholars. For instance, McCay and Acheson (1987)</w:t>
      </w:r>
      <w:r w:rsidR="00030DCB">
        <w:t>,</w:t>
      </w:r>
      <w:r w:rsidR="00F95A78" w:rsidRPr="0008522A">
        <w:t xml:space="preserve"> in their influential work 'Managing the Commons'</w:t>
      </w:r>
      <w:r w:rsidR="00030DCB">
        <w:t>,</w:t>
      </w:r>
      <w:r w:rsidR="00F95A78" w:rsidRPr="0008522A">
        <w:t xml:space="preserve"> define co-management as the assertion of local communities' political rights to share management authority and duties over resources alongside the government. Another perspective presents collaborative, or co-management, as 'the division of power and obligation between governmental bodies and local resource users' (Berkes et al., 1991, p.12). </w:t>
      </w:r>
    </w:p>
    <w:p w14:paraId="0125AE16" w14:textId="77777777" w:rsidR="004B0C12" w:rsidRDefault="007A0CDA" w:rsidP="007A0CDA">
      <w:pPr>
        <w:spacing w:after="0"/>
        <w:ind w:left="0" w:firstLine="0"/>
      </w:pPr>
      <w:r>
        <w:tab/>
      </w:r>
      <w:r w:rsidR="00030DCB">
        <w:t xml:space="preserve">As </w:t>
      </w:r>
      <w:r w:rsidR="008E4CCF">
        <w:t>Singleton (1998) stated</w:t>
      </w:r>
      <w:r w:rsidR="00030DCB">
        <w:t>, co-management is described as a governance framework combining</w:t>
      </w:r>
      <w:r w:rsidR="008A2399" w:rsidRPr="008A2399">
        <w:t xml:space="preserve"> state authority with decentrali</w:t>
      </w:r>
      <w:r w:rsidR="00030DCB">
        <w:t>s</w:t>
      </w:r>
      <w:r w:rsidR="008A2399" w:rsidRPr="008A2399">
        <w:t>ed decision-</w:t>
      </w:r>
      <w:r w:rsidR="008A2399" w:rsidRPr="008A2399">
        <w:lastRenderedPageBreak/>
        <w:t>making and accountability. Its objective is to leverage the strengths and alleviate the weaknesses inherent in both approaches.</w:t>
      </w:r>
      <w:r w:rsidR="008A2399">
        <w:t xml:space="preserve"> </w:t>
      </w:r>
      <w:r w:rsidR="007C1C53" w:rsidRPr="007C1C53">
        <w:t xml:space="preserve">Co-management can alternatively be interpreted as a situation where two or more societal entities engage in negotiations, establish, and guarantee a fair allocation of managerial roles, rights, and responsibilities </w:t>
      </w:r>
      <w:r w:rsidR="00030DCB">
        <w:t>about</w:t>
      </w:r>
      <w:r w:rsidR="007C1C53" w:rsidRPr="007C1C53">
        <w:t xml:space="preserve"> a specific territory, area, or set of natural resources</w:t>
      </w:r>
      <w:r w:rsidR="007C1C53">
        <w:t xml:space="preserve"> </w:t>
      </w:r>
      <w:r w:rsidR="00F95A78" w:rsidRPr="0008522A">
        <w:t>(</w:t>
      </w:r>
      <w:proofErr w:type="spellStart"/>
      <w:r w:rsidR="00F95A78" w:rsidRPr="0008522A">
        <w:t>Borrini</w:t>
      </w:r>
      <w:proofErr w:type="spellEnd"/>
      <w:r w:rsidR="00F95A78" w:rsidRPr="0008522A">
        <w:t xml:space="preserve">-Feyerabend et al., 2000). </w:t>
      </w:r>
    </w:p>
    <w:p w14:paraId="168A7AD4" w14:textId="0F9FD11B" w:rsidR="00F95A78" w:rsidRDefault="007C1C53" w:rsidP="004B0C12">
      <w:pPr>
        <w:spacing w:after="0"/>
        <w:ind w:left="0"/>
      </w:pPr>
      <w:r w:rsidRPr="007C1C53">
        <w:t xml:space="preserve">The fundamental concept posits that an entity endowed with authority over a specific region, typically a governmental agency, has the potential to establish a partnership with relevant stakeholders, primarily involving residents and resource users. This collaboration aims to </w:t>
      </w:r>
      <w:r w:rsidR="00DF0738">
        <w:t xml:space="preserve">recognise </w:t>
      </w:r>
      <w:r w:rsidRPr="007C1C53">
        <w:t>and safeguard their respective roles, rights, and obligations concerning the designated area (</w:t>
      </w:r>
      <w:proofErr w:type="spellStart"/>
      <w:r w:rsidRPr="007C1C53">
        <w:t>Borrini</w:t>
      </w:r>
      <w:proofErr w:type="spellEnd"/>
      <w:r w:rsidRPr="007C1C53">
        <w:t>-Feyerabend, 1996)</w:t>
      </w:r>
      <w:r w:rsidR="00F95A78" w:rsidRPr="0008522A">
        <w:t>.</w:t>
      </w:r>
    </w:p>
    <w:p w14:paraId="5996D31B" w14:textId="66A52805" w:rsidR="00F95A78" w:rsidRDefault="007A0CDA" w:rsidP="007A0CDA">
      <w:pPr>
        <w:spacing w:after="0"/>
        <w:ind w:left="0" w:firstLine="0"/>
      </w:pPr>
      <w:r>
        <w:tab/>
      </w:r>
      <w:r w:rsidR="00030DCB">
        <w:t>Most</w:t>
      </w:r>
      <w:r w:rsidR="00F95A78" w:rsidRPr="0008522A">
        <w:t xml:space="preserve"> co-management definitions primarily emphasize power-sharing between the central government and local resource users, focusing on their roles and rights regarding specific resources</w:t>
      </w:r>
      <w:r w:rsidR="00030DCB">
        <w:t>,</w:t>
      </w:r>
      <w:r w:rsidR="00F95A78" w:rsidRPr="0008522A">
        <w:t xml:space="preserve"> as highlighted by Stöhr (2013). Stöhr contends that this conventional view of co-management tends to overly prioriti</w:t>
      </w:r>
      <w:r w:rsidR="00030DCB">
        <w:t>s</w:t>
      </w:r>
      <w:r w:rsidR="00F95A78" w:rsidRPr="0008522A">
        <w:t xml:space="preserve">e the formal power-sharing aspect, neglecting its essential function as an ongoing process for addressing challenges. </w:t>
      </w:r>
    </w:p>
    <w:p w14:paraId="0A2DA694" w14:textId="4E12CE0B" w:rsidR="00F95A78" w:rsidRDefault="007A0CDA" w:rsidP="007A0CDA">
      <w:pPr>
        <w:spacing w:after="0"/>
        <w:ind w:left="0" w:firstLine="0"/>
      </w:pPr>
      <w:r>
        <w:tab/>
      </w:r>
      <w:r w:rsidR="00F95A78" w:rsidRPr="0008522A">
        <w:t>Different interpretations of co-management explicitly link it with the management of natural resources, portraying it as a partnership involving both public and private actors and underlining its dynamic and evolving nature along a spectrum. However, authors like Carlsson (2000), Berkes (2002), and Plummer and Fitz</w:t>
      </w:r>
      <w:r w:rsidR="00C02E24" w:rsidRPr="0008522A">
        <w:t>gibbon</w:t>
      </w:r>
      <w:r w:rsidR="00F95A78" w:rsidRPr="0008522A">
        <w:t xml:space="preserve"> (2004) argue that existing co-management definitions struggle to capture the intricate, diverse, and ever-changing landscape of modern governance systems. Numerous intricacies are often overlooked in </w:t>
      </w:r>
      <w:r w:rsidR="00F95A78" w:rsidRPr="0008522A">
        <w:lastRenderedPageBreak/>
        <w:t xml:space="preserve">traditional conceptualizations of co-management, including the complexities of state involvement, community dynamics, system </w:t>
      </w:r>
      <w:proofErr w:type="spellStart"/>
      <w:r w:rsidR="00F95A78" w:rsidRPr="0008522A">
        <w:t>i</w:t>
      </w:r>
      <w:r w:rsidR="00F95A78">
        <w:t>nterac</w:t>
      </w:r>
      <w:r w:rsidR="00F95A78" w:rsidRPr="0008522A">
        <w:t>tiveness</w:t>
      </w:r>
      <w:proofErr w:type="spellEnd"/>
      <w:r w:rsidR="00F95A78" w:rsidRPr="0008522A">
        <w:t>, supportive conditions, governance structure, adaptive learning, problem-solving, and the ecosystem's role as a resource provider.</w:t>
      </w:r>
    </w:p>
    <w:p w14:paraId="3B36EFA4" w14:textId="5F58C6DD" w:rsidR="006A63BC" w:rsidRDefault="006A63BC" w:rsidP="00126EF5">
      <w:pPr>
        <w:spacing w:after="0"/>
        <w:ind w:left="0"/>
      </w:pPr>
      <w:bookmarkStart w:id="189" w:name="_Hlk129179634"/>
      <w:r w:rsidRPr="002B21F9">
        <w:t xml:space="preserve">In this study, co-management refers to a scenario in which communities, including indigenous populations, along with other stakeholders, such as user associations, play a significant role in negotiating, defining, and ensuring a fair distribution of management duties, rights, and responsibilities for </w:t>
      </w:r>
      <w:proofErr w:type="gramStart"/>
      <w:r w:rsidRPr="002B21F9">
        <w:t>particular forest</w:t>
      </w:r>
      <w:proofErr w:type="gramEnd"/>
      <w:r w:rsidRPr="002B21F9">
        <w:t xml:space="preserve"> resources. Despite varying interests among stakeholders, the core argument is that empowering communities with decision-making authority improves the resource management process, making it more flexible and responsive to diverse needs, as McCay and Jentoft (1998) suggest</w:t>
      </w:r>
      <w:r>
        <w:t>ed</w:t>
      </w:r>
      <w:r w:rsidRPr="002B21F9">
        <w:t>.</w:t>
      </w:r>
    </w:p>
    <w:p w14:paraId="2D73A761" w14:textId="459445E3" w:rsidR="0096374C" w:rsidRDefault="0096374C" w:rsidP="006A63BC">
      <w:pPr>
        <w:pStyle w:val="Heading2"/>
        <w:ind w:left="0"/>
      </w:pPr>
      <w:bookmarkStart w:id="190" w:name="_Toc202197614"/>
      <w:r>
        <w:t xml:space="preserve">Typologies of </w:t>
      </w:r>
      <w:r w:rsidR="00F95A78">
        <w:t>c</w:t>
      </w:r>
      <w:r>
        <w:t>o-management</w:t>
      </w:r>
      <w:bookmarkEnd w:id="190"/>
    </w:p>
    <w:p w14:paraId="48E91100" w14:textId="77777777" w:rsidR="00F95A78" w:rsidRDefault="007A0CDA" w:rsidP="007A0CDA">
      <w:pPr>
        <w:spacing w:after="0"/>
        <w:ind w:left="0" w:firstLine="0"/>
      </w:pPr>
      <w:bookmarkStart w:id="191" w:name="_Hlk129179658"/>
      <w:bookmarkEnd w:id="189"/>
      <w:r>
        <w:tab/>
      </w:r>
      <w:r w:rsidR="00F95A78">
        <w:t xml:space="preserve">Co-management is a widely used approach to natural resource management in which stakeholders </w:t>
      </w:r>
      <w:r w:rsidR="00E07533">
        <w:t>and government agencies participate in the decision-making proces</w:t>
      </w:r>
      <w:r w:rsidR="00F95A78">
        <w:t>s. Different typologies have been developed to categori</w:t>
      </w:r>
      <w:r w:rsidR="00030DCB">
        <w:t>s</w:t>
      </w:r>
      <w:r w:rsidR="00F95A78">
        <w:t xml:space="preserve">e co-management models based on different criteria. </w:t>
      </w:r>
    </w:p>
    <w:p w14:paraId="303E01E5" w14:textId="25653E18" w:rsidR="00F95A78" w:rsidRDefault="007A0CDA" w:rsidP="00D2494F">
      <w:pPr>
        <w:spacing w:after="0"/>
        <w:ind w:left="0" w:firstLine="0"/>
      </w:pPr>
      <w:r>
        <w:tab/>
      </w:r>
      <w:r w:rsidR="00F95A78">
        <w:t>One typology is based on the degree of stakeholder involvement in the decision-making process. In this typology, Armitage et al. (200</w:t>
      </w:r>
      <w:r w:rsidR="002A221C">
        <w:t>8</w:t>
      </w:r>
      <w:r w:rsidR="00F95A78">
        <w:t xml:space="preserve">) noted that co-management can be classified as consultative, collaborative, or co-governance. Consultative co-management involves stakeholders </w:t>
      </w:r>
      <w:r w:rsidR="00030DCB">
        <w:t>advising</w:t>
      </w:r>
      <w:r w:rsidR="00F95A78">
        <w:t xml:space="preserve"> government agencies but not being involved in </w:t>
      </w:r>
      <w:r w:rsidR="00E07533">
        <w:t>decision-making</w:t>
      </w:r>
      <w:r w:rsidR="00F95A78">
        <w:t>. Collaborative co-management involves stakeholders and government agencies jointly making decisions, but the government has the final say. Co-governance involves shared decision-making authority between stakeholders and government agencies.</w:t>
      </w:r>
    </w:p>
    <w:p w14:paraId="55DB8050" w14:textId="73DD598F" w:rsidR="00F95A78" w:rsidRDefault="007A0CDA" w:rsidP="00D2494F">
      <w:pPr>
        <w:spacing w:after="0"/>
        <w:ind w:left="0" w:firstLine="0"/>
      </w:pPr>
      <w:r>
        <w:lastRenderedPageBreak/>
        <w:tab/>
      </w:r>
      <w:r w:rsidR="00F95A78">
        <w:t>Similarly, Cinner et al. (2012) provided another typology based on the decentrali</w:t>
      </w:r>
      <w:r w:rsidR="00B42C81">
        <w:t>s</w:t>
      </w:r>
      <w:r w:rsidR="00F95A78">
        <w:t>ation of power, where co-management can be</w:t>
      </w:r>
      <w:r w:rsidR="00030DCB">
        <w:t xml:space="preserve"> </w:t>
      </w:r>
      <w:r w:rsidR="00F95A78">
        <w:t>classified as centrali</w:t>
      </w:r>
      <w:r w:rsidR="00E07533">
        <w:t>s</w:t>
      </w:r>
      <w:r w:rsidR="00F95A78">
        <w:t>ed, decentrali</w:t>
      </w:r>
      <w:r w:rsidR="004B0C12">
        <w:t>s</w:t>
      </w:r>
      <w:r w:rsidR="00F95A78">
        <w:t xml:space="preserve">ed, or </w:t>
      </w:r>
      <w:proofErr w:type="gramStart"/>
      <w:r w:rsidR="00F95A78">
        <w:t>community-based</w:t>
      </w:r>
      <w:proofErr w:type="gramEnd"/>
      <w:r w:rsidR="00F95A78">
        <w:t>. In centrali</w:t>
      </w:r>
      <w:r w:rsidR="00030DCB">
        <w:t>s</w:t>
      </w:r>
      <w:r w:rsidR="00F95A78">
        <w:t xml:space="preserve">ed co-management, decision-making is primarily the responsibility of government agencies, while decentralized co-management involves </w:t>
      </w:r>
      <w:r w:rsidR="00030DCB">
        <w:t>sharing</w:t>
      </w:r>
      <w:r w:rsidR="00F95A78">
        <w:t xml:space="preserve"> decision-making authority between government agencies and local communities. </w:t>
      </w:r>
      <w:r w:rsidR="00F95A78" w:rsidRPr="00BE0159">
        <w:t>Community-based co-management entails delegating decision-making responsibility to local communities while government bodies assume a facilitating role.</w:t>
      </w:r>
    </w:p>
    <w:p w14:paraId="60D659E6" w14:textId="77777777" w:rsidR="00F95A78" w:rsidRDefault="007A0CDA" w:rsidP="00D2494F">
      <w:pPr>
        <w:spacing w:after="0"/>
        <w:ind w:left="0" w:firstLine="0"/>
      </w:pPr>
      <w:r>
        <w:tab/>
      </w:r>
      <w:r w:rsidR="00F95A78" w:rsidRPr="00BE0159">
        <w:t xml:space="preserve">Coined during the 1980s, the concept of Community-based Natural Resource Management (CBNRM) </w:t>
      </w:r>
      <w:r w:rsidR="00F95A78">
        <w:t>emphasises</w:t>
      </w:r>
      <w:r w:rsidR="00F95A78" w:rsidRPr="00BE0159">
        <w:t xml:space="preserve"> the community's pivotal role in decision-making</w:t>
      </w:r>
      <w:r w:rsidR="00030DCB">
        <w:t xml:space="preserve"> </w:t>
      </w:r>
      <w:r w:rsidR="00030DCB" w:rsidRPr="00BE0159">
        <w:t>(Blaikie 2006)</w:t>
      </w:r>
      <w:r w:rsidR="00F95A78" w:rsidRPr="00BE0159">
        <w:t>. This approach assumes that the community not only holds a</w:t>
      </w:r>
      <w:r w:rsidR="00030DCB">
        <w:t xml:space="preserve"> substantial</w:t>
      </w:r>
      <w:r w:rsidR="00F95A78" w:rsidRPr="00BE0159">
        <w:t xml:space="preserve"> vested interest in preserving its resources compared to distant governing bodies but also possesses the necessary resources, particularly in terms of human (knowledge and labo</w:t>
      </w:r>
      <w:r w:rsidR="00F95A78">
        <w:t>u</w:t>
      </w:r>
      <w:r w:rsidR="00F95A78" w:rsidRPr="00BE0159">
        <w:t xml:space="preserve">r) and social (like social connections and trust) aspects, to effectively and equitably manage resources (Brosius, Tsing, &amp; Zerner 1998). Consequently, CBNRM is envisioned as a strategy to </w:t>
      </w:r>
      <w:r w:rsidR="00874C90">
        <w:t>concurrently address environmental and socio-economic objectives</w:t>
      </w:r>
      <w:r w:rsidR="00F95A78" w:rsidRPr="00BE0159">
        <w:t>, a</w:t>
      </w:r>
      <w:r w:rsidR="00F95A78">
        <w:t>n</w:t>
      </w:r>
      <w:r w:rsidR="00F95A78" w:rsidRPr="00BE0159">
        <w:t xml:space="preserve"> assertion </w:t>
      </w:r>
      <w:r w:rsidR="00030DCB">
        <w:t>often falling</w:t>
      </w:r>
      <w:r w:rsidR="00F95A78" w:rsidRPr="00BE0159">
        <w:t xml:space="preserve"> short of reali</w:t>
      </w:r>
      <w:r w:rsidR="00030DCB">
        <w:t>s</w:t>
      </w:r>
      <w:r w:rsidR="00F95A78" w:rsidRPr="00BE0159">
        <w:t>ation (Fabricius &amp; Collins 2007).</w:t>
      </w:r>
    </w:p>
    <w:p w14:paraId="1A43A86B" w14:textId="45A483A2" w:rsidR="00F95A78" w:rsidRDefault="007A0CDA" w:rsidP="00D2494F">
      <w:pPr>
        <w:spacing w:after="0"/>
        <w:ind w:left="0" w:firstLine="0"/>
      </w:pPr>
      <w:r>
        <w:tab/>
      </w:r>
      <w:r w:rsidR="00F95A78" w:rsidRPr="00BE0159">
        <w:t xml:space="preserve">Kumar </w:t>
      </w:r>
      <w:r w:rsidR="00DD5966">
        <w:t xml:space="preserve">and Kant </w:t>
      </w:r>
      <w:r w:rsidR="00F95A78" w:rsidRPr="00BE0159">
        <w:t>(2005) and other academics argue that Community</w:t>
      </w:r>
      <w:r w:rsidR="00030DCB">
        <w:t>-</w:t>
      </w:r>
      <w:r w:rsidR="00F95A78" w:rsidRPr="00BE0159">
        <w:t>Based Forest Resource Management does</w:t>
      </w:r>
      <w:r w:rsidR="00030DCB">
        <w:t xml:space="preserve"> no</w:t>
      </w:r>
      <w:r w:rsidR="00F95A78" w:rsidRPr="00BE0159">
        <w:t>t encapsulate a singular method but encompasses a spectrum of approaches. Conversely, Armitage (2005) relies on broad descriptions, characterizing CBFRM as a methodology that fosters improved outcomes in resource management by involving communities and resource users extensively in decision-making processes</w:t>
      </w:r>
      <w:r w:rsidR="00874C90">
        <w:t>, i</w:t>
      </w:r>
      <w:r w:rsidR="00F95A78" w:rsidRPr="00BE0159">
        <w:t xml:space="preserve">ntegrating local </w:t>
      </w:r>
      <w:r w:rsidR="00F95A78" w:rsidRPr="00BE0159">
        <w:lastRenderedPageBreak/>
        <w:t>institutions, traditional practices, and knowledge systems into management, regulatory, and enforcement procedures.</w:t>
      </w:r>
    </w:p>
    <w:p w14:paraId="30A0DEDF" w14:textId="77777777" w:rsidR="00F95A78" w:rsidRDefault="007A0CDA" w:rsidP="00D2494F">
      <w:pPr>
        <w:spacing w:after="0"/>
        <w:ind w:left="0" w:firstLine="0"/>
      </w:pPr>
      <w:r>
        <w:tab/>
      </w:r>
      <w:r w:rsidR="00F95A78">
        <w:t>Finally, Kellert and Metha (2000) pointed to commonalities between all interpretations</w:t>
      </w:r>
      <w:r w:rsidR="00F95A78" w:rsidRPr="00540917">
        <w:t xml:space="preserve"> </w:t>
      </w:r>
      <w:r w:rsidR="00F95A78">
        <w:t xml:space="preserve">of CBFRM. These included: </w:t>
      </w:r>
    </w:p>
    <w:p w14:paraId="2692EE39" w14:textId="77777777" w:rsidR="00534A41" w:rsidRDefault="00F95A78" w:rsidP="00E73A56">
      <w:pPr>
        <w:spacing w:after="0"/>
        <w:ind w:left="180" w:hanging="180"/>
      </w:pPr>
      <w:r>
        <w:t xml:space="preserve">• </w:t>
      </w:r>
      <w:r w:rsidR="00534A41">
        <w:t xml:space="preserve">Engaging community members and local institutions in the stewardship and preservation of forest </w:t>
      </w:r>
      <w:proofErr w:type="gramStart"/>
      <w:r w:rsidR="00534A41">
        <w:t>resources;</w:t>
      </w:r>
      <w:proofErr w:type="gramEnd"/>
    </w:p>
    <w:p w14:paraId="6DC9D90C" w14:textId="35023489" w:rsidR="00534A41" w:rsidRDefault="00534A41" w:rsidP="00E73A56">
      <w:pPr>
        <w:spacing w:after="0"/>
        <w:ind w:left="180" w:hanging="180"/>
      </w:pPr>
      <w:r>
        <w:t>• Decentrali</w:t>
      </w:r>
      <w:r w:rsidR="00D80B87">
        <w:t>s</w:t>
      </w:r>
      <w:r>
        <w:t xml:space="preserve">ing power and authority from the state government to grassroots institutions and </w:t>
      </w:r>
      <w:proofErr w:type="gramStart"/>
      <w:r>
        <w:t>individuals;</w:t>
      </w:r>
      <w:proofErr w:type="gramEnd"/>
    </w:p>
    <w:p w14:paraId="7398811D" w14:textId="77777777" w:rsidR="00534A41" w:rsidRDefault="00534A41" w:rsidP="00E73A56">
      <w:pPr>
        <w:spacing w:after="0"/>
        <w:ind w:left="180" w:hanging="180"/>
      </w:pPr>
      <w:r>
        <w:t>• Establishing connections between socio-economic and environmental goals; and</w:t>
      </w:r>
    </w:p>
    <w:p w14:paraId="3C9E3B22" w14:textId="77777777" w:rsidR="00534A41" w:rsidRDefault="00534A41" w:rsidP="00E73A56">
      <w:pPr>
        <w:spacing w:after="0"/>
        <w:ind w:left="180" w:hanging="180"/>
      </w:pPr>
      <w:r>
        <w:t>• Safeguarding the rights of local and/or indigenous communities.</w:t>
      </w:r>
    </w:p>
    <w:p w14:paraId="1D4F5C19" w14:textId="77777777" w:rsidR="00F95A78" w:rsidRDefault="007A0CDA" w:rsidP="00D2494F">
      <w:pPr>
        <w:spacing w:after="0"/>
        <w:ind w:left="0" w:firstLine="0"/>
      </w:pPr>
      <w:r>
        <w:tab/>
      </w:r>
      <w:r w:rsidR="00F95A78" w:rsidRPr="00BE0159">
        <w:t xml:space="preserve">In </w:t>
      </w:r>
      <w:r w:rsidR="00030DCB">
        <w:t>community-based forest and resource management (CBFRM), the conventional hierarchical methods, where government and scientific sectors primarily dictated decision-making, have shifted</w:t>
      </w:r>
      <w:r w:rsidR="00F95A78" w:rsidRPr="00BE0159">
        <w:t xml:space="preserve"> to a supporting role. This revised approach entails responsibilities like research, facilitation, and shaping institutional frameworks (Child &amp; Barnes 2010). The resources overseen within the Community-Based Management Approach are typically, though not exclusively, shared resources. This encompasses wood-supply forests, recreational spaces, grasslands, farmland, wildlife, and aquatic life in open waters and lakes (Blaikie, 2006).</w:t>
      </w:r>
      <w:r w:rsidR="00F95A78">
        <w:t xml:space="preserve"> </w:t>
      </w:r>
    </w:p>
    <w:p w14:paraId="088CEF45" w14:textId="03CB2A20" w:rsidR="00F95A78" w:rsidRDefault="007A0CDA" w:rsidP="00772DAC">
      <w:pPr>
        <w:ind w:left="0" w:firstLine="0"/>
      </w:pPr>
      <w:r>
        <w:tab/>
      </w:r>
      <w:r w:rsidR="00F95A78">
        <w:t>Furthermore, Pomeroy and Rivera-Guieb (200</w:t>
      </w:r>
      <w:r w:rsidR="006A5378">
        <w:t>5</w:t>
      </w:r>
      <w:r w:rsidR="00F95A78">
        <w:t xml:space="preserve">) provide a four-domain typology of </w:t>
      </w:r>
      <w:r w:rsidR="00030DCB">
        <w:t>policy, management, technical, and social domains</w:t>
      </w:r>
      <w:r w:rsidR="00F95A78">
        <w:t xml:space="preserve">. The policy domain involves the legal and institutional frameworks that shape resource management, while the management domain encompasses the practical aspects of resource use and conservation. The technical domain involves the scientific </w:t>
      </w:r>
      <w:r w:rsidR="00F95A78">
        <w:lastRenderedPageBreak/>
        <w:t>and technical knowledge required for effective resource management</w:t>
      </w:r>
      <w:r w:rsidR="00030DCB">
        <w:t>. In contrast,</w:t>
      </w:r>
      <w:r w:rsidR="00F95A78">
        <w:t xml:space="preserve"> the social domain encompasses the social and cultural factors </w:t>
      </w:r>
      <w:r w:rsidR="00B91D81">
        <w:t>shaping stakeholder interactions and co-management decision-making</w:t>
      </w:r>
      <w:r w:rsidR="00F95A78">
        <w:t>.</w:t>
      </w:r>
    </w:p>
    <w:p w14:paraId="4F1E453C" w14:textId="77777777" w:rsidR="006363D6" w:rsidRDefault="006363D6" w:rsidP="006363D6">
      <w:pPr>
        <w:pStyle w:val="Heading2"/>
        <w:ind w:left="0"/>
      </w:pPr>
      <w:bookmarkStart w:id="192" w:name="_Toc202197615"/>
      <w:r>
        <w:t xml:space="preserve">The </w:t>
      </w:r>
      <w:proofErr w:type="spellStart"/>
      <w:r>
        <w:t>Taungya</w:t>
      </w:r>
      <w:proofErr w:type="spellEnd"/>
      <w:r>
        <w:t xml:space="preserve"> System in Ghana</w:t>
      </w:r>
      <w:bookmarkEnd w:id="192"/>
    </w:p>
    <w:p w14:paraId="2611E017" w14:textId="77777777" w:rsidR="006363D6" w:rsidRDefault="006363D6" w:rsidP="006363D6">
      <w:pPr>
        <w:ind w:left="0"/>
      </w:pPr>
      <w:r w:rsidRPr="00634A67">
        <w:t xml:space="preserve">The </w:t>
      </w:r>
      <w:proofErr w:type="spellStart"/>
      <w:r w:rsidRPr="00634A67">
        <w:t>Taungya</w:t>
      </w:r>
      <w:proofErr w:type="spellEnd"/>
      <w:r w:rsidRPr="00634A67">
        <w:t xml:space="preserve"> System (TS) was implemented in Ghana in the 1930s as a strategy to restore dwindling forest reserves and rehabilitate degraded forest areas (</w:t>
      </w:r>
      <w:proofErr w:type="spellStart"/>
      <w:r w:rsidRPr="00634A67">
        <w:t>Kalame</w:t>
      </w:r>
      <w:proofErr w:type="spellEnd"/>
      <w:r w:rsidRPr="00634A67">
        <w:t xml:space="preserve"> et al. 2011; Narh, 2024). </w:t>
      </w:r>
      <w:r>
        <w:t xml:space="preserve">According to </w:t>
      </w:r>
      <w:r w:rsidRPr="00634A67">
        <w:t xml:space="preserve">Acheampong et al. </w:t>
      </w:r>
      <w:r>
        <w:t>(</w:t>
      </w:r>
      <w:r w:rsidRPr="00634A67">
        <w:t>2016</w:t>
      </w:r>
      <w:r>
        <w:t>), t</w:t>
      </w:r>
      <w:r w:rsidRPr="00634A67">
        <w:t>he system involved cultivating crops alongside timber species seedlings during the initial years on degraded forestlands. Farmers were responsible for nurturing the forestry seedlings along with their crops until the trees were three years old and had formed a closed canopy, after which the farmers were required to vacate the land.</w:t>
      </w:r>
    </w:p>
    <w:p w14:paraId="16CEA30E" w14:textId="41DE1D32" w:rsidR="006363D6" w:rsidRDefault="006363D6" w:rsidP="006363D6">
      <w:pPr>
        <w:ind w:left="0"/>
      </w:pPr>
      <w:r w:rsidRPr="00634A67">
        <w:t xml:space="preserve">However, the TS did not include provisions allowing farmers to benefit from mature trees after they were harvested by the Forestry Commission (FC) (Acheampong et al. 2016). Consequently, many farmers intentionally destroyed tree crops, knowing that they would eventually be forced to vacate the land. Moreover, the government struggled to manage large plantations efficiently nationwide. In Ghana, </w:t>
      </w:r>
      <w:proofErr w:type="gramStart"/>
      <w:r w:rsidRPr="00634A67">
        <w:t>similar to</w:t>
      </w:r>
      <w:proofErr w:type="gramEnd"/>
      <w:r w:rsidRPr="00634A67">
        <w:t xml:space="preserve"> Kenya and Nigeria, traditional TS has achieved only limited success (Acheampong et al. 2016</w:t>
      </w:r>
      <w:r>
        <w:t xml:space="preserve">; </w:t>
      </w:r>
      <w:proofErr w:type="spellStart"/>
      <w:r w:rsidRPr="00634A67">
        <w:t>Kalame</w:t>
      </w:r>
      <w:proofErr w:type="spellEnd"/>
      <w:r w:rsidRPr="00634A67">
        <w:t xml:space="preserve"> et al.</w:t>
      </w:r>
      <w:r w:rsidR="002E60C7">
        <w:t>,</w:t>
      </w:r>
      <w:r w:rsidRPr="00634A67">
        <w:t xml:space="preserve"> 2011).</w:t>
      </w:r>
    </w:p>
    <w:p w14:paraId="10521B9E" w14:textId="77777777" w:rsidR="006363D6" w:rsidRDefault="006363D6" w:rsidP="00126EF5">
      <w:pPr>
        <w:spacing w:after="0"/>
        <w:ind w:left="0"/>
      </w:pPr>
      <w:r>
        <w:t xml:space="preserve">The </w:t>
      </w:r>
      <w:proofErr w:type="spellStart"/>
      <w:r>
        <w:t>Taungya</w:t>
      </w:r>
      <w:proofErr w:type="spellEnd"/>
      <w:r>
        <w:t xml:space="preserve"> System (TS) was suspended in 1984 owing to its limitations. Although intended as an improvement initiative, it failed to include comprehensive start-to-finish participation and did not establish timber benefit-sharing agreements with the stakeholders. As a result, deforestation and forest </w:t>
      </w:r>
      <w:r>
        <w:lastRenderedPageBreak/>
        <w:t>degradation in Ghana have continued to rise since the colonial era, with more trees being harvested than replanted sustainably (Acheampong et al. 2016).</w:t>
      </w:r>
    </w:p>
    <w:p w14:paraId="38FA3379" w14:textId="7A58F5E4" w:rsidR="006363D6" w:rsidRDefault="006363D6" w:rsidP="00126EF5">
      <w:pPr>
        <w:spacing w:after="0"/>
        <w:ind w:left="0"/>
      </w:pPr>
      <w:r>
        <w:t xml:space="preserve">In response, Narh (2024) noted that the Modified </w:t>
      </w:r>
      <w:proofErr w:type="spellStart"/>
      <w:r>
        <w:t>Taungya</w:t>
      </w:r>
      <w:proofErr w:type="spellEnd"/>
      <w:r>
        <w:t xml:space="preserve"> System (MTS) was introduced in 2002 to replace the TS. </w:t>
      </w:r>
      <w:proofErr w:type="spellStart"/>
      <w:r>
        <w:t>Kalame</w:t>
      </w:r>
      <w:proofErr w:type="spellEnd"/>
      <w:r>
        <w:t xml:space="preserve"> et al. (2011) maintained that the MTS was designed to address future industrial timber needs while also ensuring food security and income for farmers. Unlike the TS, the MTS requires farmers to form groups with elected leaders and create by-laws or constitutions. The MTS has seen mixed results, achieving some success in food security and forest restoration but also facing governance and implementation challenges (Narh, 2024; </w:t>
      </w:r>
      <w:proofErr w:type="spellStart"/>
      <w:r>
        <w:t>Kalame</w:t>
      </w:r>
      <w:proofErr w:type="spellEnd"/>
      <w:r>
        <w:t xml:space="preserve"> et al.</w:t>
      </w:r>
      <w:r w:rsidR="002E60C7">
        <w:t>,</w:t>
      </w:r>
      <w:r>
        <w:t xml:space="preserve"> 2011).</w:t>
      </w:r>
    </w:p>
    <w:p w14:paraId="71956FD6" w14:textId="77777777" w:rsidR="006363D6" w:rsidRDefault="006363D6" w:rsidP="006363D6">
      <w:pPr>
        <w:ind w:left="0"/>
      </w:pPr>
      <w:proofErr w:type="spellStart"/>
      <w:r>
        <w:t>Kalame</w:t>
      </w:r>
      <w:proofErr w:type="spellEnd"/>
      <w:r>
        <w:t xml:space="preserve"> et al. (2011) reported that the Modified </w:t>
      </w:r>
      <w:proofErr w:type="spellStart"/>
      <w:r>
        <w:t>Taungya</w:t>
      </w:r>
      <w:proofErr w:type="spellEnd"/>
      <w:r>
        <w:t xml:space="preserve"> System (MTS) has achieved significant success since its introduction in 2002. It bolstered food security by enabling farmers to cultivate crops such as cassava, maize, and plantain alongside timber trees during the initial stages of plantation development, providing both income and sustenance for participants. Additionally, the MTS has played a crucial role in restoring degraded forest reserves, with approximately 60,000 ha replanted between 2002 and 2005 using both indigenous and exotic timber species. By involving farmers in managing these plantations, MTS enhanced the livelihoods of communities living near the forests. Moreover, the MTS holds the potential to mitigate climate change impacts in the highly degraded and vulnerable transitional zone by establishing long-term timber plantations while supporting short-term food production (</w:t>
      </w:r>
      <w:proofErr w:type="spellStart"/>
      <w:r>
        <w:t>Kalame</w:t>
      </w:r>
      <w:proofErr w:type="spellEnd"/>
      <w:r>
        <w:t xml:space="preserve"> et al., 2011).</w:t>
      </w:r>
    </w:p>
    <w:p w14:paraId="7C6634C8" w14:textId="77777777" w:rsidR="006363D6" w:rsidRDefault="006363D6" w:rsidP="006363D6">
      <w:pPr>
        <w:ind w:left="0"/>
      </w:pPr>
      <w:r>
        <w:t xml:space="preserve">However, Narh (2024) pointed out that despite its success, the MTS has encountered several challenges that have hindered its full potential. Issues </w:t>
      </w:r>
      <w:r>
        <w:lastRenderedPageBreak/>
        <w:t>related to governance, including bribery, corruption, and nepotism, have compromised the allocation of degraded forest reserves for MTS and delayed the finalisation of benefit-sharing agreements with farmers. This has led to decreased motivation among farmers and reduced their commitment to planting and protecting the trees. Furthermore, the absence of income for farmers during the period between the cessation of food crop cultivation due to canopy closure and the eventual timber harvest discouraged the maintenance of plantations. The MTS has also struggled to address livelihood and adaptation needs in the medium to long term, as resource management under this system appears promising in the short term, but faces significant challenges.</w:t>
      </w:r>
    </w:p>
    <w:p w14:paraId="21C3E8C9" w14:textId="54A1C431" w:rsidR="0096374C" w:rsidRDefault="0096374C" w:rsidP="00772DAC">
      <w:pPr>
        <w:pStyle w:val="Heading2"/>
        <w:ind w:left="0"/>
      </w:pPr>
      <w:bookmarkStart w:id="193" w:name="_Toc202197616"/>
      <w:r>
        <w:t xml:space="preserve">Key </w:t>
      </w:r>
      <w:r w:rsidR="00F95A78">
        <w:t>a</w:t>
      </w:r>
      <w:r>
        <w:t xml:space="preserve">ctors of </w:t>
      </w:r>
      <w:r w:rsidR="00F95A78">
        <w:t>f</w:t>
      </w:r>
      <w:r>
        <w:t xml:space="preserve">orest </w:t>
      </w:r>
      <w:r w:rsidR="00F95A78">
        <w:t>c</w:t>
      </w:r>
      <w:r>
        <w:t>o-management</w:t>
      </w:r>
      <w:bookmarkEnd w:id="193"/>
    </w:p>
    <w:bookmarkEnd w:id="191"/>
    <w:p w14:paraId="73C61BC4" w14:textId="77777777" w:rsidR="00F95A78" w:rsidRDefault="007A0CDA" w:rsidP="007A0CDA">
      <w:pPr>
        <w:spacing w:after="0"/>
        <w:ind w:left="0" w:firstLine="0"/>
      </w:pPr>
      <w:r>
        <w:tab/>
      </w:r>
      <w:r w:rsidR="00F95A78">
        <w:t xml:space="preserve">Forest co-management involves a collaborative governance arrangement among various stakeholders in </w:t>
      </w:r>
      <w:r w:rsidR="00030DCB">
        <w:t>managing</w:t>
      </w:r>
      <w:r w:rsidR="00F95A78">
        <w:t xml:space="preserve"> forest resources. The success of co-management depends on the participation and engagement of </w:t>
      </w:r>
      <w:r w:rsidR="00030DCB">
        <w:t>critical</w:t>
      </w:r>
      <w:r>
        <w:t xml:space="preserve"> actors in the process. </w:t>
      </w:r>
      <w:proofErr w:type="spellStart"/>
      <w:r w:rsidR="00F95A78">
        <w:t>Kusumawati</w:t>
      </w:r>
      <w:proofErr w:type="spellEnd"/>
      <w:r w:rsidR="00F95A78">
        <w:t xml:space="preserve"> et al. (2021) revealed that one of the key actors in forest co-management is the government, which plays a critical role in setting policies, laws, and regulations that govern forest management. Government agencies are responsible for monitoring compliance with laws and regulations and enforcing penalties for non-compliance. In addition, Purnomo et al. (2018) noted that another </w:t>
      </w:r>
      <w:r w:rsidR="00030DCB">
        <w:t>critical</w:t>
      </w:r>
      <w:r w:rsidR="00F95A78">
        <w:t xml:space="preserve"> actor in forest co-management is the local community, which includes forest-dependent communities and other local stakeholders. These stakeholders have traditional knowledge and practices critical for sustainable forest management and conservation. </w:t>
      </w:r>
    </w:p>
    <w:p w14:paraId="1224299D" w14:textId="34EDFC0F" w:rsidR="00F95A78" w:rsidRDefault="007A0CDA" w:rsidP="00772DAC">
      <w:pPr>
        <w:ind w:left="0" w:firstLine="0"/>
      </w:pPr>
      <w:r>
        <w:tab/>
      </w:r>
      <w:r w:rsidR="00F95A78">
        <w:t xml:space="preserve">In addition to government agencies and local communities, Ribeiro et al. (2021) maintained that other actors play </w:t>
      </w:r>
      <w:r w:rsidR="00030DCB">
        <w:t>essential</w:t>
      </w:r>
      <w:r w:rsidR="00F95A78">
        <w:t xml:space="preserve"> roles in forest co-</w:t>
      </w:r>
      <w:r w:rsidR="00F95A78">
        <w:lastRenderedPageBreak/>
        <w:t>management. One such actor is the private sector, which includes logging companies, agribusinesses, and other forest-based industries. The private sector can bring resources and expertise to forest management activities but may also have conflicting interests with other stakeholders. More so, Wollenberg et al. (2016) noted that Civil society organi</w:t>
      </w:r>
      <w:r w:rsidR="006E091D">
        <w:t>s</w:t>
      </w:r>
      <w:r w:rsidR="00F95A78">
        <w:t xml:space="preserve">ations, such as non-governmental organizations and community-based organizations, are also </w:t>
      </w:r>
      <w:r w:rsidR="00030DCB">
        <w:t>essential</w:t>
      </w:r>
      <w:r w:rsidR="00F95A78">
        <w:t xml:space="preserve"> actors in forest co-management. These organizations can advocate for the interests of local communities and provide technical and financial support for forest management activities.</w:t>
      </w:r>
    </w:p>
    <w:p w14:paraId="105D25CF" w14:textId="77777777" w:rsidR="0096374C" w:rsidRPr="00D2494F" w:rsidRDefault="0096374C" w:rsidP="00D2494F">
      <w:pPr>
        <w:pStyle w:val="Heading2"/>
        <w:ind w:left="0"/>
      </w:pPr>
      <w:bookmarkStart w:id="194" w:name="_Toc202197617"/>
      <w:bookmarkStart w:id="195" w:name="_Hlk129179708"/>
      <w:r w:rsidRPr="00D2494F">
        <w:t>Roles/</w:t>
      </w:r>
      <w:r w:rsidR="00F95A78" w:rsidRPr="00D2494F">
        <w:t>r</w:t>
      </w:r>
      <w:r w:rsidRPr="00D2494F">
        <w:t xml:space="preserve">esponsibilities of the </w:t>
      </w:r>
      <w:r w:rsidR="00F95A78" w:rsidRPr="00D2494F">
        <w:t>k</w:t>
      </w:r>
      <w:r w:rsidRPr="00D2494F">
        <w:t xml:space="preserve">ey </w:t>
      </w:r>
      <w:r w:rsidR="00F95A78" w:rsidRPr="00D2494F">
        <w:t>a</w:t>
      </w:r>
      <w:r w:rsidRPr="00D2494F">
        <w:t xml:space="preserve">ctors of </w:t>
      </w:r>
      <w:r w:rsidR="00F95A78" w:rsidRPr="00D2494F">
        <w:t>f</w:t>
      </w:r>
      <w:r w:rsidRPr="00D2494F">
        <w:t xml:space="preserve">orest </w:t>
      </w:r>
      <w:r w:rsidR="00F95A78" w:rsidRPr="00D2494F">
        <w:t>c</w:t>
      </w:r>
      <w:r w:rsidRPr="00D2494F">
        <w:t>o-management</w:t>
      </w:r>
      <w:r w:rsidR="00CF03C6" w:rsidRPr="00D2494F">
        <w:t xml:space="preserve"> in Ghana</w:t>
      </w:r>
      <w:bookmarkEnd w:id="194"/>
      <w:r w:rsidR="00CF03C6" w:rsidRPr="00D2494F">
        <w:t xml:space="preserve"> </w:t>
      </w:r>
    </w:p>
    <w:p w14:paraId="60802B66" w14:textId="77777777" w:rsidR="0096374C" w:rsidRPr="00D2494F" w:rsidRDefault="0096374C" w:rsidP="00D2494F">
      <w:pPr>
        <w:pStyle w:val="Heading2"/>
        <w:ind w:left="0"/>
      </w:pPr>
      <w:bookmarkStart w:id="196" w:name="_Toc202197618"/>
      <w:r w:rsidRPr="00D2494F">
        <w:t>Central Government</w:t>
      </w:r>
      <w:bookmarkEnd w:id="196"/>
    </w:p>
    <w:bookmarkEnd w:id="195"/>
    <w:p w14:paraId="300DC08C" w14:textId="77777777" w:rsidR="00F95A78" w:rsidRDefault="00767CD4" w:rsidP="00767CD4">
      <w:pPr>
        <w:spacing w:after="0"/>
        <w:ind w:left="0" w:firstLine="0"/>
      </w:pPr>
      <w:r>
        <w:tab/>
      </w:r>
      <w:r w:rsidR="00F95A78" w:rsidRPr="00F84DBF">
        <w:t xml:space="preserve">According to Carter and Gronow (2005), governments </w:t>
      </w:r>
      <w:r w:rsidR="00030DCB">
        <w:t>collaborate to leverage various partners' expertise</w:t>
      </w:r>
      <w:r w:rsidR="00F95A78" w:rsidRPr="00F84DBF">
        <w:t xml:space="preserve">, distribute the duties associated with forest management, and minimize expenses. The primary government </w:t>
      </w:r>
      <w:r w:rsidR="00030DCB">
        <w:t>is responsible for</w:t>
      </w:r>
      <w:r w:rsidR="00F95A78" w:rsidRPr="00F84DBF">
        <w:t xml:space="preserve"> facilitating the empowerment of resource users, fostering fairness, and offering incentives to enforce policies. Article 269 (1) of Ghana's 1992 Constitution similarly mandates the Forestry Commission (FC) </w:t>
      </w:r>
      <w:r w:rsidR="00030DCB">
        <w:t>to oversee and control</w:t>
      </w:r>
      <w:r w:rsidR="00F95A78" w:rsidRPr="00F84DBF">
        <w:t xml:space="preserve"> the utilization of natural resources.</w:t>
      </w:r>
    </w:p>
    <w:p w14:paraId="1AA08232" w14:textId="28EC7F6C" w:rsidR="00F95A78" w:rsidRDefault="00767CD4" w:rsidP="00767CD4">
      <w:pPr>
        <w:spacing w:after="0"/>
        <w:ind w:left="0" w:firstLine="0"/>
      </w:pPr>
      <w:r>
        <w:tab/>
      </w:r>
      <w:r w:rsidR="00F95A78" w:rsidRPr="00F84DBF">
        <w:t>Moreover, Section 2 (1) of the Forestry Commission Act - 1999 (Act 571) articulates, "The responsibilities of the Commission encompass overseeing the management of forest and wildlife resources, their prudent utili</w:t>
      </w:r>
      <w:r w:rsidR="00CD41AE">
        <w:t>s</w:t>
      </w:r>
      <w:r w:rsidR="00F95A78" w:rsidRPr="00F84DBF">
        <w:t>ation, and the harmoni</w:t>
      </w:r>
      <w:r w:rsidR="00CD41AE">
        <w:t>s</w:t>
      </w:r>
      <w:r w:rsidR="00F95A78" w:rsidRPr="00F84DBF">
        <w:t xml:space="preserve">ation of associated policies." Furthermore, Section 2 (2) (a) delineates that the Forestry Commission is tasked with supervising the use of timber and forest resources; administering the country's forest reserves and safeguarded zones; providing support to private enterprises and other entities in </w:t>
      </w:r>
      <w:r w:rsidR="00F95A78" w:rsidRPr="00F84DBF">
        <w:lastRenderedPageBreak/>
        <w:t>executing forest and wildlife policies; engaging in the establishment of forest plantations to rehabilitate degraded forest areas, extend the nation's forest coverage, and boost industrial timber production, among other endeavours.</w:t>
      </w:r>
    </w:p>
    <w:p w14:paraId="1AAF68A5" w14:textId="77777777" w:rsidR="00F95A78" w:rsidRDefault="00767CD4" w:rsidP="00772DAC">
      <w:pPr>
        <w:ind w:left="0" w:firstLine="0"/>
      </w:pPr>
      <w:r>
        <w:tab/>
      </w:r>
      <w:r w:rsidR="00F95A78" w:rsidRPr="00F84DBF">
        <w:t xml:space="preserve">Furthermore, Section 8 of the Forestry Commission Act-1999 (Act 571) stipulates that "The Commission is empowered to establish committees, consisting of Commission members, non-members, or a combination of both, </w:t>
      </w:r>
      <w:r w:rsidR="00F95A78">
        <w:t>to fulfil</w:t>
      </w:r>
      <w:r w:rsidR="00F95A78" w:rsidRPr="00F84DBF">
        <w:t xml:space="preserve"> its responsibilities. The Commission is authorized to delegate specific functions of the Commission to such committees as determined by the Commission."</w:t>
      </w:r>
    </w:p>
    <w:p w14:paraId="564E496C" w14:textId="77777777" w:rsidR="0096374C" w:rsidRPr="00D2494F" w:rsidRDefault="0096374C" w:rsidP="00772DAC">
      <w:pPr>
        <w:pStyle w:val="Heading2"/>
        <w:ind w:left="0"/>
        <w:rPr>
          <w:bCs/>
        </w:rPr>
      </w:pPr>
      <w:bookmarkStart w:id="197" w:name="_Toc202197619"/>
      <w:r w:rsidRPr="00D2494F">
        <w:rPr>
          <w:bCs/>
        </w:rPr>
        <w:t>Local Government</w:t>
      </w:r>
      <w:bookmarkEnd w:id="197"/>
    </w:p>
    <w:p w14:paraId="14639904" w14:textId="77777777" w:rsidR="00F95A78" w:rsidRDefault="00767CD4" w:rsidP="00767CD4">
      <w:pPr>
        <w:spacing w:after="0"/>
        <w:ind w:left="0" w:firstLine="0"/>
      </w:pPr>
      <w:r>
        <w:tab/>
      </w:r>
      <w:r w:rsidR="00F95A78" w:rsidRPr="00F84DBF">
        <w:t>According to Section 10 (3) (e) of the Local Government Act</w:t>
      </w:r>
      <w:r w:rsidR="00F92C8F">
        <w:t xml:space="preserve"> </w:t>
      </w:r>
      <w:r w:rsidR="00F95A78" w:rsidRPr="00F84DBF">
        <w:t>1993 (Act 462), the responsibility for safeguarding the environment within its jurisdiction is placed upon the local government. This obligation e</w:t>
      </w:r>
      <w:r w:rsidR="00C30021">
        <w:t>ncompasse</w:t>
      </w:r>
      <w:r w:rsidR="00F95A78" w:rsidRPr="00F84DBF">
        <w:t xml:space="preserve">s the portion of the Forest Reserve located within the jurisdictional boundaries. Consequently, local governments actively participate in collaborative forest management efforts by devising development plans </w:t>
      </w:r>
      <w:r w:rsidR="00C30021">
        <w:t>to preserve</w:t>
      </w:r>
      <w:r w:rsidR="00F95A78" w:rsidRPr="00F84DBF">
        <w:t xml:space="preserve"> the reserve. </w:t>
      </w:r>
    </w:p>
    <w:p w14:paraId="4BF1EDB1" w14:textId="77777777" w:rsidR="00F95A78" w:rsidRDefault="00767CD4" w:rsidP="00772DAC">
      <w:pPr>
        <w:ind w:left="0" w:firstLine="0"/>
      </w:pPr>
      <w:r>
        <w:tab/>
      </w:r>
      <w:r w:rsidR="00F95A78" w:rsidRPr="00F84DBF">
        <w:t>The tasks of formulating these development plans fall within the scope of the local government's functions, as stipulated in Section (3) (b). A study conducted by Pomeroy and Berkes (1997) also highlights several roles undertaken by local government institutions, including the execution of forest policies and regulations, implementation of management strategies, issuance of local guidelines and ordinances, facilitation of intersectoral coordination, and the planning of projects at the local level.</w:t>
      </w:r>
    </w:p>
    <w:p w14:paraId="1B3884D5" w14:textId="77777777" w:rsidR="0096374C" w:rsidRPr="00D2494F" w:rsidRDefault="0096374C" w:rsidP="00772DAC">
      <w:pPr>
        <w:pStyle w:val="Heading2"/>
        <w:ind w:left="0"/>
        <w:rPr>
          <w:bCs/>
        </w:rPr>
      </w:pPr>
      <w:bookmarkStart w:id="198" w:name="_Toc202197620"/>
      <w:r w:rsidRPr="00D2494F">
        <w:rPr>
          <w:bCs/>
        </w:rPr>
        <w:lastRenderedPageBreak/>
        <w:t>Civil Society/</w:t>
      </w:r>
      <w:r w:rsidR="00181652" w:rsidRPr="00D2494F">
        <w:rPr>
          <w:bCs/>
        </w:rPr>
        <w:t>NGO</w:t>
      </w:r>
      <w:bookmarkEnd w:id="198"/>
    </w:p>
    <w:p w14:paraId="624C9793" w14:textId="105DE26C" w:rsidR="00F95A78" w:rsidRDefault="00767CD4" w:rsidP="00767CD4">
      <w:pPr>
        <w:spacing w:after="0"/>
        <w:ind w:left="0" w:firstLine="0"/>
      </w:pPr>
      <w:r>
        <w:tab/>
      </w:r>
      <w:r w:rsidR="00F95A78" w:rsidRPr="00F84DBF">
        <w:t xml:space="preserve">The discourse on the roles played by various actors in forest co-management necessitates the inclusion of civil society. As per FAO (2005), civil societies partake in several functions, </w:t>
      </w:r>
      <w:r w:rsidR="00B91D81">
        <w:t>including</w:t>
      </w:r>
      <w:r w:rsidR="00F95A78" w:rsidRPr="00F84DBF">
        <w:t xml:space="preserve"> enhancing capabilities, establishing advocacy networks, conducting extensions and pilot initiatives, a</w:t>
      </w:r>
      <w:r w:rsidR="00C30021">
        <w:t>nd</w:t>
      </w:r>
      <w:r w:rsidR="00F95A78" w:rsidRPr="00F84DBF">
        <w:t xml:space="preserve"> setting standards. Regarding forest co-management, Carter and Gronow (2005) contend that NGOs can also contribute their expertise in social sciences, offering services like education, training, facilitation, and social surveys. Furthermore, </w:t>
      </w:r>
      <w:r w:rsidR="0061506E">
        <w:t>O’</w:t>
      </w:r>
      <w:r w:rsidR="00F95A78" w:rsidRPr="00F84DBF">
        <w:t xml:space="preserve">Donoghue </w:t>
      </w:r>
      <w:r w:rsidR="0061506E">
        <w:t xml:space="preserve">and Robin </w:t>
      </w:r>
      <w:r w:rsidR="00F95A78" w:rsidRPr="00F84DBF">
        <w:t xml:space="preserve">(1999) highlighted </w:t>
      </w:r>
      <w:r w:rsidR="00C30021">
        <w:t>NGOs' pivotal advocacy rol</w:t>
      </w:r>
      <w:r w:rsidR="00F95A78" w:rsidRPr="00F84DBF">
        <w:t>e, particularly in supporting upland communities striving to safeguard their land holdings and forested areas from illicit logging activities and local influential interests seeking to claim ownership of these resources. Hence, NGOs effectively contribute to the preservation of forest resources.</w:t>
      </w:r>
    </w:p>
    <w:p w14:paraId="2F5FC516" w14:textId="29B18291" w:rsidR="00F95A78" w:rsidRDefault="00767CD4" w:rsidP="00115CDD">
      <w:pPr>
        <w:spacing w:after="0"/>
        <w:ind w:left="0" w:firstLine="0"/>
      </w:pPr>
      <w:r>
        <w:tab/>
      </w:r>
      <w:r w:rsidR="00F95A78" w:rsidRPr="0063354E">
        <w:t xml:space="preserve">Additional studies exploring the functions of Non-Governmental Organizations (NGOs) in collaborative forest management, as presented by </w:t>
      </w:r>
      <w:r w:rsidR="0061506E">
        <w:t>O’</w:t>
      </w:r>
      <w:r w:rsidR="00F95A78" w:rsidRPr="0063354E">
        <w:t xml:space="preserve">Donoghue </w:t>
      </w:r>
      <w:r w:rsidR="0061506E">
        <w:t xml:space="preserve">and Robin </w:t>
      </w:r>
      <w:r w:rsidR="00F95A78" w:rsidRPr="0063354E">
        <w:t xml:space="preserve">(1999) and </w:t>
      </w:r>
      <w:proofErr w:type="spellStart"/>
      <w:r w:rsidR="00F95A78" w:rsidRPr="0063354E">
        <w:t>Quesblatin</w:t>
      </w:r>
      <w:proofErr w:type="spellEnd"/>
      <w:r w:rsidR="00F95A78" w:rsidRPr="0063354E">
        <w:t xml:space="preserve"> (1994), reveal that NGOs have the potential to assume three primary roles: engaging in research and the creation of livelihood initiatives, serving as proponents for communities in political and legal contexts, and offering support through the supply of community organizers.</w:t>
      </w:r>
    </w:p>
    <w:p w14:paraId="081898F0" w14:textId="77777777" w:rsidR="0096374C" w:rsidRPr="00D2494F" w:rsidRDefault="0096374C" w:rsidP="00772DAC">
      <w:pPr>
        <w:pStyle w:val="Heading2"/>
        <w:ind w:left="0"/>
        <w:rPr>
          <w:bCs/>
        </w:rPr>
      </w:pPr>
      <w:bookmarkStart w:id="199" w:name="_Toc202197621"/>
      <w:r w:rsidRPr="00D2494F">
        <w:rPr>
          <w:bCs/>
        </w:rPr>
        <w:t>Local Communities</w:t>
      </w:r>
      <w:bookmarkEnd w:id="199"/>
    </w:p>
    <w:p w14:paraId="32AFEEA7" w14:textId="77777777" w:rsidR="00F95A78" w:rsidRDefault="00767CD4" w:rsidP="00767CD4">
      <w:pPr>
        <w:spacing w:after="0"/>
        <w:ind w:left="0" w:firstLine="0"/>
      </w:pPr>
      <w:r>
        <w:tab/>
      </w:r>
      <w:r w:rsidR="00F95A78">
        <w:t xml:space="preserve">Local communities play a pivotal role in forest management </w:t>
      </w:r>
      <w:r w:rsidR="00C30021">
        <w:t>because they often possess</w:t>
      </w:r>
      <w:r w:rsidR="00F95A78">
        <w:t xml:space="preserve"> invaluable traditional knowledge and practices crucial for maintaining sustainable forests and ensuring conservation. The Control and Prevention of Bushfires Act 1990, P.N.D.C.L. 229 of Ghana</w:t>
      </w:r>
      <w:r w:rsidR="00C30021">
        <w:t>,</w:t>
      </w:r>
      <w:r w:rsidR="00F95A78">
        <w:t xml:space="preserve"> stipulates that </w:t>
      </w:r>
      <w:r w:rsidR="00F95A78">
        <w:lastRenderedPageBreak/>
        <w:t>igniting fires within protected areas is prohibited. Section 12 of the Act states that failing to report or conceal a bushfire incident constitutes an offence, resulting in potential fines.</w:t>
      </w:r>
    </w:p>
    <w:p w14:paraId="226350BD" w14:textId="77777777" w:rsidR="00F95A78" w:rsidRDefault="00767CD4" w:rsidP="00D2494F">
      <w:pPr>
        <w:spacing w:after="0"/>
        <w:ind w:left="0" w:firstLine="0"/>
      </w:pPr>
      <w:r>
        <w:tab/>
      </w:r>
      <w:r w:rsidR="00F95A78">
        <w:t xml:space="preserve">Moreover, </w:t>
      </w:r>
      <w:r w:rsidR="00C30021">
        <w:t>communities assume vital responsibilities within the co-management framework of forest resourc</w:t>
      </w:r>
      <w:r w:rsidR="00F95A78">
        <w:t>es. Evans et al. (2004) uncovered that communities undertake essential functions encompassing local planning and execution, acting as custodians and stewards of resources, engaging in sustainable resource utilization, devising and adhering to local regulations, promoting conservation and resource enhancement, participating in objective setting and planning, facilitating participatory processes and partnerships, and contributing to national and regional initiatives.</w:t>
      </w:r>
    </w:p>
    <w:p w14:paraId="571D34DB" w14:textId="77777777" w:rsidR="00F95A78" w:rsidRDefault="00767CD4" w:rsidP="00767CD4">
      <w:pPr>
        <w:spacing w:after="0"/>
        <w:ind w:left="0" w:firstLine="0"/>
      </w:pPr>
      <w:r>
        <w:tab/>
      </w:r>
      <w:r w:rsidR="00F95A78">
        <w:t>One of the primary roles of communities in forest management, according to Purnomo et al. (2018)</w:t>
      </w:r>
      <w:r w:rsidR="0024538D">
        <w:t>,</w:t>
      </w:r>
      <w:r w:rsidR="00F95A78">
        <w:t xml:space="preserve"> is to participate in decision-making processes related to forest management. This includes consultations and negotiations with government agencies and other stakeholders to ensure their voices a</w:t>
      </w:r>
      <w:r w:rsidR="00B91D81">
        <w:t>nd</w:t>
      </w:r>
      <w:r w:rsidR="00F95A78">
        <w:t xml:space="preserve"> interests are represented. That notwithstanding, </w:t>
      </w:r>
      <w:proofErr w:type="spellStart"/>
      <w:r w:rsidR="00F95A78">
        <w:t>Kusumawati</w:t>
      </w:r>
      <w:proofErr w:type="spellEnd"/>
      <w:r w:rsidR="00F95A78">
        <w:t xml:space="preserve"> et al. (2021) argue that communities can also play a critical role in monitoring forest resources, such as by conducting patrols and reporting illegal logging or other forms of forest degradation.</w:t>
      </w:r>
    </w:p>
    <w:p w14:paraId="1681995E" w14:textId="77777777" w:rsidR="00F95A78" w:rsidRDefault="00767CD4" w:rsidP="00115CDD">
      <w:pPr>
        <w:spacing w:after="0"/>
        <w:ind w:left="0" w:firstLine="0"/>
      </w:pPr>
      <w:r>
        <w:tab/>
      </w:r>
      <w:r w:rsidR="00F95A78">
        <w:t xml:space="preserve">In addition to participating in decision-making and monitoring activities, Purnomo et al. (2018) revealed that communities can contribute to forest management through their knowledge and practices. Local communities often have traditional knowledge of forest ecosystems, including </w:t>
      </w:r>
      <w:r w:rsidR="00B91D81">
        <w:t>using</w:t>
      </w:r>
      <w:r w:rsidR="00F95A78">
        <w:t xml:space="preserve"> different forest products and the ecological relationships between species. </w:t>
      </w:r>
      <w:r w:rsidR="00B91D81">
        <w:t>As Wollenberg et al. (2016) noted, this knowledge</w:t>
      </w:r>
      <w:r w:rsidR="00F95A78">
        <w:t xml:space="preserve"> could be leveraged to support sustainable </w:t>
      </w:r>
      <w:r w:rsidR="00F95A78">
        <w:lastRenderedPageBreak/>
        <w:t xml:space="preserve">forest management practices, such as </w:t>
      </w:r>
      <w:r w:rsidR="0024538D">
        <w:t>by developing community forestry programs that promote</w:t>
      </w:r>
      <w:r w:rsidR="00F95A78">
        <w:t xml:space="preserve"> traditional forest management techniques. </w:t>
      </w:r>
    </w:p>
    <w:p w14:paraId="04E55C88" w14:textId="77777777" w:rsidR="0096374C" w:rsidRPr="00D2494F" w:rsidRDefault="0096374C" w:rsidP="00772DAC">
      <w:pPr>
        <w:pStyle w:val="Heading2"/>
        <w:ind w:left="0"/>
        <w:rPr>
          <w:bCs/>
        </w:rPr>
      </w:pPr>
      <w:bookmarkStart w:id="200" w:name="_Toc202197622"/>
      <w:r w:rsidRPr="00D2494F">
        <w:rPr>
          <w:bCs/>
        </w:rPr>
        <w:t>Commercial</w:t>
      </w:r>
      <w:r w:rsidR="00F95A78" w:rsidRPr="00D2494F">
        <w:rPr>
          <w:bCs/>
        </w:rPr>
        <w:t>/</w:t>
      </w:r>
      <w:r w:rsidRPr="00D2494F">
        <w:rPr>
          <w:bCs/>
        </w:rPr>
        <w:t>Private Sector</w:t>
      </w:r>
      <w:bookmarkEnd w:id="200"/>
    </w:p>
    <w:p w14:paraId="6E1B756A" w14:textId="77777777" w:rsidR="00F95A78" w:rsidRDefault="00767CD4" w:rsidP="00D2494F">
      <w:pPr>
        <w:spacing w:after="0"/>
        <w:ind w:left="0" w:firstLine="0"/>
      </w:pPr>
      <w:bookmarkStart w:id="201" w:name="_Hlk129179742"/>
      <w:r>
        <w:tab/>
      </w:r>
      <w:r w:rsidR="00F95A78" w:rsidRPr="0063354E">
        <w:t xml:space="preserve">Carter and Gronow (2005) highlighted that the private sector contributes </w:t>
      </w:r>
      <w:r w:rsidR="00F95A78">
        <w:t xml:space="preserve">to </w:t>
      </w:r>
      <w:r w:rsidR="00F95A78" w:rsidRPr="0063354E">
        <w:t xml:space="preserve">investment and market connections. They observed that within the private sector, </w:t>
      </w:r>
      <w:r w:rsidR="0024538D">
        <w:t xml:space="preserve">small-scale and </w:t>
      </w:r>
      <w:proofErr w:type="gramStart"/>
      <w:r w:rsidR="0024538D">
        <w:t>larger-scale</w:t>
      </w:r>
      <w:proofErr w:type="gramEnd"/>
      <w:r w:rsidR="0024538D">
        <w:t xml:space="preserve">/industrial entrepreneurs </w:t>
      </w:r>
      <w:r w:rsidR="00F95A78" w:rsidRPr="0063354E">
        <w:t xml:space="preserve">invest in forest products </w:t>
      </w:r>
      <w:r w:rsidR="00F95A78">
        <w:t>to safeguard and advance</w:t>
      </w:r>
      <w:r w:rsidR="00F95A78" w:rsidRPr="0063354E">
        <w:t xml:space="preserve"> the sustainability of forest resources. This often involves redefining roles in forest management, where forest </w:t>
      </w:r>
      <w:proofErr w:type="spellStart"/>
      <w:r w:rsidR="00F95A78" w:rsidRPr="0063354E">
        <w:t>services</w:t>
      </w:r>
      <w:proofErr w:type="spellEnd"/>
      <w:r w:rsidR="00F95A78" w:rsidRPr="0063354E">
        <w:t xml:space="preserve"> aim to decrease workforce size, collaborate with communities for protection, and focus on strategic planning, consensus establishment, regulation, monitoring, and adherence.</w:t>
      </w:r>
    </w:p>
    <w:p w14:paraId="2E746390" w14:textId="77777777" w:rsidR="00F95A78" w:rsidRDefault="00767CD4" w:rsidP="00D2494F">
      <w:pPr>
        <w:spacing w:after="0"/>
        <w:ind w:left="0" w:firstLine="0"/>
      </w:pPr>
      <w:r>
        <w:tab/>
      </w:r>
      <w:r w:rsidR="00F95A78" w:rsidRPr="0063354E">
        <w:t xml:space="preserve">A primary function of the commercial private sector within forest management revolves around supplying financial resources and materials for </w:t>
      </w:r>
      <w:r w:rsidR="0024538D">
        <w:t>forest preservation and revival endeavours</w:t>
      </w:r>
      <w:r w:rsidR="00F95A78" w:rsidRPr="0063354E">
        <w:t xml:space="preserve">. As outlined by Landell-Mills and Porras (2002), businesses have the potential to finance reforestation initiatives and foster the growth of community-centred forest management projects. Furthermore, Ribeiro et al. (2021) affirmed that private sector entities </w:t>
      </w:r>
      <w:r w:rsidR="0024538D">
        <w:t>c</w:t>
      </w:r>
      <w:r w:rsidR="00B91D81">
        <w:t>ould</w:t>
      </w:r>
      <w:r w:rsidR="0024538D">
        <w:t xml:space="preserve"> participate</w:t>
      </w:r>
      <w:r w:rsidR="00F95A78" w:rsidRPr="0063354E">
        <w:t xml:space="preserve"> in ecologically sound logging practices, which contribute to curbing deforestation and facilitating forest rejuvenation. Collaborating with indigenous communities, private sector enterprises </w:t>
      </w:r>
      <w:r w:rsidR="00F95A78">
        <w:t>can</w:t>
      </w:r>
      <w:r w:rsidR="00F95A78" w:rsidRPr="0063354E">
        <w:t xml:space="preserve"> champion sustainable forest management approaches that yield advantages for both the ecosystem and local economies.</w:t>
      </w:r>
    </w:p>
    <w:p w14:paraId="61EEA900" w14:textId="77777777" w:rsidR="00392948" w:rsidRPr="007B1AE4" w:rsidRDefault="00767CD4" w:rsidP="00392948">
      <w:pPr>
        <w:ind w:left="0" w:firstLine="0"/>
      </w:pPr>
      <w:r>
        <w:tab/>
      </w:r>
      <w:r w:rsidR="00392948" w:rsidRPr="007B1AE4">
        <w:t>FAO (2005)</w:t>
      </w:r>
      <w:r w:rsidR="00392948">
        <w:t xml:space="preserve"> maintained that</w:t>
      </w:r>
      <w:r w:rsidR="00392948" w:rsidRPr="007B1AE4">
        <w:t xml:space="preserve"> the private sector plays additional roles, including involvement in upstream and downstream linkages, providing financial support, and initiating pilot project implementation. Moreover, the </w:t>
      </w:r>
      <w:r w:rsidR="00392948" w:rsidRPr="007B1AE4">
        <w:lastRenderedPageBreak/>
        <w:t>private sector is expected to comply with all regulations stipulated in the Revised Guidelines for Social Responsibility Agreements (RGSRA). A report by MLNR (2016) indicates that the Social Responsibility Agreement (SRA) requires contractors to provide facilities, services, or benefits to communities and residents under traditional authority, equating to at least 5 percent of the stumpage fee value of the harvested timber. The MLNR (2016) also emphasises that the Minister responsible for Natural Resources must cancel Timber Utilisation Contracts (TUCs) if local communities fail to sign the SRA following the grant notification.</w:t>
      </w:r>
    </w:p>
    <w:p w14:paraId="531440DC" w14:textId="1BD65B17" w:rsidR="00CF03C6" w:rsidRDefault="00CF03C6" w:rsidP="00392948">
      <w:pPr>
        <w:ind w:left="0" w:firstLine="0"/>
      </w:pPr>
      <w:r>
        <w:t>Collaboration</w:t>
      </w:r>
      <w:r w:rsidR="00447763">
        <w:t>/Management</w:t>
      </w:r>
      <w:r>
        <w:t xml:space="preserve"> </w:t>
      </w:r>
      <w:r w:rsidR="00F95A78">
        <w:t>p</w:t>
      </w:r>
      <w:r>
        <w:t xml:space="preserve">rocesses in </w:t>
      </w:r>
      <w:r w:rsidR="00F95A78">
        <w:t>c</w:t>
      </w:r>
      <w:r>
        <w:t xml:space="preserve">ommunity </w:t>
      </w:r>
      <w:r w:rsidR="00F95A78">
        <w:t>f</w:t>
      </w:r>
      <w:r>
        <w:t xml:space="preserve">orest </w:t>
      </w:r>
      <w:r w:rsidR="00F95A78">
        <w:t>m</w:t>
      </w:r>
      <w:r>
        <w:t>anagement</w:t>
      </w:r>
    </w:p>
    <w:p w14:paraId="4B0927A4" w14:textId="77777777" w:rsidR="00F95A78" w:rsidRDefault="00767CD4" w:rsidP="00772DAC">
      <w:pPr>
        <w:ind w:left="0" w:firstLine="0"/>
      </w:pPr>
      <w:r>
        <w:tab/>
      </w:r>
      <w:r w:rsidR="00F95A78">
        <w:t>Forest management is a complex process that involves different stakeholders, including government agencies, private landowners, indigenous communities, and environmental organizations. Effective collaboration among these stakeholders is essential for successful forest management. The collaboration process consists of several stages</w:t>
      </w:r>
      <w:r w:rsidR="0024538D">
        <w:t>:</w:t>
      </w:r>
      <w:r w:rsidR="00F95A78">
        <w:t xml:space="preserve"> communication, planning, implementation, and evaluation. Naito (2003) provides an example of </w:t>
      </w:r>
      <w:r w:rsidR="00F92C8F">
        <w:t>the</w:t>
      </w:r>
      <w:r w:rsidR="00F95A78">
        <w:t xml:space="preserve"> flow of the c</w:t>
      </w:r>
      <w:r w:rsidR="005432A0">
        <w:t>ollaboration process in Figure 5</w:t>
      </w:r>
      <w:r w:rsidR="00F95A78">
        <w:t xml:space="preserve">. </w:t>
      </w:r>
    </w:p>
    <w:p w14:paraId="394291C0" w14:textId="77777777" w:rsidR="00A41C12" w:rsidRPr="00A41C12" w:rsidRDefault="00A41C12" w:rsidP="00772DAC">
      <w:pPr>
        <w:pStyle w:val="BodyText"/>
        <w:ind w:left="0" w:firstLine="0"/>
      </w:pPr>
      <w:r>
        <w:rPr>
          <w:noProof/>
          <w:lang w:val="en-US"/>
        </w:rPr>
        <w:drawing>
          <wp:inline distT="0" distB="0" distL="0" distR="0" wp14:anchorId="3CA1EDC2" wp14:editId="2B2B0804">
            <wp:extent cx="4592320" cy="2043289"/>
            <wp:effectExtent l="0" t="0" r="0" b="0"/>
            <wp:docPr id="186565910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659100" name="Picture 1865659100"/>
                    <pic:cNvPicPr/>
                  </pic:nvPicPr>
                  <pic:blipFill>
                    <a:blip r:embed="rId19">
                      <a:extLst>
                        <a:ext uri="{28A0092B-C50C-407E-A947-70E740481C1C}">
                          <a14:useLocalDpi xmlns:a14="http://schemas.microsoft.com/office/drawing/2010/main" val="0"/>
                        </a:ext>
                      </a:extLst>
                    </a:blip>
                    <a:stretch>
                      <a:fillRect/>
                    </a:stretch>
                  </pic:blipFill>
                  <pic:spPr>
                    <a:xfrm>
                      <a:off x="0" y="0"/>
                      <a:ext cx="4649819" cy="2068872"/>
                    </a:xfrm>
                    <a:prstGeom prst="rect">
                      <a:avLst/>
                    </a:prstGeom>
                  </pic:spPr>
                </pic:pic>
              </a:graphicData>
            </a:graphic>
          </wp:inline>
        </w:drawing>
      </w:r>
    </w:p>
    <w:p w14:paraId="49DE3E0D" w14:textId="77777777" w:rsidR="00A41C12" w:rsidRDefault="00767CD4" w:rsidP="00D2494F">
      <w:pPr>
        <w:spacing w:line="240" w:lineRule="auto"/>
        <w:ind w:left="1080" w:hanging="1080"/>
        <w:jc w:val="left"/>
      </w:pPr>
      <w:bookmarkStart w:id="202" w:name="_Toc155175863"/>
      <w:bookmarkStart w:id="203" w:name="_Toc161749051"/>
      <w:bookmarkStart w:id="204" w:name="_Toc161750312"/>
      <w:bookmarkStart w:id="205" w:name="_Toc163253981"/>
      <w:bookmarkStart w:id="206" w:name="_Toc172102362"/>
      <w:bookmarkStart w:id="207" w:name="_Toc197068803"/>
      <w:bookmarkStart w:id="208" w:name="_Toc199164913"/>
      <w:bookmarkStart w:id="209" w:name="_Toc202196562"/>
      <w:bookmarkStart w:id="210" w:name="_Toc202197623"/>
      <w:r w:rsidRPr="001516BF">
        <w:rPr>
          <w:rStyle w:val="Heading3Char"/>
          <w:b/>
          <w:bCs/>
          <w:i/>
        </w:rPr>
        <w:lastRenderedPageBreak/>
        <w:t>Figure</w:t>
      </w:r>
      <w:r w:rsidR="00A41C12" w:rsidRPr="001516BF">
        <w:rPr>
          <w:rStyle w:val="Heading3Char"/>
          <w:b/>
          <w:bCs/>
          <w:i/>
        </w:rPr>
        <w:t xml:space="preserve"> </w:t>
      </w:r>
      <w:r w:rsidR="005432A0" w:rsidRPr="001516BF">
        <w:rPr>
          <w:rStyle w:val="Heading3Char"/>
          <w:b/>
          <w:bCs/>
          <w:i/>
        </w:rPr>
        <w:t>5</w:t>
      </w:r>
      <w:r w:rsidR="00A41C12" w:rsidRPr="001516BF">
        <w:rPr>
          <w:rStyle w:val="Heading3Char"/>
          <w:b/>
          <w:bCs/>
        </w:rPr>
        <w:t xml:space="preserve">: </w:t>
      </w:r>
      <w:r w:rsidR="00447763" w:rsidRPr="001516BF">
        <w:rPr>
          <w:rStyle w:val="Heading3Char"/>
          <w:b/>
          <w:bCs/>
        </w:rPr>
        <w:t>Management</w:t>
      </w:r>
      <w:r w:rsidR="00A41C12" w:rsidRPr="001516BF">
        <w:rPr>
          <w:rStyle w:val="Heading3Char"/>
          <w:b/>
          <w:bCs/>
        </w:rPr>
        <w:t xml:space="preserve"> process in the management of Community Forestry</w:t>
      </w:r>
      <w:bookmarkEnd w:id="202"/>
      <w:bookmarkEnd w:id="203"/>
      <w:bookmarkEnd w:id="204"/>
      <w:bookmarkEnd w:id="205"/>
      <w:bookmarkEnd w:id="206"/>
      <w:bookmarkEnd w:id="207"/>
      <w:bookmarkEnd w:id="208"/>
      <w:bookmarkEnd w:id="209"/>
      <w:bookmarkEnd w:id="210"/>
      <w:r w:rsidR="00A41C12">
        <w:t>.</w:t>
      </w:r>
    </w:p>
    <w:p w14:paraId="6DFF679D" w14:textId="77777777" w:rsidR="00A41C12" w:rsidRDefault="00A41C12" w:rsidP="00D2494F">
      <w:pPr>
        <w:spacing w:line="240" w:lineRule="auto"/>
        <w:ind w:left="0" w:firstLine="0"/>
      </w:pPr>
      <w:r>
        <w:t>Source:  Naito (2003).</w:t>
      </w:r>
    </w:p>
    <w:p w14:paraId="7A36EBA4" w14:textId="3E94F074" w:rsidR="00F95A78" w:rsidRDefault="00767CD4" w:rsidP="00D2494F">
      <w:pPr>
        <w:spacing w:after="0"/>
        <w:ind w:left="0" w:firstLine="0"/>
      </w:pPr>
      <w:r>
        <w:tab/>
      </w:r>
      <w:r w:rsidR="00F95A78">
        <w:t xml:space="preserve">Communication </w:t>
      </w:r>
      <w:r w:rsidR="00EF42DB">
        <w:t xml:space="preserve">or problem identification </w:t>
      </w:r>
      <w:r w:rsidR="00F95A78">
        <w:t xml:space="preserve">is the first stage of the </w:t>
      </w:r>
      <w:r w:rsidR="00907D77">
        <w:t>management</w:t>
      </w:r>
      <w:r w:rsidR="00F95A78">
        <w:t xml:space="preserve"> process, which involves establishing relationships and building trust among the stakeholders. Nielsen et al. (2018) argued that effective communication helps to ensure that all parties understand each other's goals, concerns, and expectations. These authors further asserted that communication is essential for building social capital, which is necessary for effective </w:t>
      </w:r>
      <w:r w:rsidR="00447763">
        <w:t>participation</w:t>
      </w:r>
      <w:r w:rsidR="00F95A78">
        <w:t xml:space="preserve"> in forest management. Social capital includes the networks, norms, and trust </w:t>
      </w:r>
      <w:r w:rsidR="00FB1258">
        <w:t>facilitating</w:t>
      </w:r>
      <w:r w:rsidR="00F95A78">
        <w:t xml:space="preserve"> </w:t>
      </w:r>
      <w:r w:rsidR="003917E3">
        <w:t>stakeholder cooperation and coordination</w:t>
      </w:r>
      <w:r w:rsidR="00F95A78">
        <w:t xml:space="preserve">. </w:t>
      </w:r>
      <w:r w:rsidR="00383A6F">
        <w:t xml:space="preserve">This indicates that </w:t>
      </w:r>
      <w:r w:rsidR="00F95A78">
        <w:t xml:space="preserve">the success of forest management is highly dependent on </w:t>
      </w:r>
      <w:r w:rsidR="003917E3">
        <w:t>stakeholders' effective communication and negotiation skill</w:t>
      </w:r>
      <w:r w:rsidR="00F95A78">
        <w:t>s during this initial stage.</w:t>
      </w:r>
    </w:p>
    <w:p w14:paraId="27FAEB4A" w14:textId="77777777" w:rsidR="00F95A78" w:rsidRDefault="00767CD4" w:rsidP="00D2494F">
      <w:pPr>
        <w:spacing w:after="0"/>
        <w:ind w:left="0" w:firstLine="0"/>
      </w:pPr>
      <w:r>
        <w:tab/>
      </w:r>
      <w:r w:rsidR="00F95A78">
        <w:t xml:space="preserve">Planning is the second stage of the </w:t>
      </w:r>
      <w:r w:rsidR="00447763">
        <w:t>management</w:t>
      </w:r>
      <w:r w:rsidR="00F95A78">
        <w:t xml:space="preserve"> process, which involves the development of a shared vision, goals, and objectives for forest management. According to </w:t>
      </w:r>
      <w:proofErr w:type="spellStart"/>
      <w:r w:rsidR="00F95A78">
        <w:t>Lähtinen</w:t>
      </w:r>
      <w:proofErr w:type="spellEnd"/>
      <w:r w:rsidR="00F95A78">
        <w:t xml:space="preserve"> et al. (2020), planning also involves identifying the roles and responsibilities of each stakeholder, as well as the resources required to achieve the desired outcomes. Effective planning requires the participation of all stakeholders, including local communities, who have valuable knowledge and expertise about the forest ecosystem. Reed et al. (2009) maintain</w:t>
      </w:r>
      <w:r w:rsidR="00BB570F">
        <w:t>ed</w:t>
      </w:r>
      <w:r w:rsidR="00F95A78">
        <w:t xml:space="preserve"> that collaborative planning is negotiating, developing, and agreeing on a plan </w:t>
      </w:r>
      <w:r w:rsidR="00FB1258">
        <w:t>considering</w:t>
      </w:r>
      <w:r w:rsidR="00F95A78">
        <w:t xml:space="preserve"> </w:t>
      </w:r>
      <w:r w:rsidR="003917E3">
        <w:t>stakeholders' diverse interests and objective</w:t>
      </w:r>
      <w:r w:rsidR="00F95A78">
        <w:t>s.</w:t>
      </w:r>
    </w:p>
    <w:p w14:paraId="60214155" w14:textId="77777777" w:rsidR="00F95A78" w:rsidRDefault="00767CD4" w:rsidP="00D2494F">
      <w:pPr>
        <w:spacing w:after="0"/>
        <w:ind w:left="0" w:firstLine="0"/>
      </w:pPr>
      <w:r>
        <w:tab/>
      </w:r>
      <w:r w:rsidR="00F95A78">
        <w:t xml:space="preserve">Implementation is the third stage of the </w:t>
      </w:r>
      <w:r w:rsidR="00371C5B">
        <w:t>management</w:t>
      </w:r>
      <w:r w:rsidR="00F95A78">
        <w:t xml:space="preserve"> process, which involves </w:t>
      </w:r>
      <w:r w:rsidR="003917E3">
        <w:t>implementing</w:t>
      </w:r>
      <w:r w:rsidR="00F95A78">
        <w:t xml:space="preserve"> the forest management plan. </w:t>
      </w:r>
      <w:proofErr w:type="spellStart"/>
      <w:r w:rsidR="00F95A78">
        <w:t>Borrini</w:t>
      </w:r>
      <w:proofErr w:type="spellEnd"/>
      <w:r w:rsidR="00F95A78">
        <w:t>-Feyerabend et al. (2013) maintain that the implementation stage requires coordination and cooperation among the stakeholders</w:t>
      </w:r>
      <w:r w:rsidR="003917E3">
        <w:t xml:space="preserve"> and</w:t>
      </w:r>
      <w:r w:rsidR="00F95A78">
        <w:t xml:space="preserve"> effective monitoring and evaluation to </w:t>
      </w:r>
      <w:r w:rsidR="00F95A78">
        <w:lastRenderedPageBreak/>
        <w:t xml:space="preserve">ensure the plan is on track. </w:t>
      </w:r>
      <w:proofErr w:type="spellStart"/>
      <w:r w:rsidR="00F95A78">
        <w:t>Stürck</w:t>
      </w:r>
      <w:proofErr w:type="spellEnd"/>
      <w:r w:rsidR="00F95A78">
        <w:t xml:space="preserve"> et al. (2021) noted that this stage involves the execution of the plan, including the allocation of resources and conducting forest management activities such as tree planting, forest thinning, and fire prevention. In addition, monitoring the forest's health and assessing the plan's effectiveness is necessary to </w:t>
      </w:r>
      <w:proofErr w:type="gramStart"/>
      <w:r w:rsidR="00F95A78">
        <w:t>make adjustments</w:t>
      </w:r>
      <w:proofErr w:type="gramEnd"/>
      <w:r w:rsidR="00F95A78">
        <w:t xml:space="preserve"> and improvements where necessary. Therefore, effective communication among stakeholders, transparency in decision-making processes, and feedback to stakeholders are critical in this stage to ensure continued </w:t>
      </w:r>
      <w:r w:rsidR="00371C5B">
        <w:t>participation</w:t>
      </w:r>
      <w:r w:rsidR="00F95A78">
        <w:t>.</w:t>
      </w:r>
    </w:p>
    <w:p w14:paraId="76D456B5" w14:textId="60799C2C" w:rsidR="00F95A78" w:rsidRDefault="00767CD4" w:rsidP="00126EF5">
      <w:pPr>
        <w:spacing w:after="0"/>
        <w:ind w:left="0" w:firstLine="0"/>
      </w:pPr>
      <w:r>
        <w:tab/>
      </w:r>
      <w:r w:rsidR="00F95A78">
        <w:t xml:space="preserve">The final stage of the </w:t>
      </w:r>
      <w:r w:rsidR="00371C5B">
        <w:t>management</w:t>
      </w:r>
      <w:r w:rsidR="00F95A78">
        <w:t xml:space="preserve"> process is </w:t>
      </w:r>
      <w:r w:rsidR="00EF42DB">
        <w:t xml:space="preserve">monitoring and </w:t>
      </w:r>
      <w:r w:rsidR="00F95A78">
        <w:t>evaluation</w:t>
      </w:r>
      <w:r w:rsidR="003917E3">
        <w:t>,</w:t>
      </w:r>
      <w:r w:rsidR="00F95A78">
        <w:t xml:space="preserve"> which involves the assessment of the outcomes and impacts of forest management. </w:t>
      </w:r>
      <w:proofErr w:type="spellStart"/>
      <w:r w:rsidR="00F95A78">
        <w:t>Cashore</w:t>
      </w:r>
      <w:proofErr w:type="spellEnd"/>
      <w:r w:rsidR="00F95A78">
        <w:t xml:space="preserve"> et al. (2019) argued that evaluation helps to identify successes and challenges and to inform future decision-making. In addition, the evaluation also provides an opportunity for stakeholders to reflect on the </w:t>
      </w:r>
      <w:r w:rsidR="00371C5B">
        <w:t>management</w:t>
      </w:r>
      <w:r w:rsidR="00F95A78">
        <w:t xml:space="preserve"> process and to identify ways to improve it. </w:t>
      </w:r>
      <w:proofErr w:type="spellStart"/>
      <w:r w:rsidR="00383A6F">
        <w:t>Cashore</w:t>
      </w:r>
      <w:proofErr w:type="spellEnd"/>
      <w:r w:rsidR="00383A6F">
        <w:t xml:space="preserve"> et al. further noted </w:t>
      </w:r>
      <w:r w:rsidR="00F95A78">
        <w:t xml:space="preserve">that this stage involves reviewing the </w:t>
      </w:r>
      <w:r w:rsidR="003917E3">
        <w:t>plan's effectiveness</w:t>
      </w:r>
      <w:r w:rsidR="00F95A78">
        <w:t xml:space="preserve"> and making changes to improve its outcomes. The evaluation may be done through stakeholder surveys, monitoring, and assess</w:t>
      </w:r>
      <w:r w:rsidR="003917E3">
        <w:t>ing</w:t>
      </w:r>
      <w:r w:rsidR="00F95A78">
        <w:t xml:space="preserve"> the forest's health and biodiversity. </w:t>
      </w:r>
    </w:p>
    <w:p w14:paraId="4B0F4F1F" w14:textId="77777777" w:rsidR="00B95A80" w:rsidRDefault="00B95A80" w:rsidP="00772DAC">
      <w:pPr>
        <w:pStyle w:val="Heading2"/>
        <w:ind w:left="0"/>
      </w:pPr>
      <w:bookmarkStart w:id="211" w:name="_Toc202197624"/>
      <w:r>
        <w:t>Overv</w:t>
      </w:r>
      <w:r w:rsidR="00767CD4">
        <w:t>iew of Forest Policies in Ghana</w:t>
      </w:r>
      <w:bookmarkEnd w:id="211"/>
    </w:p>
    <w:p w14:paraId="050646BF" w14:textId="77777777" w:rsidR="00BC6509" w:rsidRDefault="00767CD4" w:rsidP="00BC6509">
      <w:pPr>
        <w:ind w:left="0"/>
      </w:pPr>
      <w:r>
        <w:tab/>
      </w:r>
      <w:r w:rsidR="00BC6509">
        <w:t xml:space="preserve">Throughout history, the management strategies and structural frameworks governing Ghana's forests have undergone significant changes, evolving since the colonial forestry period (Amanor, 2004) </w:t>
      </w:r>
      <w:proofErr w:type="spellStart"/>
      <w:r w:rsidR="00BC6509">
        <w:t>Derkyi</w:t>
      </w:r>
      <w:proofErr w:type="spellEnd"/>
      <w:r w:rsidR="00BC6509">
        <w:t xml:space="preserve"> (2012). The creation of forest and wildlife reserves during the pre-independence period (1908–1948) primarily aimed to meet the timber needs of British colonisers (Oduro et al., 2012). These reserves were subsequently managed through a </w:t>
      </w:r>
      <w:r w:rsidR="00BC6509">
        <w:lastRenderedPageBreak/>
        <w:t xml:space="preserve">hierarchical system that often overlooked the rights of forest-dependent communities, as noted by </w:t>
      </w:r>
      <w:proofErr w:type="spellStart"/>
      <w:r w:rsidR="00BC6509">
        <w:t>Derkyi</w:t>
      </w:r>
      <w:proofErr w:type="spellEnd"/>
      <w:r w:rsidR="00BC6509">
        <w:t xml:space="preserve"> (2012).</w:t>
      </w:r>
    </w:p>
    <w:p w14:paraId="5CD4C8E1" w14:textId="77777777" w:rsidR="00BC6509" w:rsidRDefault="00BC6509" w:rsidP="00BC6509">
      <w:pPr>
        <w:ind w:left="0"/>
      </w:pPr>
      <w:r>
        <w:t>Forestry institutions historically operate under the assumption that local communities lack knowledge and interest in forest conservation, as observed by Kotey et al. (1998). Consequently, these institutions favoured a technical, forester-led approach that prioritised timber production and forest protection. The post-independence Forest Policy of 1994 sought to address the needs of forest-dependent communities, an area where previous policies had fallen short. This policy introduced legal frameworks that incorporated community participation as a key element in implementing Community Forest Management strategies. This shift from top-down control to a more inclusive stakeholder-engaged approach is evident as discussed by Sasu (2004) and Brown and Amanor (2006).</w:t>
      </w:r>
    </w:p>
    <w:p w14:paraId="6A2B421E" w14:textId="77777777" w:rsidR="00BC6509" w:rsidRDefault="00BC6509" w:rsidP="00BC6509">
      <w:pPr>
        <w:ind w:left="0"/>
      </w:pPr>
      <w:r>
        <w:t>In 1996, the Ministry of Lands and Natural Resources launched the Forestry Development Master Plan (FDMP) 1996-2020 to operationalize the objectives of the 1994 Forest and Wildlife Policy (FDMP 1996). The FDMP outlined strategies, programs, and timelines aimed at accelerating social and economic development while optimising the timber industry.</w:t>
      </w:r>
    </w:p>
    <w:p w14:paraId="189465B2" w14:textId="77777777" w:rsidR="00BC6509" w:rsidRDefault="00BC6509" w:rsidP="00BC6509">
      <w:pPr>
        <w:ind w:left="0"/>
      </w:pPr>
      <w:r>
        <w:t>The FDMP's main actions include: (</w:t>
      </w:r>
      <w:proofErr w:type="spellStart"/>
      <w:r>
        <w:t>i</w:t>
      </w:r>
      <w:proofErr w:type="spellEnd"/>
      <w:r>
        <w:t xml:space="preserve">) strengthening forest management systems to achieve timber certification as "sourced from sustainably managed forests" by 2000; (ii) creating a favourable environment for rationalising the timber industry and consolidating fiscal measures for efficient use and increased value-added processing; (iii) maintaining a commercial plantation establishment system and improving timber harvesting, handling, and </w:t>
      </w:r>
      <w:r>
        <w:lastRenderedPageBreak/>
        <w:t>marketing facilities; and (iv) promoting value-added processing and competitive marketing (FDMP, 1996).</w:t>
      </w:r>
    </w:p>
    <w:p w14:paraId="100E2D9E" w14:textId="77777777" w:rsidR="00BC6509" w:rsidRDefault="00BC6509" w:rsidP="00BC6509">
      <w:pPr>
        <w:ind w:left="0"/>
      </w:pPr>
      <w:r>
        <w:t xml:space="preserve">In 2012, a new Forest and Wildlife Policy was introduced to establish updated objectives to address the ongoing deforestation issue effectively. This policy serves as a comprehensive framework for guiding the execution and coordination of various forest governance initiatives at multiple levels, aligned with Ghana's international commitments. These commitments, as emphasised by </w:t>
      </w:r>
      <w:proofErr w:type="spellStart"/>
      <w:r>
        <w:t>Derkyi</w:t>
      </w:r>
      <w:proofErr w:type="spellEnd"/>
      <w:r>
        <w:t xml:space="preserve"> (2012) and reaffirmed by Adom (2017), include the Voluntary Partnership Agreement with the European Union under the Forest Law Enforcement Governance and Trade (VPA/FLEGT) initiative, which was designed to combat illegal logging.</w:t>
      </w:r>
    </w:p>
    <w:p w14:paraId="0AF8B29C" w14:textId="77777777" w:rsidR="00BC6509" w:rsidRDefault="00BC6509" w:rsidP="00BC6509">
      <w:pPr>
        <w:ind w:left="0"/>
      </w:pPr>
      <w:r>
        <w:t>Aligned with the 40-year National Development Blueprint, 2012 Forest and Wildlife Policy, and ongoing sector initiatives, a 20-year Master Plan for Ghana's Forestry Development was established as a key measure to achieve several objectives. The Forestry Development Master Plan (FDMP) for 2016-2036 aims to enhance cooperation, coordination, coherence, and synergy in addressing forestry-related issues at all levels. It also seeks to promote good governance through accountability and transparency, modernise forest enterprises to create job opportunities for the rural and urban poor, encourage timber plantation development, ensure biodiversity conservation and ecotourism development, and secure sustainable financing for forestry sector activities.</w:t>
      </w:r>
    </w:p>
    <w:p w14:paraId="01E8C498" w14:textId="77777777" w:rsidR="00BC6509" w:rsidRPr="007A65B1" w:rsidRDefault="00BC6509" w:rsidP="00BC6509">
      <w:pPr>
        <w:ind w:left="0"/>
      </w:pPr>
      <w:r>
        <w:t xml:space="preserve">Moreover, these commitments extend to the collaborative National Forest Program between Ghana and the United Nations Food and Agricultural </w:t>
      </w:r>
      <w:r>
        <w:lastRenderedPageBreak/>
        <w:t>Organisation (FAO) along with the implementation of REDD+ policies. The latter focuses on reducing emissions from deforestation and forest degradation, while simultaneously promoting conservation, sustainable forest management, and the enhancement of forest carbon stocks.</w:t>
      </w:r>
    </w:p>
    <w:p w14:paraId="2AB353DC" w14:textId="59CABE5A" w:rsidR="00F95A78" w:rsidRDefault="00F2616A" w:rsidP="00BC6509">
      <w:pPr>
        <w:spacing w:after="0"/>
        <w:ind w:left="0"/>
      </w:pPr>
      <w:r>
        <w:t xml:space="preserve">Also, </w:t>
      </w:r>
      <w:proofErr w:type="spellStart"/>
      <w:r w:rsidR="00A03C62" w:rsidRPr="00A03C62">
        <w:t>Derkyi</w:t>
      </w:r>
      <w:proofErr w:type="spellEnd"/>
      <w:r w:rsidR="00A03C62" w:rsidRPr="00A03C62">
        <w:t xml:space="preserve"> (2012) and Adom (2017) posit that these policies </w:t>
      </w:r>
      <w:r w:rsidR="003917E3">
        <w:t>underscore integrating</w:t>
      </w:r>
      <w:r w:rsidR="00A03C62" w:rsidRPr="00A03C62">
        <w:t xml:space="preserve"> traditional and scientific knowledge to promote sustainable forest management. This underscores a strategic approach </w:t>
      </w:r>
      <w:r w:rsidR="00FB1258">
        <w:t>to</w:t>
      </w:r>
      <w:r w:rsidR="00A03C62" w:rsidRPr="00A03C62">
        <w:t xml:space="preserve"> strengthening traditional self-governance </w:t>
      </w:r>
      <w:r w:rsidR="003917E3">
        <w:t>to protect and supervise</w:t>
      </w:r>
      <w:r w:rsidR="00A03C62" w:rsidRPr="00A03C62">
        <w:t xml:space="preserve"> esteemed forests and culturally significant sites. However, rather than solely acknowledging indigenous knowledge, the focus on community interaction centres around training, capacity building, information sharing, and documenting the importance of sacred natural sites across dimensions such as biology, spirituality, religion, culture, and heritage. Confidentiality is maintained as needed in these endeavo</w:t>
      </w:r>
      <w:r w:rsidR="00A03C62">
        <w:t>u</w:t>
      </w:r>
      <w:r w:rsidR="00A03C62" w:rsidRPr="00A03C62">
        <w:t>rs.</w:t>
      </w:r>
    </w:p>
    <w:p w14:paraId="3CA4F4B7" w14:textId="77777777" w:rsidR="0096374C" w:rsidRDefault="0096374C" w:rsidP="00772DAC">
      <w:pPr>
        <w:pStyle w:val="Heading2"/>
        <w:ind w:left="0"/>
      </w:pPr>
      <w:bookmarkStart w:id="212" w:name="_Toc202197625"/>
      <w:r>
        <w:t xml:space="preserve">Challenges of </w:t>
      </w:r>
      <w:r w:rsidR="00F95A78">
        <w:t>f</w:t>
      </w:r>
      <w:r w:rsidR="000F4DCF">
        <w:t xml:space="preserve">orest </w:t>
      </w:r>
      <w:r w:rsidR="00F95A78">
        <w:t>c</w:t>
      </w:r>
      <w:r>
        <w:t>o-management</w:t>
      </w:r>
      <w:bookmarkEnd w:id="212"/>
    </w:p>
    <w:bookmarkEnd w:id="201"/>
    <w:p w14:paraId="1F4CE97F" w14:textId="77777777" w:rsidR="00F95A78" w:rsidRDefault="00767CD4" w:rsidP="00D2494F">
      <w:pPr>
        <w:spacing w:after="0"/>
        <w:ind w:left="0" w:firstLine="0"/>
      </w:pPr>
      <w:r>
        <w:tab/>
      </w:r>
      <w:r w:rsidR="00F95A78" w:rsidRPr="008E6BD0">
        <w:t>Engaging in forest co-management presents a</w:t>
      </w:r>
      <w:r w:rsidR="00F95A78">
        <w:t>n</w:t>
      </w:r>
      <w:r w:rsidR="00F95A78" w:rsidRPr="008E6BD0">
        <w:t xml:space="preserve"> intricate and demanding journey, encompassing various factors such as governmental bodies, community residents, private enterprises, and civil society groups. While forest co-management holds promise in advancing sustainable forest practices and enhancing the well-being of local inhabitants, it concurrently presents notable obstacles.</w:t>
      </w:r>
    </w:p>
    <w:p w14:paraId="06906997" w14:textId="77777777" w:rsidR="00F556F4" w:rsidRDefault="00767CD4" w:rsidP="00D2494F">
      <w:pPr>
        <w:spacing w:after="0"/>
        <w:ind w:left="0" w:firstLine="0"/>
      </w:pPr>
      <w:r>
        <w:tab/>
      </w:r>
      <w:r w:rsidR="00F95A78" w:rsidRPr="005327A7">
        <w:t xml:space="preserve">An observed issue in co-management pertains to notable power disparities between industrial and non-industrial users, often accompanied by limited cohesion within civil society. In areas where the forest serves more as an arena for agricultural growth than as a conserved resource, complexities arise </w:t>
      </w:r>
      <w:r w:rsidR="00F95A78" w:rsidRPr="005327A7">
        <w:lastRenderedPageBreak/>
        <w:t xml:space="preserve">in community identities and relationships. According to Brown (1999), the </w:t>
      </w:r>
      <w:r w:rsidR="003917E3">
        <w:t>problematic</w:t>
      </w:r>
      <w:r w:rsidR="00F95A78" w:rsidRPr="005327A7">
        <w:t xml:space="preserve"> mix of human populations within forested regions contributes to </w:t>
      </w:r>
      <w:r w:rsidR="00F92C8F">
        <w:t xml:space="preserve">a </w:t>
      </w:r>
      <w:r w:rsidR="00437C38" w:rsidRPr="005327A7">
        <w:t>complicated</w:t>
      </w:r>
      <w:r w:rsidR="00F95A78" w:rsidRPr="005327A7">
        <w:t xml:space="preserve"> resource control framework</w:t>
      </w:r>
      <w:r w:rsidR="00437C38">
        <w:t xml:space="preserve">. </w:t>
      </w:r>
    </w:p>
    <w:p w14:paraId="64A67EE2" w14:textId="7163390C" w:rsidR="00F95A78" w:rsidRDefault="00F95A78" w:rsidP="00F556F4">
      <w:pPr>
        <w:spacing w:after="0"/>
        <w:ind w:left="0"/>
      </w:pPr>
      <w:r>
        <w:t xml:space="preserve">In the writing of </w:t>
      </w:r>
      <w:r w:rsidRPr="005327A7">
        <w:t xml:space="preserve">Brown (1999), </w:t>
      </w:r>
      <w:r w:rsidR="00F92C8F">
        <w:t>it was noted that</w:t>
      </w:r>
      <w:r>
        <w:t xml:space="preserve"> </w:t>
      </w:r>
      <w:r w:rsidRPr="005327A7">
        <w:t>in regions abundant with forests, local government bodies often oversee expansive territories and populations, diminishing their ability to offer administrative incentives for forest conservation. Additionally, when electoral systems tightly link local government representatives to central political agendas, there is a significant risk that decision-making will fail to align with the lasting welfare of local communities. Consequently, this situation jeopardizes the preservation and enduring viability of forest resources.</w:t>
      </w:r>
    </w:p>
    <w:p w14:paraId="60CB9528" w14:textId="1CB26695" w:rsidR="00426DA7" w:rsidRDefault="00426DA7" w:rsidP="00A940DE">
      <w:pPr>
        <w:ind w:left="0"/>
      </w:pPr>
      <w:r>
        <w:t>Other challenges include arranging more conferences to raise motivation and awareness about forest offen</w:t>
      </w:r>
      <w:r w:rsidR="00F41483">
        <w:t>c</w:t>
      </w:r>
      <w:r>
        <w:t>es, generating alternative sources of income to reduce pressure on forests, and ensuring financial support to management authorities (</w:t>
      </w:r>
      <w:r w:rsidRPr="0066352E">
        <w:rPr>
          <w:rFonts w:cs="Times New Roman"/>
          <w:szCs w:val="24"/>
        </w:rPr>
        <w:t>Mahfuz-Ur-Rahman</w:t>
      </w:r>
      <w:r>
        <w:t xml:space="preserve"> &amp;</w:t>
      </w:r>
      <w:r w:rsidRPr="0066352E">
        <w:rPr>
          <w:rFonts w:cs="Times New Roman"/>
          <w:szCs w:val="24"/>
        </w:rPr>
        <w:t xml:space="preserve"> Dey, 2021</w:t>
      </w:r>
      <w:r>
        <w:rPr>
          <w:rFonts w:cs="Times New Roman"/>
          <w:szCs w:val="24"/>
        </w:rPr>
        <w:t xml:space="preserve">). </w:t>
      </w:r>
      <w:proofErr w:type="spellStart"/>
      <w:r>
        <w:t>Cronkleton</w:t>
      </w:r>
      <w:proofErr w:type="spellEnd"/>
      <w:r>
        <w:rPr>
          <w:rFonts w:cs="Times New Roman"/>
          <w:szCs w:val="24"/>
        </w:rPr>
        <w:t xml:space="preserve"> et al. (2012) noted that the</w:t>
      </w:r>
      <w:r>
        <w:t xml:space="preserve"> partial devolution of management rights can create challenges for forest communities in exercising their rights and responsibilities. </w:t>
      </w:r>
    </w:p>
    <w:p w14:paraId="5F0C6CF8" w14:textId="77777777" w:rsidR="00F95A78" w:rsidRDefault="00767CD4" w:rsidP="00D2494F">
      <w:pPr>
        <w:spacing w:after="0"/>
        <w:ind w:left="0" w:firstLine="0"/>
      </w:pPr>
      <w:r>
        <w:tab/>
      </w:r>
      <w:r w:rsidR="00F95A78" w:rsidRPr="005327A7">
        <w:t>An essential obstacle within forest co-management involves the insufficient capability and resources among local communities and other involved parties. According to Garrity et al. (2010), numerous local communities lack expertise and proficiencies for proficient forest resource management. Furthermore, government entities and other stakeholders might encounter resource shortages</w:t>
      </w:r>
      <w:r w:rsidR="003917E3">
        <w:t>,</w:t>
      </w:r>
      <w:r w:rsidR="00F95A78" w:rsidRPr="005327A7">
        <w:t xml:space="preserve"> hindering their capacity to furnish technical guidance and aid to these local communities. This situation could impede the </w:t>
      </w:r>
      <w:r w:rsidR="00F95A78" w:rsidRPr="005327A7">
        <w:lastRenderedPageBreak/>
        <w:t>effective engagement of local communities in forest co-management endeavours.</w:t>
      </w:r>
    </w:p>
    <w:p w14:paraId="7ABD5895" w14:textId="77777777" w:rsidR="00F95A78" w:rsidRDefault="00767CD4" w:rsidP="00767CD4">
      <w:pPr>
        <w:spacing w:after="0"/>
        <w:ind w:left="0" w:firstLine="0"/>
      </w:pPr>
      <w:r>
        <w:tab/>
      </w:r>
      <w:r w:rsidR="00F95A78">
        <w:t>Larson et al. (2010) reveal a lack of clarity regarding roles and responsibilities among different stakeholders. This c</w:t>
      </w:r>
      <w:r w:rsidR="00FB1258">
        <w:t>ould</w:t>
      </w:r>
      <w:r w:rsidR="00F95A78">
        <w:t xml:space="preserve"> lead to conflicts and misunderstandings, particularly in cases where the interests of different stakeholders diverge. For example, government agencies may prioritize revenue generation from forest resources, while local communities may prioriti</w:t>
      </w:r>
      <w:r w:rsidR="00661737">
        <w:t>s</w:t>
      </w:r>
      <w:r w:rsidR="00F95A78">
        <w:t>e conservation and sustainable use. Private sector companies may prioritize profit over environmental and social concerns. These differing priorities can lead to conflicts that hinder effective forest co-management.</w:t>
      </w:r>
    </w:p>
    <w:p w14:paraId="4CFC3AF3" w14:textId="77777777" w:rsidR="00F95A78" w:rsidRDefault="00767CD4" w:rsidP="00767CD4">
      <w:pPr>
        <w:spacing w:after="0"/>
        <w:ind w:left="0" w:firstLine="0"/>
      </w:pPr>
      <w:r>
        <w:tab/>
      </w:r>
      <w:r w:rsidR="00661737">
        <w:t>Similarly</w:t>
      </w:r>
      <w:r w:rsidR="00F95A78">
        <w:t xml:space="preserve">, </w:t>
      </w:r>
      <w:r w:rsidR="003917E3">
        <w:t>balancing</w:t>
      </w:r>
      <w:r w:rsidR="00F95A78">
        <w:t xml:space="preserve"> conservation and development goals in co-management arrangements poses a challenge. Schreckenberg et al. (2016) noted that Co-management may involve a trade-off between conserving natural resources and meeting the needs of local communities for livelihoods and economic development. Similarly, </w:t>
      </w:r>
      <w:proofErr w:type="spellStart"/>
      <w:r w:rsidR="00F95A78">
        <w:t>Cronkleton</w:t>
      </w:r>
      <w:proofErr w:type="spellEnd"/>
      <w:r w:rsidR="00F95A78">
        <w:t xml:space="preserve"> et al. (2011) asserted that a lack of clear definitions and guidelines for co-management arrangements can lead to </w:t>
      </w:r>
      <w:r w:rsidR="00661737">
        <w:t>stakeholder confusion and misunderstanding</w:t>
      </w:r>
      <w:r w:rsidR="00F95A78">
        <w:t>s.</w:t>
      </w:r>
    </w:p>
    <w:p w14:paraId="036E48A2" w14:textId="77777777" w:rsidR="00F95A78" w:rsidRDefault="00767CD4" w:rsidP="00767CD4">
      <w:pPr>
        <w:spacing w:after="0"/>
        <w:ind w:left="0" w:firstLine="0"/>
      </w:pPr>
      <w:r>
        <w:tab/>
      </w:r>
      <w:r w:rsidR="00F95A78" w:rsidRPr="005327A7">
        <w:t xml:space="preserve">Moreover, </w:t>
      </w:r>
      <w:r w:rsidR="0051453A">
        <w:t>the effectiveness of collaborative forest management hinges on indigenous communities' capacity to engage actively in decision-making procedures</w:t>
      </w:r>
      <w:r w:rsidR="00F95A78" w:rsidRPr="005327A7">
        <w:t>. Nonetheless, Agrawal and Ribot (2014) highlighted that, on numerous occasions, these local communities might find themselves lacking the essential competencies, information, and assets to participate meaningfully in co-management setups. This deficiency can lead to disparities in power dynamics and an uneven allocation of advantages among involved parties.</w:t>
      </w:r>
    </w:p>
    <w:p w14:paraId="38E525DA" w14:textId="77777777" w:rsidR="00F95A78" w:rsidRDefault="00767CD4" w:rsidP="00772DAC">
      <w:pPr>
        <w:ind w:left="0" w:firstLine="0"/>
      </w:pPr>
      <w:r>
        <w:lastRenderedPageBreak/>
        <w:tab/>
      </w:r>
      <w:r w:rsidR="00F95A78">
        <w:t xml:space="preserve">Finally, there is a need for effective governance and institutional frameworks to support forest co-management. </w:t>
      </w:r>
      <w:proofErr w:type="spellStart"/>
      <w:r w:rsidR="00F95A78">
        <w:t>Cronkleton</w:t>
      </w:r>
      <w:proofErr w:type="spellEnd"/>
      <w:r w:rsidR="00F95A78">
        <w:t xml:space="preserve"> et al. (2011) argued that the absence of mechanisms for conflict resolution, monitoring and evaluation of co-management arrangements, and mechanisms for the equitable distribution of benefits among stakeholders make co-management arrangements unsustainable in the long term.</w:t>
      </w:r>
    </w:p>
    <w:p w14:paraId="49E9DC1C" w14:textId="77777777" w:rsidR="001E590A" w:rsidRDefault="00767CD4" w:rsidP="00772DAC">
      <w:pPr>
        <w:pStyle w:val="Heading2"/>
        <w:ind w:left="0"/>
      </w:pPr>
      <w:bookmarkStart w:id="213" w:name="_Toc202197626"/>
      <w:r>
        <w:t xml:space="preserve">Chapter </w:t>
      </w:r>
      <w:r w:rsidR="00810FC3">
        <w:t>Summary</w:t>
      </w:r>
      <w:bookmarkEnd w:id="213"/>
    </w:p>
    <w:p w14:paraId="2BADF5B1" w14:textId="77777777" w:rsidR="00DE1BEE" w:rsidRDefault="00767CD4" w:rsidP="00767CD4">
      <w:pPr>
        <w:spacing w:after="0"/>
        <w:ind w:left="0" w:firstLine="0"/>
      </w:pPr>
      <w:r>
        <w:tab/>
      </w:r>
      <w:bookmarkStart w:id="214" w:name="_Hlk195260981"/>
      <w:r w:rsidR="00DE1BEE">
        <w:t>Overall, Social Exchange Theory provide</w:t>
      </w:r>
      <w:r w:rsidR="00FE6D41">
        <w:t>d</w:t>
      </w:r>
      <w:r w:rsidR="00DE1BEE">
        <w:t xml:space="preserve"> a </w:t>
      </w:r>
      <w:r w:rsidR="003917E3">
        <w:t>valuable</w:t>
      </w:r>
      <w:r w:rsidR="00DE1BEE">
        <w:t xml:space="preserve"> framework for understanding the incentives that influence stakeholder </w:t>
      </w:r>
      <w:r w:rsidR="00FE6D41">
        <w:t>participation</w:t>
      </w:r>
      <w:r w:rsidR="00DE1BEE">
        <w:t xml:space="preserve"> and interaction with one another in the context of forest management. By analysing these reward systems, forest managers can develop more effective strategies for </w:t>
      </w:r>
      <w:r w:rsidR="00371C5B">
        <w:t>stakeholder participation</w:t>
      </w:r>
      <w:r w:rsidR="00DE1BEE">
        <w:t xml:space="preserve"> to achieve management goals.</w:t>
      </w:r>
    </w:p>
    <w:p w14:paraId="4BB740C5" w14:textId="79E11D9E" w:rsidR="00DE1BEE" w:rsidRDefault="00767CD4" w:rsidP="00767CD4">
      <w:pPr>
        <w:spacing w:after="0"/>
        <w:ind w:left="0" w:firstLine="0"/>
      </w:pPr>
      <w:r>
        <w:tab/>
      </w:r>
      <w:r w:rsidR="00DE1BEE">
        <w:t>Rational choice institutional theory is a framework that focuses on how individuals and organi</w:t>
      </w:r>
      <w:r w:rsidR="00DC3446">
        <w:t>s</w:t>
      </w:r>
      <w:r w:rsidR="00DE1BEE">
        <w:t xml:space="preserve">ations make rational choices within institutional constraints. This theory can be applied to stakeholder </w:t>
      </w:r>
      <w:r w:rsidR="00E72B85">
        <w:t>participation</w:t>
      </w:r>
      <w:r w:rsidR="00DE1BEE">
        <w:t xml:space="preserve"> in forest management to understand the motivations and behaviours of different stakeholders and how institutional factors influence their decisions. This theory highlight</w:t>
      </w:r>
      <w:r w:rsidR="00FE6D41">
        <w:t>ed</w:t>
      </w:r>
      <w:r w:rsidR="00DE1BEE">
        <w:t xml:space="preserve"> the importance of incentives, </w:t>
      </w:r>
      <w:r w:rsidR="003917E3">
        <w:t>transparent</w:t>
      </w:r>
      <w:r w:rsidR="00DE1BEE">
        <w:t xml:space="preserve"> and enforceable rules and regulations, and power dynamics in shaping stakeholder behaviour. Understanding these factors can help to design </w:t>
      </w:r>
      <w:r w:rsidR="003917E3">
        <w:t>practical</w:t>
      </w:r>
      <w:r w:rsidR="00DE1BEE">
        <w:t xml:space="preserve"> institutional arrangements that promote stakeholder </w:t>
      </w:r>
      <w:r w:rsidR="00E72B85">
        <w:t>participation</w:t>
      </w:r>
      <w:r w:rsidR="00DE1BEE">
        <w:t xml:space="preserve"> and achieve sustainable forest management.</w:t>
      </w:r>
    </w:p>
    <w:p w14:paraId="503CAB9E" w14:textId="77777777" w:rsidR="00DE1BEE" w:rsidRDefault="00767CD4" w:rsidP="00D2494F">
      <w:pPr>
        <w:spacing w:after="0"/>
        <w:ind w:left="0" w:firstLine="0"/>
      </w:pPr>
      <w:r>
        <w:tab/>
      </w:r>
      <w:r w:rsidR="00FE6D41">
        <w:t>T</w:t>
      </w:r>
      <w:r w:rsidR="00DE1BEE">
        <w:t xml:space="preserve">he choice of co-management model depends on the specific context, goals, and stakeholders involved. Stakeholder involvement and power-sharing are </w:t>
      </w:r>
      <w:r w:rsidR="003917E3">
        <w:t>vital</w:t>
      </w:r>
      <w:r w:rsidR="00DE1BEE">
        <w:t xml:space="preserve"> components of co-management, and different typologies can help </w:t>
      </w:r>
      <w:r w:rsidR="00DE1BEE">
        <w:lastRenderedPageBreak/>
        <w:t>identify the appropriate level of involvement and power-sharing for a particular situation. In conclusion, typologies of co-management provide</w:t>
      </w:r>
      <w:r w:rsidR="00CD39E7">
        <w:t>d</w:t>
      </w:r>
      <w:r w:rsidR="00DE1BEE">
        <w:t xml:space="preserve"> the study with a </w:t>
      </w:r>
      <w:r w:rsidR="003917E3">
        <w:t>valuable</w:t>
      </w:r>
      <w:r w:rsidR="00DE1BEE">
        <w:t xml:space="preserve"> framework for analysing and understanding the different forms of co-management in the Bobiri and Southern Scarp Forest Reserves.</w:t>
      </w:r>
    </w:p>
    <w:p w14:paraId="4290B560" w14:textId="77777777" w:rsidR="00D33D3D" w:rsidRDefault="00767CD4" w:rsidP="00767CD4">
      <w:pPr>
        <w:spacing w:after="0"/>
        <w:ind w:left="0" w:firstLine="0"/>
      </w:pPr>
      <w:r>
        <w:tab/>
      </w:r>
      <w:r w:rsidR="00D33D3D" w:rsidRPr="00D33D3D">
        <w:t xml:space="preserve">Arnstein's (1969) participatory ladder </w:t>
      </w:r>
      <w:r w:rsidR="0051453A">
        <w:t>was significant</w:t>
      </w:r>
      <w:r w:rsidR="00D33D3D" w:rsidRPr="00D33D3D">
        <w:t xml:space="preserve"> </w:t>
      </w:r>
      <w:r w:rsidR="003917E3">
        <w:t>in examining</w:t>
      </w:r>
      <w:r w:rsidR="00D33D3D" w:rsidRPr="00D33D3D">
        <w:t xml:space="preserve"> stakeholder </w:t>
      </w:r>
      <w:r w:rsidR="00E72B85">
        <w:t>participation</w:t>
      </w:r>
      <w:r w:rsidR="00D33D3D" w:rsidRPr="00D33D3D">
        <w:t xml:space="preserve"> in sustainable community-based forestry. This conceptual framework prove</w:t>
      </w:r>
      <w:r w:rsidR="0051453A">
        <w:t>d</w:t>
      </w:r>
      <w:r w:rsidR="00D33D3D" w:rsidRPr="00D33D3D">
        <w:t xml:space="preserve"> invaluable for comprehending the diverse levels of </w:t>
      </w:r>
      <w:r w:rsidR="00CD39E7">
        <w:t>community</w:t>
      </w:r>
      <w:r w:rsidR="00D33D3D" w:rsidRPr="00D33D3D">
        <w:t xml:space="preserve"> involvement in </w:t>
      </w:r>
      <w:r w:rsidR="00CD39E7">
        <w:t xml:space="preserve">the </w:t>
      </w:r>
      <w:r w:rsidR="00D33D3D" w:rsidRPr="00D33D3D">
        <w:t>decision-making procedures. The ladder facilitate</w:t>
      </w:r>
      <w:r w:rsidR="0051453A">
        <w:t>d</w:t>
      </w:r>
      <w:r w:rsidR="00D33D3D" w:rsidRPr="00D33D3D">
        <w:t xml:space="preserve"> </w:t>
      </w:r>
      <w:r w:rsidR="0051453A">
        <w:t>identifying and evaluating</w:t>
      </w:r>
      <w:r w:rsidR="00D33D3D" w:rsidRPr="00D33D3D">
        <w:t xml:space="preserve"> the extent of participation and empowerment within each group </w:t>
      </w:r>
      <w:r w:rsidR="0051453A">
        <w:t xml:space="preserve">and </w:t>
      </w:r>
      <w:r w:rsidR="00D33D3D" w:rsidRPr="00D33D3D">
        <w:t>offer</w:t>
      </w:r>
      <w:r w:rsidR="0051453A">
        <w:t>ed</w:t>
      </w:r>
      <w:r w:rsidR="00D33D3D" w:rsidRPr="00D33D3D">
        <w:t xml:space="preserve"> insights into the efficacy and inclusiveness of collaborative endeavo</w:t>
      </w:r>
      <w:r w:rsidR="00D33D3D">
        <w:t>u</w:t>
      </w:r>
      <w:r w:rsidR="00D33D3D" w:rsidRPr="00D33D3D">
        <w:t xml:space="preserve">rs in community-based forestry. Here, </w:t>
      </w:r>
      <w:r w:rsidR="003917E3">
        <w:t>stakeholders play pivotal role</w:t>
      </w:r>
      <w:r w:rsidR="00D33D3D" w:rsidRPr="00D33D3D">
        <w:t>s</w:t>
      </w:r>
      <w:r w:rsidR="0051453A">
        <w:t>,</w:t>
      </w:r>
      <w:r w:rsidR="00D33D3D" w:rsidRPr="00D33D3D">
        <w:t xml:space="preserve"> encompassing local communities, indigenous groups, non-governmental organizations (NGOs), and government agencies.</w:t>
      </w:r>
    </w:p>
    <w:p w14:paraId="448AE9B5" w14:textId="77777777" w:rsidR="00CD39E7" w:rsidRDefault="00767CD4" w:rsidP="00767CD4">
      <w:pPr>
        <w:spacing w:after="0"/>
        <w:ind w:left="0" w:firstLine="0"/>
      </w:pPr>
      <w:r>
        <w:tab/>
      </w:r>
      <w:proofErr w:type="spellStart"/>
      <w:r w:rsidR="00CD39E7">
        <w:t>Gaventa’s</w:t>
      </w:r>
      <w:proofErr w:type="spellEnd"/>
      <w:r w:rsidR="00CD39E7">
        <w:t xml:space="preserve"> (2006) power</w:t>
      </w:r>
      <w:r w:rsidR="00B12E36">
        <w:t xml:space="preserve"> </w:t>
      </w:r>
      <w:r w:rsidR="00CD39E7">
        <w:t xml:space="preserve">cube provided a framework for understanding the power relations inherent in the management process. The cube </w:t>
      </w:r>
      <w:r w:rsidR="004C3EAE">
        <w:t xml:space="preserve">provided a lens to examine the dimensions of power exercised by the various stakeholders in the study areas. According to the power cube, power could be manifested through the type of spaces provided or available to the various stakeholders, the levels of engagement by these actors and the forms of power manifesting in the </w:t>
      </w:r>
      <w:r w:rsidR="00B12E36">
        <w:t xml:space="preserve">study areas. </w:t>
      </w:r>
    </w:p>
    <w:p w14:paraId="2034A9AF" w14:textId="37D57840" w:rsidR="00DE1BEE" w:rsidRDefault="00DE1BEE" w:rsidP="00CD39E7">
      <w:pPr>
        <w:spacing w:after="0"/>
        <w:ind w:left="0"/>
      </w:pPr>
      <w:r>
        <w:t>Effective communication</w:t>
      </w:r>
      <w:r w:rsidR="00B902B0">
        <w:t>, the first stage of the</w:t>
      </w:r>
      <w:r w:rsidR="00084CED">
        <w:t xml:space="preserve"> </w:t>
      </w:r>
      <w:r>
        <w:t xml:space="preserve">is necessary for building trust and social capital among stakeholders. Planning requires the participation of all stakeholders and the development of a shared vision and goals. Implementation requires coordination, cooperation, and flexibility, while evaluation is essential for assessing outcomes and impacts and informing future </w:t>
      </w:r>
      <w:r>
        <w:lastRenderedPageBreak/>
        <w:t>decision-making. Effective collaboration requires ongoing effort and commitment from all stakeholders.</w:t>
      </w:r>
    </w:p>
    <w:p w14:paraId="1F5E6BC1" w14:textId="77777777" w:rsidR="00DE1BEE" w:rsidRDefault="00767CD4" w:rsidP="00772DAC">
      <w:pPr>
        <w:ind w:left="0" w:firstLine="0"/>
      </w:pPr>
      <w:r>
        <w:tab/>
      </w:r>
      <w:r w:rsidR="00DE1BEE">
        <w:t xml:space="preserve">Identifying problems inherent in the cooperation process is critical in the study of stakeholder engagement in sustainable community-based forestry. Understanding these problems allows for </w:t>
      </w:r>
      <w:r w:rsidR="003917E3">
        <w:t>predicting</w:t>
      </w:r>
      <w:r w:rsidR="00DE1BEE">
        <w:t xml:space="preserve"> future bottlenecks and institute</w:t>
      </w:r>
      <w:r w:rsidR="00F92C8F">
        <w:t>s</w:t>
      </w:r>
      <w:r w:rsidR="00DE1BEE">
        <w:t xml:space="preserve"> proactive measures to overcome them. By recognising constraints such as competing interests, power imbalances, limited resources, or communication gaps, stakeholders may create more effective and inclusive collaborative techniques to encourage openness and accountability, allowing stakeholders to </w:t>
      </w:r>
      <w:r w:rsidR="003917E3">
        <w:t>discuss and negotiate solutions openly</w:t>
      </w:r>
      <w:r w:rsidR="00DE1BEE">
        <w:t xml:space="preserve">. Finally, understanding collaborative issues helps stakeholders </w:t>
      </w:r>
      <w:r w:rsidR="003917E3">
        <w:t xml:space="preserve">establish resilient and equitable community-based forestry programmes that may overcome obstacles and </w:t>
      </w:r>
      <w:r w:rsidR="000873C4">
        <w:t>benefit</w:t>
      </w:r>
      <w:r w:rsidR="00DE1BEE">
        <w:t xml:space="preserve"> the environment and local people.</w:t>
      </w:r>
    </w:p>
    <w:bookmarkEnd w:id="214"/>
    <w:p w14:paraId="0458820A" w14:textId="77777777" w:rsidR="00092F5F" w:rsidRDefault="00092F5F" w:rsidP="00772DAC">
      <w:pPr>
        <w:pStyle w:val="BodyText"/>
        <w:ind w:left="0" w:firstLine="0"/>
      </w:pPr>
    </w:p>
    <w:p w14:paraId="52817294" w14:textId="6CF4B506" w:rsidR="001E590A" w:rsidRDefault="001E590A" w:rsidP="00772DAC">
      <w:pPr>
        <w:pStyle w:val="ListParagraph"/>
        <w:spacing w:line="480" w:lineRule="auto"/>
        <w:ind w:left="0"/>
      </w:pPr>
    </w:p>
    <w:p w14:paraId="57DB9F31" w14:textId="77777777" w:rsidR="00126EF5" w:rsidRDefault="00126EF5">
      <w:pPr>
        <w:spacing w:line="259" w:lineRule="auto"/>
        <w:ind w:left="0" w:firstLine="0"/>
        <w:jc w:val="left"/>
        <w:rPr>
          <w:rFonts w:eastAsiaTheme="majorEastAsia" w:cstheme="majorBidi"/>
          <w:b/>
          <w:caps/>
          <w:szCs w:val="32"/>
        </w:rPr>
      </w:pPr>
      <w:bookmarkStart w:id="215" w:name="_Toc202197627"/>
      <w:r>
        <w:br w:type="page"/>
      </w:r>
    </w:p>
    <w:p w14:paraId="6D974890" w14:textId="4316AC45" w:rsidR="00825B22" w:rsidRDefault="00825B22" w:rsidP="00D2494F">
      <w:pPr>
        <w:pStyle w:val="Heading1"/>
        <w:spacing w:before="0"/>
        <w:ind w:left="0"/>
      </w:pPr>
      <w:r>
        <w:lastRenderedPageBreak/>
        <w:t>Chapter three</w:t>
      </w:r>
      <w:bookmarkEnd w:id="215"/>
    </w:p>
    <w:p w14:paraId="5FC7B5EC" w14:textId="77777777" w:rsidR="00E811BB" w:rsidRDefault="00E811BB" w:rsidP="00D2494F">
      <w:pPr>
        <w:pStyle w:val="Heading1"/>
        <w:spacing w:before="0"/>
        <w:ind w:left="0"/>
      </w:pPr>
      <w:bookmarkStart w:id="216" w:name="_Toc202197628"/>
      <w:r>
        <w:t>Empiric</w:t>
      </w:r>
      <w:r w:rsidR="00487F3A">
        <w:t>AL REVIEW AND CONCEPTUAL FRAMEWORK</w:t>
      </w:r>
      <w:bookmarkEnd w:id="216"/>
    </w:p>
    <w:p w14:paraId="0B9B0803" w14:textId="77777777" w:rsidR="00487F3A" w:rsidRDefault="00487F3A" w:rsidP="00772DAC">
      <w:pPr>
        <w:pStyle w:val="Heading2"/>
        <w:ind w:left="0"/>
      </w:pPr>
      <w:bookmarkStart w:id="217" w:name="_Toc202197629"/>
      <w:r>
        <w:t>Introduction</w:t>
      </w:r>
      <w:bookmarkEnd w:id="217"/>
      <w:r>
        <w:t xml:space="preserve"> </w:t>
      </w:r>
    </w:p>
    <w:p w14:paraId="558F166F" w14:textId="77777777" w:rsidR="00487F3A" w:rsidRDefault="00767CD4" w:rsidP="00767CD4">
      <w:pPr>
        <w:spacing w:after="0"/>
        <w:ind w:left="0" w:firstLine="0"/>
      </w:pPr>
      <w:r>
        <w:tab/>
      </w:r>
      <w:r w:rsidR="00487F3A">
        <w:t>This chapter will present the empirical review and conceptual framework guiding this study.</w:t>
      </w:r>
      <w:r w:rsidR="008047B6">
        <w:t xml:space="preserve"> </w:t>
      </w:r>
      <w:r w:rsidR="00487F3A">
        <w:t xml:space="preserve">Webster and Watson (2002) maintain that an empirical review involves </w:t>
      </w:r>
      <w:r w:rsidR="003917E3">
        <w:t>systematically examining</w:t>
      </w:r>
      <w:r w:rsidR="00487F3A">
        <w:t xml:space="preserve"> the research literature on a particular topic, using explicit methods to select, appraise, and synthesize empirical studies. </w:t>
      </w:r>
    </w:p>
    <w:p w14:paraId="6D5C74C4" w14:textId="77777777" w:rsidR="00487F3A" w:rsidRDefault="00767CD4" w:rsidP="00115CDD">
      <w:pPr>
        <w:spacing w:after="0"/>
        <w:ind w:left="0" w:firstLine="0"/>
      </w:pPr>
      <w:r>
        <w:tab/>
      </w:r>
      <w:r w:rsidR="00487F3A">
        <w:t xml:space="preserve">An empirical review is </w:t>
      </w:r>
      <w:r w:rsidR="003917E3">
        <w:t>essential</w:t>
      </w:r>
      <w:r w:rsidR="00487F3A">
        <w:t xml:space="preserve"> because it allows researchers to synthesize the findings of multiple studies and draw more robust conclusions about the state of knowledge on a particular topic. By synthesi</w:t>
      </w:r>
      <w:r w:rsidR="000873C4">
        <w:t>s</w:t>
      </w:r>
      <w:r w:rsidR="00487F3A">
        <w:t xml:space="preserve">ing empirical evidence from multiple studies, researchers can identify patterns, trends, gaps and inconsistencies in the literature and gain a more comprehensive understanding of the topic. In addition, it can highlight areas where further research is needed. This can guide future research efforts and contribute to </w:t>
      </w:r>
      <w:r w:rsidR="003917E3">
        <w:t>advancing</w:t>
      </w:r>
      <w:r w:rsidR="00487F3A">
        <w:t xml:space="preserve"> knowledge in the field.</w:t>
      </w:r>
      <w:r w:rsidR="007675A7">
        <w:t xml:space="preserve"> Therefore, this chapter will review </w:t>
      </w:r>
      <w:r w:rsidR="00F34D64">
        <w:t>empirics</w:t>
      </w:r>
      <w:r w:rsidR="007675A7">
        <w:t xml:space="preserve"> on the </w:t>
      </w:r>
      <w:r w:rsidR="00907D77">
        <w:t>local policies</w:t>
      </w:r>
      <w:r w:rsidR="007675A7">
        <w:t xml:space="preserve"> that guide stakeholder collaboration, the challenges to effective stakeholder </w:t>
      </w:r>
      <w:r w:rsidR="00907D77">
        <w:t>participation in the management processes</w:t>
      </w:r>
      <w:r w:rsidR="007675A7">
        <w:t xml:space="preserve">, levels of participation in the </w:t>
      </w:r>
      <w:r w:rsidR="00907D77">
        <w:t>management</w:t>
      </w:r>
      <w:r w:rsidR="007675A7">
        <w:t xml:space="preserve"> process and the factors that enhance community participation in the </w:t>
      </w:r>
      <w:r w:rsidR="00907D77">
        <w:t>management</w:t>
      </w:r>
      <w:r w:rsidR="007675A7">
        <w:t xml:space="preserve"> process.</w:t>
      </w:r>
    </w:p>
    <w:p w14:paraId="0EF8783F" w14:textId="77777777" w:rsidR="00487F3A" w:rsidRPr="00487F3A" w:rsidRDefault="00487F3A" w:rsidP="00772DAC">
      <w:pPr>
        <w:pStyle w:val="Heading2"/>
        <w:ind w:left="0"/>
      </w:pPr>
      <w:bookmarkStart w:id="218" w:name="_Toc202197630"/>
      <w:r>
        <w:t>Empirical Review</w:t>
      </w:r>
      <w:bookmarkEnd w:id="218"/>
      <w:r>
        <w:t xml:space="preserve"> </w:t>
      </w:r>
    </w:p>
    <w:p w14:paraId="56927649" w14:textId="77777777" w:rsidR="0037750C" w:rsidRDefault="00767CD4" w:rsidP="00767CD4">
      <w:pPr>
        <w:spacing w:after="0"/>
        <w:ind w:left="0" w:firstLine="0"/>
      </w:pPr>
      <w:r>
        <w:tab/>
      </w:r>
      <w:proofErr w:type="spellStart"/>
      <w:r w:rsidR="007F0A62" w:rsidRPr="007F0A62">
        <w:t>Siyambango</w:t>
      </w:r>
      <w:proofErr w:type="spellEnd"/>
      <w:r w:rsidR="007F0A62" w:rsidRPr="007F0A62">
        <w:t xml:space="preserve"> and </w:t>
      </w:r>
      <w:proofErr w:type="spellStart"/>
      <w:r w:rsidR="007F0A62" w:rsidRPr="007F0A62">
        <w:t>Enkono</w:t>
      </w:r>
      <w:proofErr w:type="spellEnd"/>
      <w:r w:rsidR="007F0A62" w:rsidRPr="007F0A62">
        <w:t xml:space="preserve"> (2022) investigated viewpoints regarding community-based management practices, </w:t>
      </w:r>
      <w:r w:rsidR="003917E3">
        <w:t>focusing</w:t>
      </w:r>
      <w:r w:rsidR="007F0A62" w:rsidRPr="007F0A62">
        <w:t xml:space="preserve"> on conservation area boundaries. However, of utmost significance in their study was the exploration of the roles and responsibilities assigned to diverse actors involved in the </w:t>
      </w:r>
      <w:r w:rsidR="007F0A62" w:rsidRPr="007F0A62">
        <w:lastRenderedPageBreak/>
        <w:t>Community-Based Natural Resource Management (CBNRM) of the Okongo Community Forestry and Conservancy in Namibia.</w:t>
      </w:r>
      <w:r>
        <w:t xml:space="preserve"> </w:t>
      </w:r>
    </w:p>
    <w:p w14:paraId="6D29B1DF" w14:textId="395AA180" w:rsidR="0003458D" w:rsidRDefault="0037750C" w:rsidP="0037750C">
      <w:pPr>
        <w:spacing w:after="0"/>
        <w:ind w:left="0"/>
      </w:pPr>
      <w:proofErr w:type="spellStart"/>
      <w:r>
        <w:t>Siyambango</w:t>
      </w:r>
      <w:proofErr w:type="spellEnd"/>
      <w:r>
        <w:t xml:space="preserve"> and </w:t>
      </w:r>
      <w:proofErr w:type="spellStart"/>
      <w:r>
        <w:t>Enkono</w:t>
      </w:r>
      <w:proofErr w:type="spellEnd"/>
      <w:r>
        <w:t xml:space="preserve"> (2020) </w:t>
      </w:r>
      <w:r w:rsidR="009C3F47">
        <w:t>used a mixed-method research design to collect</w:t>
      </w:r>
      <w:r w:rsidR="002302EE">
        <w:t xml:space="preserve"> data through interviews and focus group discussions across four Okongo Community Forest and Conservancy communities</w:t>
      </w:r>
      <w:r w:rsidR="0003458D" w:rsidRPr="0003458D">
        <w:t xml:space="preserve">—specifically </w:t>
      </w:r>
      <w:proofErr w:type="spellStart"/>
      <w:r w:rsidR="0003458D" w:rsidRPr="0003458D">
        <w:t>Omauni</w:t>
      </w:r>
      <w:proofErr w:type="spellEnd"/>
      <w:r w:rsidR="0003458D" w:rsidRPr="0003458D">
        <w:t xml:space="preserve"> East, </w:t>
      </w:r>
      <w:proofErr w:type="spellStart"/>
      <w:r w:rsidR="0003458D" w:rsidRPr="0003458D">
        <w:t>Omauni</w:t>
      </w:r>
      <w:proofErr w:type="spellEnd"/>
      <w:r w:rsidR="0003458D" w:rsidRPr="0003458D">
        <w:t xml:space="preserve"> West, </w:t>
      </w:r>
      <w:proofErr w:type="spellStart"/>
      <w:r w:rsidR="0003458D" w:rsidRPr="0003458D">
        <w:t>Oshalande</w:t>
      </w:r>
      <w:proofErr w:type="spellEnd"/>
      <w:r w:rsidR="0003458D" w:rsidRPr="0003458D">
        <w:t xml:space="preserve">, and </w:t>
      </w:r>
      <w:proofErr w:type="spellStart"/>
      <w:r w:rsidR="0003458D" w:rsidRPr="0003458D">
        <w:t>Kumininenge</w:t>
      </w:r>
      <w:proofErr w:type="spellEnd"/>
      <w:r w:rsidR="0003458D" w:rsidRPr="0003458D">
        <w:t xml:space="preserve">. The primary respondents, the core assembly, participated in focus groups and were representative of individuals from four distinct categories. </w:t>
      </w:r>
      <w:r w:rsidR="002302EE">
        <w:t>A stratified random sample of 54 households was selected in the four communities</w:t>
      </w:r>
      <w:r w:rsidR="0003458D" w:rsidRPr="0003458D">
        <w:t>. The overarching framework guiding the study was the Common Pool Resource Theory.</w:t>
      </w:r>
    </w:p>
    <w:p w14:paraId="73999F8F" w14:textId="77777777" w:rsidR="00F34D64" w:rsidRDefault="00767CD4" w:rsidP="00767CD4">
      <w:pPr>
        <w:spacing w:after="0"/>
        <w:ind w:left="0" w:firstLine="0"/>
        <w:rPr>
          <w:rFonts w:cs="Times New Roman"/>
        </w:rPr>
      </w:pPr>
      <w:r>
        <w:rPr>
          <w:rFonts w:cs="Times New Roman"/>
        </w:rPr>
        <w:tab/>
      </w:r>
      <w:r w:rsidR="00F34D64">
        <w:rPr>
          <w:rFonts w:cs="Times New Roman"/>
        </w:rPr>
        <w:t xml:space="preserve">The study revealed that natural resource management committees support sustainable resource management. These committees, comprised of persons with separate functions such as chairperson and treasurer, </w:t>
      </w:r>
      <w:r w:rsidR="002302EE">
        <w:rPr>
          <w:rFonts w:cs="Times New Roman"/>
        </w:rPr>
        <w:t>coordinated the conservation activities</w:t>
      </w:r>
      <w:r w:rsidR="00F34D64">
        <w:rPr>
          <w:rFonts w:cs="Times New Roman"/>
        </w:rPr>
        <w:t>. Diverse stakeholders</w:t>
      </w:r>
      <w:r w:rsidR="009C3F47">
        <w:rPr>
          <w:rFonts w:cs="Times New Roman"/>
        </w:rPr>
        <w:t xml:space="preserve"> contributed to the conservation area's governance, including governmental agencies, non-governmental organisations (NGOs), commercial sector entities (tour operators), Conservancy Committee members, community-based organisation members, and non-affiliated peopl</w:t>
      </w:r>
      <w:r w:rsidR="00F34D64">
        <w:rPr>
          <w:rFonts w:cs="Times New Roman"/>
        </w:rPr>
        <w:t>e.</w:t>
      </w:r>
    </w:p>
    <w:p w14:paraId="678B3259" w14:textId="77777777" w:rsidR="00F34D64" w:rsidRPr="00A55552" w:rsidRDefault="00767CD4" w:rsidP="00772DAC">
      <w:pPr>
        <w:ind w:left="0" w:firstLine="0"/>
      </w:pPr>
      <w:r>
        <w:rPr>
          <w:rFonts w:cs="Times New Roman"/>
        </w:rPr>
        <w:tab/>
      </w:r>
      <w:r w:rsidR="00F34D64" w:rsidRPr="00A55552">
        <w:rPr>
          <w:rFonts w:cs="Times New Roman"/>
        </w:rPr>
        <w:t xml:space="preserve">Moreover, </w:t>
      </w:r>
      <w:proofErr w:type="spellStart"/>
      <w:r w:rsidR="00F34D64" w:rsidRPr="00A55552">
        <w:rPr>
          <w:rFonts w:cs="Times New Roman"/>
        </w:rPr>
        <w:t>Siyambango</w:t>
      </w:r>
      <w:proofErr w:type="spellEnd"/>
      <w:r w:rsidR="00F34D64" w:rsidRPr="00A55552">
        <w:rPr>
          <w:rFonts w:cs="Times New Roman"/>
        </w:rPr>
        <w:t xml:space="preserve"> and </w:t>
      </w:r>
      <w:proofErr w:type="spellStart"/>
      <w:r w:rsidR="00F34D64" w:rsidRPr="00A55552">
        <w:rPr>
          <w:rFonts w:cs="Times New Roman"/>
        </w:rPr>
        <w:t>Enkono</w:t>
      </w:r>
      <w:proofErr w:type="spellEnd"/>
      <w:r w:rsidR="00F34D64" w:rsidRPr="00A55552">
        <w:rPr>
          <w:rFonts w:cs="Times New Roman"/>
        </w:rPr>
        <w:t xml:space="preserve"> (2022) demonstrated robust communal collaboration in Okongo's common pool resource management. Community members displayed awareness of resource governance rules, fostering harmony. Conflict instances were minimal and resolved efficiently through local forums, indicating effective resolution due to resource users' accessible conflict resolution platforms.</w:t>
      </w:r>
    </w:p>
    <w:p w14:paraId="621774D8" w14:textId="00C97518" w:rsidR="004820B2" w:rsidRDefault="00767CD4" w:rsidP="00767CD4">
      <w:pPr>
        <w:spacing w:after="0"/>
        <w:ind w:left="0" w:firstLine="0"/>
      </w:pPr>
      <w:bookmarkStart w:id="219" w:name="_Hlk152927227"/>
      <w:r>
        <w:lastRenderedPageBreak/>
        <w:tab/>
      </w:r>
      <w:r w:rsidR="004820B2" w:rsidRPr="004820B2">
        <w:t xml:space="preserve">In the analysis by Safari (2022), the existing collaborative governance in the management of Forest Park Ir. H. Djuanda in Indonesia is </w:t>
      </w:r>
      <w:r w:rsidR="002302EE">
        <w:t>managed</w:t>
      </w:r>
      <w:r w:rsidR="004820B2" w:rsidRPr="004820B2">
        <w:t xml:space="preserve"> through </w:t>
      </w:r>
      <w:r w:rsidR="009C3F47">
        <w:t>acknowledging diverse interests, exchanging perspectives, establishing trust, and identifying</w:t>
      </w:r>
      <w:r w:rsidR="004820B2" w:rsidRPr="004820B2">
        <w:t xml:space="preserve"> shared interests among stakeholders. This research, rooted in collaborative governance theory, adopted a mixed methods approach to gather information across four variable dimensions. The study's data collection methods comprised semi-structured interviews and desk research, while </w:t>
      </w:r>
      <w:r w:rsidR="000F4FD1">
        <w:t>document review</w:t>
      </w:r>
      <w:r w:rsidR="004820B2" w:rsidRPr="004820B2">
        <w:t xml:space="preserve"> and descriptive statistics </w:t>
      </w:r>
      <w:r w:rsidR="002302EE">
        <w:t>wer</w:t>
      </w:r>
      <w:r w:rsidR="004820B2" w:rsidRPr="004820B2">
        <w:t xml:space="preserve">e </w:t>
      </w:r>
      <w:r w:rsidR="002302EE">
        <w:t xml:space="preserve">the </w:t>
      </w:r>
      <w:r w:rsidR="004820B2" w:rsidRPr="004820B2">
        <w:t>analytical tools. Specifically, 22 stakeholders involved in park management, spanning government agencies, private sectors, local communities, and local non-governmental organizations (NGOs), were purposively selected for interviews, forming a comprehensive basis for the investigation.</w:t>
      </w:r>
    </w:p>
    <w:bookmarkEnd w:id="219"/>
    <w:p w14:paraId="3B7F7E50" w14:textId="77777777" w:rsidR="007F3856" w:rsidRPr="0089115D" w:rsidRDefault="00767CD4" w:rsidP="007F3856">
      <w:pPr>
        <w:ind w:left="0" w:firstLine="0"/>
      </w:pPr>
      <w:r>
        <w:tab/>
      </w:r>
      <w:r w:rsidR="007F3856" w:rsidRPr="0089115D">
        <w:t>Safari's 2022 study classified stakeholder motivations into four categories: environmental, economic, social, and a mix of two or three of these motivations. Stakeholders with environmental motives focused on managing household waste near Forest Parks and controlling plant populations to prevent their dominance. Those driven by economic interests concentrate on using both tangible and intangible natural resources to support their organizational activities. Socially motivated stakeholders used the park as a platform to promote the arts and culture within the local community. Lastly, stakeholders with mixed motivations understood the importance of protecting Forest Parks, balancing the need to utili</w:t>
      </w:r>
      <w:r w:rsidR="007F3856">
        <w:t>s</w:t>
      </w:r>
      <w:r w:rsidR="007F3856" w:rsidRPr="0089115D">
        <w:t>e and preserve their resources.</w:t>
      </w:r>
    </w:p>
    <w:p w14:paraId="7777E6A4" w14:textId="251DA884" w:rsidR="007331A6" w:rsidRDefault="007331A6" w:rsidP="007F3856">
      <w:pPr>
        <w:ind w:left="0"/>
      </w:pPr>
      <w:r w:rsidRPr="007331A6">
        <w:t>Moreover, the investigation recogni</w:t>
      </w:r>
      <w:r w:rsidR="0037750C">
        <w:t>s</w:t>
      </w:r>
      <w:r w:rsidRPr="007331A6">
        <w:t xml:space="preserve">ed 11 prevailing procedures and regulations associated with </w:t>
      </w:r>
      <w:r w:rsidR="00907D77">
        <w:t>management</w:t>
      </w:r>
      <w:r w:rsidRPr="007331A6">
        <w:t xml:space="preserve"> within the park. These regulations encompassed various legal instruments, including laws, government </w:t>
      </w:r>
      <w:r w:rsidRPr="007331A6">
        <w:lastRenderedPageBreak/>
        <w:t xml:space="preserve">regulations, presidential decrees, ministerial regulations, regional regulations, and governor decrees </w:t>
      </w:r>
      <w:r w:rsidR="002302EE">
        <w:t>about</w:t>
      </w:r>
      <w:r w:rsidRPr="007331A6">
        <w:t xml:space="preserve"> </w:t>
      </w:r>
      <w:r w:rsidR="0037259C">
        <w:t>management</w:t>
      </w:r>
      <w:r w:rsidRPr="007331A6">
        <w:t xml:space="preserve">. Despite these 11 regulations, the study underscored several deficiencies in the collaborative process. These shortcomings </w:t>
      </w:r>
      <w:r w:rsidR="007A6B59">
        <w:t>include fragmented and irregularly scheduled stakeholder dialogues, diminished communication intensity, and disbanding of the stakeholder forum</w:t>
      </w:r>
      <w:r w:rsidRPr="007331A6">
        <w:t>.</w:t>
      </w:r>
    </w:p>
    <w:p w14:paraId="078FA41F" w14:textId="77777777" w:rsidR="00E6127A" w:rsidRDefault="00767CD4" w:rsidP="00E6127A">
      <w:pPr>
        <w:ind w:left="0" w:firstLine="0"/>
      </w:pPr>
      <w:r>
        <w:tab/>
      </w:r>
      <w:r w:rsidR="00E6127A">
        <w:t xml:space="preserve">Sylviani et al. (2023) explored the significant effects of stakeholder involvement in customary forest management following the designation of customary forests within Indonesia's </w:t>
      </w:r>
      <w:proofErr w:type="spellStart"/>
      <w:r w:rsidR="00E6127A">
        <w:t>Serampas</w:t>
      </w:r>
      <w:proofErr w:type="spellEnd"/>
      <w:r w:rsidR="00E6127A">
        <w:t xml:space="preserve"> Customary Law Community. This study utilised a qualitative methodology, drawing on Mitchell's stakeholder analysis framework. The data collection methods included in-depth interviews, field observations, literature reviews, and focus group discussions.</w:t>
      </w:r>
    </w:p>
    <w:p w14:paraId="5E5E7DEE" w14:textId="77777777" w:rsidR="00E6127A" w:rsidRPr="00A26FC1" w:rsidRDefault="00E6127A" w:rsidP="00E6127A">
      <w:pPr>
        <w:ind w:left="0"/>
      </w:pPr>
      <w:r>
        <w:t xml:space="preserve">Focusing on power, interests, and legitimacy, </w:t>
      </w:r>
      <w:proofErr w:type="spellStart"/>
      <w:r>
        <w:t>Sylviani</w:t>
      </w:r>
      <w:proofErr w:type="spellEnd"/>
      <w:r>
        <w:t xml:space="preserve"> et al. (2023) identified several key stakeholders: the central government, regional or local government, non-governmental organisations (NGOs), village government, customary institutions, </w:t>
      </w:r>
      <w:proofErr w:type="spellStart"/>
      <w:r>
        <w:t>Serampas</w:t>
      </w:r>
      <w:proofErr w:type="spellEnd"/>
      <w:r>
        <w:t xml:space="preserve"> Rantau Kermas Village's customary law communities (MHA), and village-owned business entities (</w:t>
      </w:r>
      <w:proofErr w:type="spellStart"/>
      <w:r>
        <w:t>Bumdes</w:t>
      </w:r>
      <w:proofErr w:type="spellEnd"/>
      <w:r>
        <w:t xml:space="preserve">). Each stakeholder demonstrated a strong vested interest, contributing positively to all parties, and offering opportunities to improve the community's economic prosperity and generate substantial social benefits. However, Sylviani et al. warned of potential conflicts, particularly among the regional government, village government, and the </w:t>
      </w:r>
      <w:proofErr w:type="spellStart"/>
      <w:r>
        <w:t>Bumdes</w:t>
      </w:r>
      <w:proofErr w:type="spellEnd"/>
      <w:r>
        <w:t>, which could arise if these entities with positive urgency (U+) do not cooperate effectively.</w:t>
      </w:r>
    </w:p>
    <w:p w14:paraId="4B18AD66" w14:textId="6A11FD2F" w:rsidR="00A33165" w:rsidRDefault="00A33165" w:rsidP="002B7DD0">
      <w:pPr>
        <w:spacing w:after="0"/>
        <w:ind w:left="0"/>
        <w:rPr>
          <w:rFonts w:cs="Times New Roman"/>
          <w:szCs w:val="24"/>
        </w:rPr>
      </w:pPr>
      <w:proofErr w:type="spellStart"/>
      <w:r w:rsidRPr="00334605">
        <w:rPr>
          <w:rFonts w:cs="Times New Roman"/>
          <w:szCs w:val="24"/>
        </w:rPr>
        <w:lastRenderedPageBreak/>
        <w:t>Rabé</w:t>
      </w:r>
      <w:proofErr w:type="spellEnd"/>
      <w:r w:rsidRPr="00334605">
        <w:rPr>
          <w:rFonts w:cs="Times New Roman"/>
          <w:szCs w:val="24"/>
        </w:rPr>
        <w:t xml:space="preserve"> and Kamanzi (2012) conducted research aimed at elucidating the "nature of authority" within villages and </w:t>
      </w:r>
      <w:proofErr w:type="spellStart"/>
      <w:r w:rsidRPr="00334605">
        <w:rPr>
          <w:rFonts w:cs="Times New Roman"/>
          <w:szCs w:val="24"/>
        </w:rPr>
        <w:t>mitaa</w:t>
      </w:r>
      <w:proofErr w:type="spellEnd"/>
      <w:r w:rsidRPr="00334605">
        <w:rPr>
          <w:rFonts w:cs="Times New Roman"/>
          <w:szCs w:val="24"/>
        </w:rPr>
        <w:t xml:space="preserve"> (local streets) in Tanzania, with a particular focus on decision-making processes concerning local development. The study analysed the mechanisms through which power is wielded at the grassroots level and by whom. Furthermore, it aimed to discern the avenues accessible to impoverished individuals for impacting decision-making processes and to pinpoint the barriers impeding genuine participation and the call for accountability.</w:t>
      </w:r>
    </w:p>
    <w:p w14:paraId="4C3A58F6" w14:textId="77777777" w:rsidR="00982C88" w:rsidRDefault="00982C88" w:rsidP="00982C88">
      <w:pPr>
        <w:ind w:left="0"/>
      </w:pPr>
      <w:r>
        <w:t>The study was conducted across a randomly selected sample of 15 villages, urban neighbourhoods (</w:t>
      </w:r>
      <w:proofErr w:type="spellStart"/>
      <w:r>
        <w:t>mitaa</w:t>
      </w:r>
      <w:proofErr w:type="spellEnd"/>
      <w:r>
        <w:t>), and hamlets (</w:t>
      </w:r>
      <w:proofErr w:type="spellStart"/>
      <w:r>
        <w:t>vitongoji</w:t>
      </w:r>
      <w:proofErr w:type="spellEnd"/>
      <w:r>
        <w:t>) throughout Tanzania, using the "power cube" framework to analyse power dynamics. This framework explores various levels, spheres, and manifestations of power as well as their interconnections. The participants included village leaders and local entrepreneurs (two traditionally influential groups) as well as women, youth, small-scale farmers, and temporary labourers (typically marginalised groups). The research was qualitative, utilising interviews and focus-group discussion guides.</w:t>
      </w:r>
    </w:p>
    <w:p w14:paraId="7573A8C2" w14:textId="77777777" w:rsidR="00982C88" w:rsidRDefault="00982C88" w:rsidP="00982C88">
      <w:pPr>
        <w:ind w:left="0"/>
      </w:pPr>
      <w:proofErr w:type="spellStart"/>
      <w:r>
        <w:t>Rabé</w:t>
      </w:r>
      <w:proofErr w:type="spellEnd"/>
      <w:r>
        <w:t xml:space="preserve"> and Kamanzi (2012) identified both closed and invited spaces of decision-making in villages and </w:t>
      </w:r>
      <w:proofErr w:type="spellStart"/>
      <w:r>
        <w:t>mitaa</w:t>
      </w:r>
      <w:proofErr w:type="spellEnd"/>
      <w:r>
        <w:t>, noting that visible power was predominantly exercised by village leaders. Ordinary villagers reported limited alternative, informal, or "hidden" forms of power to challenge the visible and hidden powers of local leaders, with decision-making primarily occurring at the local level.</w:t>
      </w:r>
    </w:p>
    <w:p w14:paraId="711E210C" w14:textId="77777777" w:rsidR="00982C88" w:rsidRDefault="00982C88" w:rsidP="00982C88">
      <w:pPr>
        <w:ind w:left="0"/>
      </w:pPr>
      <w:r>
        <w:t xml:space="preserve">In a study by </w:t>
      </w:r>
      <w:proofErr w:type="spellStart"/>
      <w:r>
        <w:t>Mbeche</w:t>
      </w:r>
      <w:proofErr w:type="spellEnd"/>
      <w:r>
        <w:t xml:space="preserve"> et al. (2021), data from a cross-sectional survey of 924 forest-dependent households in Western Kenya were used to examine </w:t>
      </w:r>
      <w:r>
        <w:lastRenderedPageBreak/>
        <w:t>factors affecting participation in Participatory Forest Management (PFM). Using a probit model, the study assessed households' decisions to join the PFM and calculated a Participation Index (PI) to measure involvement across various stages of the program: planning, implementation, and Monitoring and Evaluation (M&amp;E). This study also explored participation determinants through a Fractional Regression Approach.</w:t>
      </w:r>
    </w:p>
    <w:p w14:paraId="2BE6ABE4" w14:textId="77777777" w:rsidR="00982C88" w:rsidRDefault="00982C88" w:rsidP="00982C88">
      <w:pPr>
        <w:ind w:left="0"/>
      </w:pPr>
      <w:r>
        <w:t>Grounded in Institutional Theory, this study employed an exploratory sequential design, gathering qualitative data through 30 focus group discussions and 15 key informant interviews with forest officers, community forest association leaders, and local government officials. Quantitative data were collected through interviews and questionnaires using a multistage sampling technique.</w:t>
      </w:r>
    </w:p>
    <w:p w14:paraId="4B5D1E46" w14:textId="77777777" w:rsidR="00982C88" w:rsidRDefault="00982C88" w:rsidP="00982C88">
      <w:pPr>
        <w:ind w:left="0"/>
      </w:pPr>
      <w:r>
        <w:t>The findings indicated a moderate level of participation among forest users, lower than that in similar sub-Saharan contexts. Key determinants of PFM membership included age and educational level of the household head, food insecurity, vulnerability to shocks, affiliation with farmers' groups, access to extension services, availability of credit, and proximity to the forest in the past year.</w:t>
      </w:r>
    </w:p>
    <w:p w14:paraId="4E5F321B" w14:textId="77777777" w:rsidR="00982C88" w:rsidRPr="0010668F" w:rsidRDefault="00982C88" w:rsidP="00982C88">
      <w:pPr>
        <w:ind w:left="0"/>
      </w:pPr>
      <w:r>
        <w:t xml:space="preserve">Yani et al. (2017), using Normative Institutional Theory, explored citizen involvement in local development in </w:t>
      </w:r>
      <w:proofErr w:type="spellStart"/>
      <w:r>
        <w:t>Kutai</w:t>
      </w:r>
      <w:proofErr w:type="spellEnd"/>
      <w:r>
        <w:t xml:space="preserve"> </w:t>
      </w:r>
      <w:proofErr w:type="spellStart"/>
      <w:r>
        <w:t>Kartanegara</w:t>
      </w:r>
      <w:proofErr w:type="spellEnd"/>
      <w:r>
        <w:t xml:space="preserve"> Regency. Their research emphasised that the quality of participation depends on access, awareness, control, and benefits. The mixed-methods approach included quantitative data from surveys and qualitative data from focus group discussions and in-depth interviews, with a multistage random sampling method that </w:t>
      </w:r>
      <w:r>
        <w:lastRenderedPageBreak/>
        <w:t>yielded a sample of 420 individuals. Both primary and secondary data sources were utilised for comprehensive analysis.</w:t>
      </w:r>
    </w:p>
    <w:p w14:paraId="0644CC0C" w14:textId="474C1123" w:rsidR="006F51E7" w:rsidRDefault="006F51E7" w:rsidP="00982C88">
      <w:pPr>
        <w:ind w:left="0"/>
      </w:pPr>
      <w:r w:rsidRPr="006F51E7">
        <w:t xml:space="preserve">Through scrutiny of these four dimensions, Yani et al. (2017) determined that the nature of citizen participation in </w:t>
      </w:r>
      <w:proofErr w:type="spellStart"/>
      <w:r w:rsidRPr="006F51E7">
        <w:t>Kutai</w:t>
      </w:r>
      <w:proofErr w:type="spellEnd"/>
      <w:r w:rsidRPr="006F51E7">
        <w:t xml:space="preserve"> </w:t>
      </w:r>
      <w:proofErr w:type="spellStart"/>
      <w:r w:rsidRPr="006F51E7">
        <w:t>Kartanegara</w:t>
      </w:r>
      <w:proofErr w:type="spellEnd"/>
      <w:r w:rsidRPr="006F51E7">
        <w:t xml:space="preserve"> aligned with the concept of placation on Arnstein's ladder of participation. Placation on this ladder denotes a scenario wherein the participation quality is essentially characteri</w:t>
      </w:r>
      <w:r w:rsidR="00055B76">
        <w:t>s</w:t>
      </w:r>
      <w:r w:rsidRPr="006F51E7">
        <w:t>ed by formalism. To elucidate, the government establishes channels for dialogue with the populace to solicit program proposals in the developmental process. However, the primary objective is to secure community support without shouldering the responsibility of actualizing the proposed programs.</w:t>
      </w:r>
    </w:p>
    <w:p w14:paraId="1854923F" w14:textId="77777777" w:rsidR="005A5C65" w:rsidRDefault="00767CD4" w:rsidP="00767CD4">
      <w:pPr>
        <w:spacing w:after="0"/>
        <w:ind w:left="0" w:firstLine="0"/>
      </w:pPr>
      <w:r>
        <w:tab/>
      </w:r>
      <w:r w:rsidR="005A5C65" w:rsidRPr="005A5C65">
        <w:t>Utili</w:t>
      </w:r>
      <w:r w:rsidR="005A5C65">
        <w:t>s</w:t>
      </w:r>
      <w:r w:rsidR="005A5C65" w:rsidRPr="005A5C65">
        <w:t xml:space="preserve">ing data from two case studies conducted in </w:t>
      </w:r>
      <w:proofErr w:type="spellStart"/>
      <w:r w:rsidR="005A5C65" w:rsidRPr="005A5C65">
        <w:t>Menagesha</w:t>
      </w:r>
      <w:proofErr w:type="spellEnd"/>
      <w:r w:rsidR="005A5C65" w:rsidRPr="005A5C65">
        <w:t xml:space="preserve"> Suba Forest (MSF) in Ethiopia and Maasai Mau Forest (MMF) in Kenya, </w:t>
      </w:r>
      <w:proofErr w:type="spellStart"/>
      <w:r w:rsidR="005A5C65" w:rsidRPr="005A5C65">
        <w:t>Duguma</w:t>
      </w:r>
      <w:proofErr w:type="spellEnd"/>
      <w:r w:rsidR="005A5C65" w:rsidRPr="005A5C65">
        <w:t xml:space="preserve"> et al. (2019) examined overlooked behavioural aspects that significantly influence farmers' decision-making processes regarding participation in deforestation and forest degradation, as well as the driving factors behind such behaviour. The research employed a household survey methodology, utilizing questionnaires as the primary data collection tool. In the </w:t>
      </w:r>
      <w:proofErr w:type="spellStart"/>
      <w:r w:rsidR="005A5C65" w:rsidRPr="005A5C65">
        <w:t>Menagesha</w:t>
      </w:r>
      <w:proofErr w:type="spellEnd"/>
      <w:r w:rsidR="005A5C65" w:rsidRPr="005A5C65">
        <w:t xml:space="preserve"> Suba region, the survey encompassed 397 households within and outside the forest margin. Simultaneously, </w:t>
      </w:r>
      <w:r w:rsidR="00055B76">
        <w:t>100 households were interviewed in Maasai Mau</w:t>
      </w:r>
      <w:r w:rsidR="005A5C65" w:rsidRPr="005A5C65">
        <w:t>, and their selection was determined through a simple random sampling approach.</w:t>
      </w:r>
    </w:p>
    <w:p w14:paraId="7F7B42F7" w14:textId="77777777" w:rsidR="000213E5" w:rsidRDefault="00767CD4" w:rsidP="00767CD4">
      <w:pPr>
        <w:spacing w:after="0"/>
        <w:ind w:left="0" w:firstLine="0"/>
      </w:pPr>
      <w:r>
        <w:tab/>
      </w:r>
      <w:r w:rsidR="000213E5" w:rsidRPr="000213E5">
        <w:t xml:space="preserve">Furthermore, </w:t>
      </w:r>
      <w:proofErr w:type="spellStart"/>
      <w:r w:rsidR="000213E5" w:rsidRPr="000213E5">
        <w:t>Duguma</w:t>
      </w:r>
      <w:proofErr w:type="spellEnd"/>
      <w:r w:rsidR="000213E5" w:rsidRPr="000213E5">
        <w:t xml:space="preserve"> et al. (2019) organized six focus group discussions, one held in </w:t>
      </w:r>
      <w:proofErr w:type="spellStart"/>
      <w:r w:rsidR="000213E5" w:rsidRPr="000213E5">
        <w:t>Menagesha</w:t>
      </w:r>
      <w:proofErr w:type="spellEnd"/>
      <w:r w:rsidR="000213E5" w:rsidRPr="000213E5">
        <w:t xml:space="preserve"> Suba involving 12 participants and the remaining five conducted in Maasai Mau. The researchers employed a focus group discussion guide to </w:t>
      </w:r>
      <w:r w:rsidR="00055B76">
        <w:t>gather data from purposefully selected participants</w:t>
      </w:r>
      <w:r w:rsidR="000213E5" w:rsidRPr="000213E5">
        <w:t xml:space="preserve">. </w:t>
      </w:r>
      <w:r w:rsidR="000213E5" w:rsidRPr="000213E5">
        <w:lastRenderedPageBreak/>
        <w:t>The results of the survey were triangulated using diverse information sources. Descriptive statistics served as the primary method for analysing the collected data. The study was theoretically grounded in the Attribution theory.</w:t>
      </w:r>
    </w:p>
    <w:p w14:paraId="36C4F3E5" w14:textId="77777777" w:rsidR="007872A8" w:rsidRDefault="00767CD4" w:rsidP="00772DAC">
      <w:pPr>
        <w:ind w:left="0" w:firstLine="0"/>
      </w:pPr>
      <w:r>
        <w:tab/>
      </w:r>
      <w:proofErr w:type="spellStart"/>
      <w:r w:rsidR="000B73B7" w:rsidRPr="000B73B7">
        <w:t>Duguma</w:t>
      </w:r>
      <w:proofErr w:type="spellEnd"/>
      <w:r w:rsidR="000B73B7" w:rsidRPr="000B73B7">
        <w:t xml:space="preserve"> et al. (2019) identified three overarching categories of factors—contextual, attitudinal, and habitual or routine activities—that influence the </w:t>
      </w:r>
      <w:r w:rsidR="007872A8" w:rsidRPr="000B73B7">
        <w:t>behaviour</w:t>
      </w:r>
      <w:r w:rsidR="000B73B7" w:rsidRPr="000B73B7">
        <w:t xml:space="preserve"> of smallholder farmers </w:t>
      </w:r>
      <w:r w:rsidR="00055B76">
        <w:t>concerning</w:t>
      </w:r>
      <w:r w:rsidR="000B73B7" w:rsidRPr="000B73B7">
        <w:t xml:space="preserve"> deforestation and forest degradation. The research conducted in two case study areas revealed that contextual factors </w:t>
      </w:r>
      <w:r w:rsidR="00055B76">
        <w:t>were pivotal</w:t>
      </w:r>
      <w:r w:rsidR="000B73B7" w:rsidRPr="000B73B7">
        <w:t xml:space="preserve"> in driving deforestation and forest degradation. Specifically, in the MSF region of Ethiopia, most of the underlying forces contributing to deforestation and forest degradation were driven by necessity and market demands. </w:t>
      </w:r>
    </w:p>
    <w:p w14:paraId="3CCD5CE7" w14:textId="77777777" w:rsidR="000B73B7" w:rsidRDefault="00767CD4" w:rsidP="00767CD4">
      <w:pPr>
        <w:spacing w:after="0"/>
        <w:ind w:left="0" w:firstLine="0"/>
      </w:pPr>
      <w:r>
        <w:tab/>
      </w:r>
      <w:r w:rsidR="000B73B7" w:rsidRPr="000B73B7">
        <w:t>Conversely, in the MMF region of Kenya, these forces were predominantly influenced by policy and governance considerations. Despite these drivers, both case studies indicated that farmers exhibited a genuine interest in conserving forests, and their actions were not intentionally depleting the forest resources. This conservation inclination was attributed to the forests serving as a crucial source of wood for energy and construction materials.</w:t>
      </w:r>
    </w:p>
    <w:p w14:paraId="2D71D30D" w14:textId="2898D866" w:rsidR="007872A8" w:rsidRDefault="00767CD4" w:rsidP="00767CD4">
      <w:pPr>
        <w:spacing w:after="0"/>
        <w:ind w:left="0" w:firstLine="0"/>
      </w:pPr>
      <w:r>
        <w:tab/>
      </w:r>
      <w:proofErr w:type="spellStart"/>
      <w:r w:rsidR="007872A8" w:rsidRPr="007872A8">
        <w:t>Nkemnyi</w:t>
      </w:r>
      <w:proofErr w:type="spellEnd"/>
      <w:r w:rsidR="007872A8" w:rsidRPr="007872A8">
        <w:t xml:space="preserve"> (2016) </w:t>
      </w:r>
      <w:r w:rsidR="00055B76">
        <w:t>analysed</w:t>
      </w:r>
      <w:r w:rsidR="007872A8" w:rsidRPr="007872A8">
        <w:t xml:space="preserve"> the impact of community forestry implementation on local community participation in Cameroon. The study focused on two case studies, namely the </w:t>
      </w:r>
      <w:proofErr w:type="spellStart"/>
      <w:r w:rsidR="007872A8" w:rsidRPr="007872A8">
        <w:t>Bimbia-bonadikombo</w:t>
      </w:r>
      <w:proofErr w:type="spellEnd"/>
      <w:r w:rsidR="007872A8" w:rsidRPr="007872A8">
        <w:t xml:space="preserve"> Community Forest and the Tinto community forest in Cameroon. Grounded in </w:t>
      </w:r>
      <w:r w:rsidR="007A6B59">
        <w:t>Adaptive Collaborative Management (ACM) principles</w:t>
      </w:r>
      <w:r w:rsidR="007872A8" w:rsidRPr="007872A8">
        <w:t xml:space="preserve">, the research employed in-depth interviews, focus group discussions, and observations as primary </w:t>
      </w:r>
      <w:r w:rsidR="00055B76">
        <w:t>data collection methods</w:t>
      </w:r>
      <w:r w:rsidR="007872A8" w:rsidRPr="007872A8">
        <w:t xml:space="preserve">. Both primary and secondary data sources were utilized, with data collection tools including interview guides, focus group discussion guides, and </w:t>
      </w:r>
      <w:r w:rsidR="007872A8" w:rsidRPr="007872A8">
        <w:lastRenderedPageBreak/>
        <w:t xml:space="preserve">field observation checklists. The interviews involved 60 respondents, and two focus group discussions were conducted. Qualitative analysis, specifically </w:t>
      </w:r>
      <w:r w:rsidR="000F4FD1">
        <w:t>document review</w:t>
      </w:r>
      <w:r w:rsidR="007872A8" w:rsidRPr="007872A8">
        <w:t>, served as the analytical tool for the study.</w:t>
      </w:r>
    </w:p>
    <w:p w14:paraId="02BA57FE" w14:textId="724FDC28" w:rsidR="00B264E0" w:rsidRDefault="00767CD4" w:rsidP="00767CD4">
      <w:pPr>
        <w:spacing w:after="0"/>
        <w:ind w:left="0" w:firstLine="0"/>
      </w:pPr>
      <w:r>
        <w:tab/>
      </w:r>
      <w:proofErr w:type="spellStart"/>
      <w:r w:rsidR="00B264E0" w:rsidRPr="00B264E0">
        <w:t>Nkemnyi</w:t>
      </w:r>
      <w:proofErr w:type="spellEnd"/>
      <w:r w:rsidR="00B264E0" w:rsidRPr="00B264E0">
        <w:t xml:space="preserve"> (2016) highlights a significant impediment to the success of community forestry initiatives in Cameroon. This limitation arises from the lack of empowerment among local community members, who, as intended beneficiaries, were not given the agency to lead the implementation process. Consequently, influential entities often devised mechanisms during the pilot phase, directing participation toward their interests. This deviation from the legislative framework </w:t>
      </w:r>
      <w:r w:rsidR="00055B76">
        <w:t xml:space="preserve">failed </w:t>
      </w:r>
      <w:r w:rsidR="00B264E0" w:rsidRPr="00B264E0">
        <w:t xml:space="preserve">implementation, as the prescribed processes were not faithfully executed. Additionally, a lack of awareness regarding community forestry emerged as another obstacle to local community engagement. Inadequate knowledge of the concept and its holistic implementation prevailed among community members, as </w:t>
      </w:r>
      <w:r w:rsidR="00B264E0">
        <w:t>f</w:t>
      </w:r>
      <w:r w:rsidR="00B264E0" w:rsidRPr="00B264E0">
        <w:t xml:space="preserve">orest </w:t>
      </w:r>
      <w:r w:rsidR="00B264E0">
        <w:t>m</w:t>
      </w:r>
      <w:r w:rsidR="00B264E0" w:rsidRPr="00B264E0">
        <w:t>anagers did not prioritize awareness-raising and sensiti</w:t>
      </w:r>
      <w:r w:rsidR="00844334">
        <w:t>s</w:t>
      </w:r>
      <w:r w:rsidR="00B264E0" w:rsidRPr="00B264E0">
        <w:t>ation to achieve effective management.</w:t>
      </w:r>
    </w:p>
    <w:p w14:paraId="680F719F" w14:textId="77777777" w:rsidR="006F0353" w:rsidRDefault="00767CD4" w:rsidP="006F0353">
      <w:pPr>
        <w:ind w:left="0" w:firstLine="0"/>
      </w:pPr>
      <w:r>
        <w:tab/>
      </w:r>
      <w:r w:rsidR="006F0353">
        <w:t>Cadman et al. (2023) investigated forest management and governance in Nepal with a focus on sustainable practices and the conservation of Red Pandas. Their study employed an analytical hierarchical framework utilising Principles, Criteria, and Indicators to evaluate stakeholders' views on current forest governance. Guided by Institutional Theory, they conducted purposive sampling through a combination of telephone and online interviews facilitated by Survey Monkey, resulting in a mixed-methods approach. The survey included 355 participants: 171 completed the online survey (Survey 1) and 184 participated in telephone interviews. The data analysis also involved t-test.</w:t>
      </w:r>
    </w:p>
    <w:p w14:paraId="3386CFCE" w14:textId="77777777" w:rsidR="006F0353" w:rsidRDefault="006F0353" w:rsidP="00126EF5">
      <w:pPr>
        <w:spacing w:after="0"/>
        <w:ind w:left="0"/>
      </w:pPr>
      <w:r>
        <w:lastRenderedPageBreak/>
        <w:t>The case studies highlighted that although the community forest's governance rating was not critically low, significant challenges persisted, such as inadequate resources and insufficient empowerment of marginalised groups. These issues had hindered progress toward sustainable forest management. The study uncovered divergent and conflicting views between marginalised and non-marginalised stakeholders, with the former expressing dissatisfaction with the government's disregard for their input and the influence of prominent committee members on decision making.</w:t>
      </w:r>
    </w:p>
    <w:p w14:paraId="55DEF304" w14:textId="77777777" w:rsidR="006F0353" w:rsidRDefault="006F0353" w:rsidP="008F7D23">
      <w:pPr>
        <w:spacing w:after="0"/>
        <w:ind w:left="0"/>
      </w:pPr>
      <w:r>
        <w:t>Marginalised communities faced restricted access to and control over resources, exacerbated by problems such as uneven benefit distribution, the dominance of wealthier groups, limited alternative livelihood opportunities, and inadequate support for community enterprises. These issues pointed to deficiencies in existing forest management systems and suggested the need for a re-evaluation of sustainable forest management (SFM).</w:t>
      </w:r>
    </w:p>
    <w:p w14:paraId="651DD0D8" w14:textId="77777777" w:rsidR="006F0353" w:rsidRPr="001650F7" w:rsidRDefault="006F0353" w:rsidP="008F7D23">
      <w:pPr>
        <w:spacing w:after="0"/>
        <w:ind w:left="0"/>
      </w:pPr>
      <w:r>
        <w:t>In a related study, Larson et al. (2022) examined community involvement in forest and water management planning in Kenya. Their research explored the challenges and opportunities of grassroots resource management planning through case studies of two distinct Kenyan ecosystems. They collected data via questionnaires, group discussions, and interviews by employing a mix of simple random and purposive sampling. Both primary and secondary data sources were utilised, and the study was framed using institutional theory.</w:t>
      </w:r>
    </w:p>
    <w:p w14:paraId="3E6D46B8" w14:textId="43E1D9FE" w:rsidR="009F6D81" w:rsidRDefault="00767CD4" w:rsidP="006F0353">
      <w:pPr>
        <w:spacing w:after="0"/>
        <w:ind w:left="0" w:firstLine="0"/>
      </w:pPr>
      <w:r>
        <w:tab/>
      </w:r>
      <w:r w:rsidR="009F6D81" w:rsidRPr="009F6D81">
        <w:t xml:space="preserve">Concerning forest plans, Larson et al. (2022) disclosed that the ownership of the plan became problematic, attributed to the extent of community participation, leading to a perception that the plan was primarily </w:t>
      </w:r>
      <w:r w:rsidR="009F6D81" w:rsidRPr="009F6D81">
        <w:lastRenderedPageBreak/>
        <w:t xml:space="preserve">under the </w:t>
      </w:r>
      <w:r w:rsidR="00055B76">
        <w:t>authorities' jurisdiction</w:t>
      </w:r>
      <w:r w:rsidR="009F6D81" w:rsidRPr="009F6D81">
        <w:t xml:space="preserve">. The study further unveiled strained relations between leaders of forest user groups and local forest station management. Additionally, implementation challenges were identified for forestry plans, with community members lacking the necessary skills to execute planned activities. A significant hindrance to activity implementation was </w:t>
      </w:r>
      <w:r w:rsidR="00DF2C1D">
        <w:t>insufficient</w:t>
      </w:r>
      <w:r w:rsidR="009F6D81" w:rsidRPr="009F6D81">
        <w:t xml:space="preserve"> financial resources</w:t>
      </w:r>
      <w:r w:rsidR="00055B76">
        <w:t xml:space="preserve"> and</w:t>
      </w:r>
      <w:r w:rsidR="009F6D81" w:rsidRPr="009F6D81">
        <w:t xml:space="preserve"> a lack of clarity among stakeholders regarding the responsible party for monitoring plan implementation.</w:t>
      </w:r>
    </w:p>
    <w:p w14:paraId="1E71D34F" w14:textId="77777777" w:rsidR="00841E42" w:rsidRDefault="00841E42" w:rsidP="00841E42">
      <w:pPr>
        <w:pStyle w:val="BodyText"/>
        <w:ind w:left="0"/>
      </w:pPr>
      <w:proofErr w:type="spellStart"/>
      <w:r w:rsidRPr="00892420">
        <w:t>Phonchaluen</w:t>
      </w:r>
      <w:proofErr w:type="spellEnd"/>
      <w:r w:rsidRPr="00892420">
        <w:t xml:space="preserve"> et al. (2023) investigated the determinants influencing household participation in community forest conservation within HOUYKHING County, </w:t>
      </w:r>
      <w:proofErr w:type="spellStart"/>
      <w:r w:rsidRPr="00892420">
        <w:t>Phonxai</w:t>
      </w:r>
      <w:proofErr w:type="spellEnd"/>
      <w:r w:rsidRPr="00892420">
        <w:t xml:space="preserve"> District, Luang Prabang Province, located in the Northern Upland of Laos P.D.R. This study employed a quantitative methodology that utilised a multistage sampling technique. Data were gathered through household interviews using questionnaires across six villages involving 252 households selected via simple random sampling. Data analysis was conducted using the ordered logistic regression model. </w:t>
      </w:r>
    </w:p>
    <w:p w14:paraId="0FC43C91" w14:textId="77777777" w:rsidR="00841E42" w:rsidRDefault="00841E42" w:rsidP="008F7D23">
      <w:pPr>
        <w:pStyle w:val="BodyText"/>
        <w:spacing w:after="0"/>
        <w:ind w:left="0"/>
      </w:pPr>
      <w:proofErr w:type="spellStart"/>
      <w:r w:rsidRPr="00892420">
        <w:t>Phonchaluen</w:t>
      </w:r>
      <w:proofErr w:type="spellEnd"/>
      <w:r w:rsidRPr="00892420">
        <w:t xml:space="preserve"> et al. (2023) concluded that participation in community forest conservation activities was significantly linked to various factors, including gender, age, education, household size, occupation, income, landholding size, duration of residence, involvement in social committees, training, and access to information.</w:t>
      </w:r>
    </w:p>
    <w:p w14:paraId="190931EC" w14:textId="77777777" w:rsidR="00CE4E5C" w:rsidRDefault="00CE4E5C" w:rsidP="008F7D23">
      <w:pPr>
        <w:spacing w:after="0"/>
        <w:ind w:left="0"/>
      </w:pPr>
      <w:proofErr w:type="spellStart"/>
      <w:r>
        <w:t>Savari</w:t>
      </w:r>
      <w:proofErr w:type="spellEnd"/>
      <w:r>
        <w:t xml:space="preserve"> et al. (2020) examined the factors influencing local communities' involvement in Sustainable Forest Management (SFM) in Iran using Sustainable Development Theory. The study employed a quantitative methodology, collecting data through interviews and questionnaires. A sample of 173 participants was obtained via simple random sampling, and data were </w:t>
      </w:r>
      <w:r>
        <w:lastRenderedPageBreak/>
        <w:t xml:space="preserve">analysed using descriptive statistics and Hierarchical Multiple Linear Regression. </w:t>
      </w:r>
    </w:p>
    <w:p w14:paraId="10CCD838" w14:textId="77777777" w:rsidR="00CE4E5C" w:rsidRDefault="00CE4E5C" w:rsidP="008F7D23">
      <w:pPr>
        <w:spacing w:after="0"/>
        <w:ind w:left="0"/>
      </w:pPr>
      <w:r>
        <w:t xml:space="preserve">The findings of </w:t>
      </w:r>
      <w:proofErr w:type="spellStart"/>
      <w:r>
        <w:t>Savari</w:t>
      </w:r>
      <w:proofErr w:type="spellEnd"/>
      <w:r>
        <w:t xml:space="preserve"> et al. (2020) indicated that the local population showed limited to moderate involvement in the economic, social, and environmental aspects of SFM. Notably, there was a preference for indirect economic activities like ecotourism. The study identified 25 factors influencing SFM, categorised into five groups: personal, sociocultural, support-economic, psychological-training, and political-legal. These factors collectively explained the variance observed in the study.</w:t>
      </w:r>
    </w:p>
    <w:p w14:paraId="1D8F99A3" w14:textId="77777777" w:rsidR="00CE4E5C" w:rsidRDefault="00CE4E5C" w:rsidP="008F7D23">
      <w:pPr>
        <w:spacing w:after="0"/>
        <w:ind w:left="0"/>
      </w:pPr>
      <w:r>
        <w:t xml:space="preserve">In a separate study, Chiwaya and </w:t>
      </w:r>
      <w:proofErr w:type="spellStart"/>
      <w:r>
        <w:t>Mzuza</w:t>
      </w:r>
      <w:proofErr w:type="spellEnd"/>
      <w:r>
        <w:t xml:space="preserve"> (2020) explored the factors affecting community participation in forestry management in the </w:t>
      </w:r>
      <w:proofErr w:type="spellStart"/>
      <w:r>
        <w:t>Chiradzulu</w:t>
      </w:r>
      <w:proofErr w:type="spellEnd"/>
      <w:r>
        <w:t xml:space="preserve"> District, Malawi. Using a mixed-methods approach, the study combined qualitative and quantitative data and analysed them using the logit model. Data were collected through questionnaires, critical informant checklists, telephone calls, and the Internet, with SPSS and Excel used for analysis, including the creation of graphs and tables. </w:t>
      </w:r>
    </w:p>
    <w:p w14:paraId="2905CC05" w14:textId="77777777" w:rsidR="00CE4E5C" w:rsidRDefault="00CE4E5C" w:rsidP="008F7D23">
      <w:pPr>
        <w:spacing w:after="0"/>
        <w:ind w:left="0"/>
      </w:pPr>
      <w:r>
        <w:t xml:space="preserve">Chiwaya and </w:t>
      </w:r>
      <w:proofErr w:type="spellStart"/>
      <w:r>
        <w:t>Mzuza</w:t>
      </w:r>
      <w:proofErr w:type="spellEnd"/>
      <w:r>
        <w:t xml:space="preserve"> (2020) found that socioeconomic factors such as age, education, income, and occupation significantly impacted community involvement in forestry, suggesting that these elements should be considered in forestry management planning.</w:t>
      </w:r>
    </w:p>
    <w:p w14:paraId="5E70B26F" w14:textId="77777777" w:rsidR="00CE4E5C" w:rsidRPr="00624EF6" w:rsidRDefault="00CE4E5C" w:rsidP="008F7D23">
      <w:pPr>
        <w:spacing w:after="0"/>
        <w:ind w:left="0"/>
      </w:pPr>
      <w:r>
        <w:t xml:space="preserve">Wekesa (2017) investigated community participation in managing and conserving the </w:t>
      </w:r>
      <w:proofErr w:type="spellStart"/>
      <w:r>
        <w:t>Kimothon</w:t>
      </w:r>
      <w:proofErr w:type="spellEnd"/>
      <w:r>
        <w:t xml:space="preserve"> forest in Kenya. Guided by the Common Pool Resource Theory, this study used questionnaires, interview schedules, and focus group discussions to collect data from 100 participants selected through purposive and simple random sampling. Data analysis was performed using </w:t>
      </w:r>
      <w:r>
        <w:lastRenderedPageBreak/>
        <w:t>SPSS, with the results presented in tables, charts, and graphs, and included multivariate regression analysis to assess the challenges and influencing factors related to community participation in forest conservation and management.</w:t>
      </w:r>
    </w:p>
    <w:p w14:paraId="0886B2A2" w14:textId="77777777" w:rsidR="00E93385" w:rsidRPr="00E93385" w:rsidRDefault="00767CD4" w:rsidP="00772DAC">
      <w:pPr>
        <w:pStyle w:val="BodyText"/>
        <w:ind w:left="0" w:firstLine="0"/>
      </w:pPr>
      <w:r>
        <w:tab/>
      </w:r>
      <w:bookmarkStart w:id="220" w:name="_Hlk165279838"/>
      <w:r w:rsidR="00A66CCF">
        <w:t xml:space="preserve">Wekesa (2017) disclosed that inadequate leadership and limited resources </w:t>
      </w:r>
      <w:r w:rsidR="00055B76">
        <w:t>impede</w:t>
      </w:r>
      <w:r w:rsidR="00A66CCF">
        <w:t xml:space="preserve"> community participation in forestry conservation efforts. </w:t>
      </w:r>
      <w:bookmarkEnd w:id="220"/>
      <w:r w:rsidR="00A66CCF">
        <w:t>Insufficient leadership within the association contributed to disputes and conflicts, diminishing community engagement. Scarce resources exacerbated conflicts among community members as they competed for limited resources. Furthermore, the study highlighted economic considerations and the distribution of benefits as pivotal factors influencing community involvement.</w:t>
      </w:r>
    </w:p>
    <w:p w14:paraId="327FADFF" w14:textId="77777777" w:rsidR="00A675B0" w:rsidRDefault="00A675B0" w:rsidP="00772DAC">
      <w:pPr>
        <w:pStyle w:val="Heading2"/>
        <w:ind w:left="0"/>
      </w:pPr>
      <w:bookmarkStart w:id="221" w:name="_Toc202197631"/>
      <w:r>
        <w:t>Lessons learnt</w:t>
      </w:r>
      <w:bookmarkEnd w:id="221"/>
      <w:r>
        <w:t xml:space="preserve"> </w:t>
      </w:r>
    </w:p>
    <w:p w14:paraId="6742CB81" w14:textId="77777777" w:rsidR="00AD77EE" w:rsidRDefault="00767CD4" w:rsidP="00767CD4">
      <w:pPr>
        <w:spacing w:after="0"/>
        <w:ind w:left="0" w:firstLine="0"/>
      </w:pPr>
      <w:r>
        <w:tab/>
      </w:r>
      <w:r w:rsidR="00055B76">
        <w:t>The review identified the utilisation of various research approaches within the research methodology context</w:t>
      </w:r>
      <w:r w:rsidR="00AD77EE">
        <w:t xml:space="preserve">. However, the </w:t>
      </w:r>
      <w:r w:rsidR="00055B76">
        <w:t xml:space="preserve">mixed-method approach was the predominant method employed in investigating stakeholder </w:t>
      </w:r>
      <w:r w:rsidR="0037259C">
        <w:t>participation</w:t>
      </w:r>
      <w:r w:rsidR="00055B76">
        <w:t>, forest conservation, and associated challenges</w:t>
      </w:r>
      <w:r w:rsidR="00AD77EE">
        <w:t xml:space="preserve">. While one study adopted an exploratory sequential mixed-method, qualitative approaches were also prevalent in studies aiming to unveil </w:t>
      </w:r>
      <w:r w:rsidR="00CE750A">
        <w:t>stakeholders' roles, responsibilities, benefits, and challenge</w:t>
      </w:r>
      <w:r w:rsidR="00AD77EE">
        <w:t xml:space="preserve">s. Quantitative approaches were predominantly </w:t>
      </w:r>
      <w:r w:rsidR="00CE750A">
        <w:t>employed</w:t>
      </w:r>
      <w:r w:rsidR="00AD77EE">
        <w:t xml:space="preserve"> in studies focused on gauging participation levels or factors enhancing participation.</w:t>
      </w:r>
    </w:p>
    <w:p w14:paraId="0885F2BA" w14:textId="2FEF53EE" w:rsidR="008701B3" w:rsidRDefault="00767CD4" w:rsidP="00767CD4">
      <w:pPr>
        <w:spacing w:after="0"/>
        <w:ind w:left="0" w:firstLine="0"/>
      </w:pPr>
      <w:r>
        <w:tab/>
      </w:r>
      <w:r w:rsidR="00AD77EE">
        <w:t>Regarding data sources, both secondary and primary data were employed across all reviewed studies. Questionnaires, interview schedules, interview guides, and focus group discussion guides served as the tools for data collection.</w:t>
      </w:r>
      <w:r w:rsidR="007E5049">
        <w:t xml:space="preserve"> </w:t>
      </w:r>
      <w:r w:rsidR="00AD77EE">
        <w:t>The primary data collection methods involved intervie</w:t>
      </w:r>
      <w:r>
        <w:t xml:space="preserve">ws and focus group discussions. </w:t>
      </w:r>
      <w:r w:rsidR="00C45AD2">
        <w:t xml:space="preserve">The qualitative data analytical tool for a host of the studies </w:t>
      </w:r>
      <w:r w:rsidR="00C45AD2">
        <w:lastRenderedPageBreak/>
        <w:t xml:space="preserve">was </w:t>
      </w:r>
      <w:r w:rsidR="00671E54">
        <w:t>t</w:t>
      </w:r>
      <w:r w:rsidR="00C45AD2">
        <w:t xml:space="preserve">hematic </w:t>
      </w:r>
      <w:r w:rsidR="00671E54">
        <w:t>a</w:t>
      </w:r>
      <w:r w:rsidR="00C45AD2">
        <w:t>nalysis</w:t>
      </w:r>
      <w:r w:rsidR="00CE750A">
        <w:t xml:space="preserve">, with others adopting </w:t>
      </w:r>
      <w:r w:rsidR="000F4FD1">
        <w:t>document review</w:t>
      </w:r>
      <w:r w:rsidR="00CE750A">
        <w:t xml:space="preserve"> and two studies employing discourse analysis and time series analysis</w:t>
      </w:r>
      <w:r w:rsidR="00C45AD2">
        <w:t xml:space="preserve">. The </w:t>
      </w:r>
      <w:r w:rsidR="00671E54">
        <w:t>q</w:t>
      </w:r>
      <w:r w:rsidR="00C45AD2">
        <w:t xml:space="preserve">uantitative analytical tools for </w:t>
      </w:r>
      <w:r w:rsidR="00CE750A">
        <w:t>most</w:t>
      </w:r>
      <w:r w:rsidR="00C45AD2">
        <w:t xml:space="preserve"> of the reviewed data were </w:t>
      </w:r>
      <w:r w:rsidR="00671E54">
        <w:t>d</w:t>
      </w:r>
      <w:r w:rsidR="00C45AD2">
        <w:t xml:space="preserve">escriptive statistics such as percentages, frequencies and averages. It was observed from the empirical review that studies that set out to measure relationships usually used </w:t>
      </w:r>
      <w:r w:rsidR="00671E54">
        <w:t>h</w:t>
      </w:r>
      <w:r w:rsidR="00C45AD2">
        <w:t xml:space="preserve">ierarchical </w:t>
      </w:r>
      <w:r w:rsidR="00671E54">
        <w:t>m</w:t>
      </w:r>
      <w:r w:rsidR="00C45AD2">
        <w:t xml:space="preserve">ultiple </w:t>
      </w:r>
      <w:r w:rsidR="00671E54">
        <w:t>r</w:t>
      </w:r>
      <w:r w:rsidR="00C45AD2">
        <w:t xml:space="preserve">egression, </w:t>
      </w:r>
      <w:r w:rsidR="00671E54">
        <w:t>b</w:t>
      </w:r>
      <w:r w:rsidR="00C45AD2">
        <w:t xml:space="preserve">inary </w:t>
      </w:r>
      <w:r w:rsidR="00671E54">
        <w:t>l</w:t>
      </w:r>
      <w:r w:rsidR="00C45AD2">
        <w:t xml:space="preserve">ogistic </w:t>
      </w:r>
      <w:r w:rsidR="00671E54">
        <w:t>r</w:t>
      </w:r>
      <w:r w:rsidR="00C45AD2">
        <w:t xml:space="preserve">egression, </w:t>
      </w:r>
      <w:r w:rsidR="00671E54">
        <w:t>p</w:t>
      </w:r>
      <w:r w:rsidR="00C45AD2">
        <w:t xml:space="preserve">robit </w:t>
      </w:r>
      <w:r w:rsidR="00671E54">
        <w:t>a</w:t>
      </w:r>
      <w:r w:rsidR="00C45AD2">
        <w:t xml:space="preserve">nalysis or </w:t>
      </w:r>
      <w:r w:rsidR="00671E54">
        <w:t>f</w:t>
      </w:r>
      <w:r w:rsidR="00C45AD2">
        <w:t xml:space="preserve">ractional </w:t>
      </w:r>
      <w:r w:rsidR="00671E54">
        <w:t>r</w:t>
      </w:r>
      <w:r w:rsidR="00C45AD2">
        <w:t xml:space="preserve">egression </w:t>
      </w:r>
      <w:r w:rsidR="00671E54">
        <w:t>m</w:t>
      </w:r>
      <w:r w:rsidR="00C45AD2">
        <w:t xml:space="preserve">odel. </w:t>
      </w:r>
    </w:p>
    <w:p w14:paraId="15BD7B67" w14:textId="77777777" w:rsidR="00C45AD2" w:rsidRDefault="00767CD4" w:rsidP="008F7D23">
      <w:pPr>
        <w:spacing w:after="0"/>
        <w:ind w:left="0" w:firstLine="0"/>
      </w:pPr>
      <w:r>
        <w:tab/>
      </w:r>
      <w:r w:rsidR="00C45AD2" w:rsidRPr="008758F0">
        <w:t>Arnstein</w:t>
      </w:r>
      <w:r w:rsidR="00C45AD2">
        <w:t xml:space="preserve"> (1969) argue</w:t>
      </w:r>
      <w:r w:rsidR="008701B3">
        <w:t>d</w:t>
      </w:r>
      <w:r w:rsidR="00C45AD2">
        <w:t xml:space="preserve"> that participation can be categorised into three</w:t>
      </w:r>
      <w:r w:rsidR="00CE750A">
        <w:t>:</w:t>
      </w:r>
      <w:r w:rsidR="00C45AD2">
        <w:t xml:space="preserve"> non-participation, degrees of tokenism and degrees of citizen power. Therefore, the study will adopt a Multinomial Logistic Regression since it allows for a dependent variable with more than two categories.  </w:t>
      </w:r>
    </w:p>
    <w:p w14:paraId="2133C9E1" w14:textId="77777777" w:rsidR="00FA4792" w:rsidRPr="00FA4792" w:rsidRDefault="00487F3A" w:rsidP="00772DAC">
      <w:pPr>
        <w:pStyle w:val="Heading2"/>
        <w:ind w:left="0"/>
      </w:pPr>
      <w:bookmarkStart w:id="222" w:name="_Toc202197632"/>
      <w:r>
        <w:t>Conceptual Framework</w:t>
      </w:r>
      <w:bookmarkEnd w:id="222"/>
      <w:r>
        <w:t xml:space="preserve"> </w:t>
      </w:r>
    </w:p>
    <w:p w14:paraId="5AD47DB3" w14:textId="77777777" w:rsidR="008047B6" w:rsidRDefault="00767CD4" w:rsidP="00767CD4">
      <w:pPr>
        <w:spacing w:after="0"/>
        <w:ind w:left="0" w:firstLine="0"/>
      </w:pPr>
      <w:r>
        <w:tab/>
      </w:r>
      <w:r w:rsidR="008047B6">
        <w:t>A conceptual framework is defined by Miles and Huberman (1994)</w:t>
      </w:r>
      <w:r w:rsidR="00CE750A">
        <w:t xml:space="preserve"> as a framework that organi</w:t>
      </w:r>
      <w:r w:rsidR="007E5049">
        <w:t>s</w:t>
      </w:r>
      <w:r w:rsidR="00CE750A">
        <w:t>es, links or maps a set of concepts, variables, or both to explain a phenomenon or</w:t>
      </w:r>
      <w:r w:rsidR="008047B6">
        <w:t xml:space="preserve"> guide the investigation of a phenomenon. Trochim and Donnelly (2008) </w:t>
      </w:r>
      <w:r w:rsidR="008701B3">
        <w:t xml:space="preserve">also </w:t>
      </w:r>
      <w:r w:rsidR="008047B6">
        <w:t>define</w:t>
      </w:r>
      <w:r w:rsidR="008701B3">
        <w:t>d</w:t>
      </w:r>
      <w:r w:rsidR="008047B6">
        <w:t xml:space="preserve"> a conceptual framework as a set of interrelated concepts, definitions, and propositions that present a systematic view of phenomena by specifying relations among variables to explain and predict the phenomena.</w:t>
      </w:r>
    </w:p>
    <w:p w14:paraId="034C5257" w14:textId="4ED512D9" w:rsidR="003A22DE" w:rsidRDefault="00767CD4" w:rsidP="008F7D23">
      <w:pPr>
        <w:spacing w:after="0"/>
        <w:ind w:left="0" w:firstLine="0"/>
      </w:pPr>
      <w:r>
        <w:tab/>
      </w:r>
      <w:r w:rsidR="008047B6">
        <w:t xml:space="preserve">A conceptual framework is </w:t>
      </w:r>
      <w:r w:rsidR="00CE750A">
        <w:t>essential</w:t>
      </w:r>
      <w:r w:rsidR="008047B6">
        <w:t xml:space="preserve"> because it helps to clarify the researcher's understanding of the research problem and provides a roadmap for the study. It helps to define the key concepts and variables involved in the study and to identify the theoretical and empirical relationships between them. This can guide the selection of research methods and data analysis techniques and ensure the research is focused and coherent.</w:t>
      </w:r>
      <w:r w:rsidR="00D1731B">
        <w:t xml:space="preserve"> </w:t>
      </w:r>
      <w:r w:rsidR="005F0090">
        <w:t>The conceptual framework</w:t>
      </w:r>
      <w:r w:rsidR="006A7FDB">
        <w:t xml:space="preserve"> is </w:t>
      </w:r>
      <w:r w:rsidR="006A7FDB">
        <w:lastRenderedPageBreak/>
        <w:t xml:space="preserve">adapted from Ostrom’s (2005) </w:t>
      </w:r>
      <w:r w:rsidR="00AB04B3">
        <w:t>Institutional Analysis and Development Framework (IAD)</w:t>
      </w:r>
      <w:r w:rsidR="00E75989">
        <w:t xml:space="preserve">. </w:t>
      </w:r>
    </w:p>
    <w:p w14:paraId="59F6CB76" w14:textId="72EDD46A" w:rsidR="00E75989" w:rsidRPr="00E75989" w:rsidRDefault="00E75989" w:rsidP="00F2480C">
      <w:pPr>
        <w:pStyle w:val="Heading2"/>
        <w:spacing w:before="0"/>
        <w:ind w:left="0"/>
      </w:pPr>
      <w:bookmarkStart w:id="223" w:name="_Toc202197633"/>
      <w:r>
        <w:t>Institutional Analysis Development Framework (IAD)</w:t>
      </w:r>
      <w:bookmarkEnd w:id="223"/>
    </w:p>
    <w:p w14:paraId="301D1783" w14:textId="58A8948B" w:rsidR="008F7D23" w:rsidRDefault="00325847" w:rsidP="00F2480C">
      <w:pPr>
        <w:spacing w:after="0"/>
        <w:ind w:left="0"/>
        <w:rPr>
          <w:rFonts w:eastAsia="Times New Roman" w:cs="Times New Roman"/>
        </w:rPr>
      </w:pPr>
      <w:r w:rsidRPr="00980C9D">
        <w:rPr>
          <w:rFonts w:eastAsia="Times New Roman" w:cs="Times New Roman"/>
        </w:rPr>
        <w:t>Ostrom's (2005) Institutional Analysis and Development framework (IAD), formalised in the mid-2000s, provides a structured approach to studying how institutions shape human behaviour and resource governance (Ostrom, 2019). It centres on an "action arena," where participants interact within constraints defined by rules, physical conditions, and community attributes. The framework analyses operational, collective-choice, and constitutional decision-making tiers, emphasising how institutional configurations influence incentives and outcomes in commons management. Key components include seven variables characterising action situations (participants, positions, outcomes) and four actor attributes (resources, valuations, knowledge processes, and decision-making strategies). Ostrom's work aimed to create a meta-language for cross-disciplinary analysis, particularly for common-pool resources, by integrating game-theoretic principles with empirical observations of self-governing systems (</w:t>
      </w:r>
      <w:r w:rsidRPr="00980C9D">
        <w:rPr>
          <w:rFonts w:cs="Times New Roman"/>
        </w:rPr>
        <w:t>Whaley, 2018)</w:t>
      </w:r>
      <w:r w:rsidRPr="00980C9D">
        <w:rPr>
          <w:rFonts w:eastAsia="Times New Roman" w:cs="Times New Roman"/>
        </w:rPr>
        <w:t>.</w:t>
      </w:r>
      <w:r w:rsidR="00021D4D">
        <w:rPr>
          <w:rFonts w:eastAsia="Times New Roman" w:cs="Times New Roman"/>
        </w:rPr>
        <w:t xml:space="preserve"> The IAD is presented in Figure 6. </w:t>
      </w:r>
    </w:p>
    <w:p w14:paraId="56578477" w14:textId="77777777" w:rsidR="008F7D23" w:rsidRDefault="008F7D23" w:rsidP="008F7D23">
      <w:pPr>
        <w:pStyle w:val="BodyText"/>
      </w:pPr>
      <w:r>
        <w:br w:type="page"/>
      </w:r>
    </w:p>
    <w:p w14:paraId="59C2B44D" w14:textId="7F1A6198" w:rsidR="00021D4D" w:rsidRDefault="00021D4D" w:rsidP="00021D4D">
      <w:pPr>
        <w:spacing w:before="100" w:beforeAutospacing="1" w:after="100" w:afterAutospacing="1"/>
        <w:ind w:left="0" w:firstLine="0"/>
        <w:rPr>
          <w:rFonts w:eastAsia="Times New Roman" w:cs="Times New Roman"/>
        </w:rPr>
      </w:pPr>
      <w:r>
        <w:rPr>
          <w:rFonts w:eastAsia="Times New Roman" w:cs="Times New Roman"/>
          <w:noProof/>
          <w:lang w:val="en-US"/>
        </w:rPr>
        <w:lastRenderedPageBreak/>
        <w:drawing>
          <wp:inline distT="0" distB="0" distL="0" distR="0" wp14:anchorId="321EFF8D" wp14:editId="51DB277C">
            <wp:extent cx="5199878" cy="2617076"/>
            <wp:effectExtent l="0" t="0" r="1270" b="0"/>
            <wp:docPr id="5457281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728145" name="Picture 545728145"/>
                    <pic:cNvPicPr/>
                  </pic:nvPicPr>
                  <pic:blipFill>
                    <a:blip r:embed="rId20">
                      <a:extLst>
                        <a:ext uri="{28A0092B-C50C-407E-A947-70E740481C1C}">
                          <a14:useLocalDpi xmlns:a14="http://schemas.microsoft.com/office/drawing/2010/main" val="0"/>
                        </a:ext>
                      </a:extLst>
                    </a:blip>
                    <a:stretch>
                      <a:fillRect/>
                    </a:stretch>
                  </pic:blipFill>
                  <pic:spPr>
                    <a:xfrm>
                      <a:off x="0" y="0"/>
                      <a:ext cx="5200177" cy="2617227"/>
                    </a:xfrm>
                    <a:prstGeom prst="rect">
                      <a:avLst/>
                    </a:prstGeom>
                  </pic:spPr>
                </pic:pic>
              </a:graphicData>
            </a:graphic>
          </wp:inline>
        </w:drawing>
      </w:r>
    </w:p>
    <w:p w14:paraId="1A8AF98D" w14:textId="583C8128" w:rsidR="00021D4D" w:rsidRDefault="00021D4D" w:rsidP="007661B9">
      <w:pPr>
        <w:pStyle w:val="Heading3"/>
        <w:ind w:left="0" w:firstLine="0"/>
      </w:pPr>
      <w:bookmarkStart w:id="224" w:name="_Toc202196563"/>
      <w:bookmarkStart w:id="225" w:name="_Toc202197634"/>
      <w:r w:rsidRPr="001516BF">
        <w:rPr>
          <w:b/>
          <w:bCs/>
          <w:i/>
        </w:rPr>
        <w:t>Figure 6</w:t>
      </w:r>
      <w:r w:rsidRPr="001516BF">
        <w:rPr>
          <w:b/>
          <w:bCs/>
        </w:rPr>
        <w:t>: IAD framework components</w:t>
      </w:r>
      <w:r>
        <w:t>.</w:t>
      </w:r>
      <w:bookmarkEnd w:id="224"/>
      <w:bookmarkEnd w:id="225"/>
    </w:p>
    <w:p w14:paraId="14FEFB9C" w14:textId="7C3061DA" w:rsidR="00021D4D" w:rsidRPr="00021D4D" w:rsidRDefault="00021D4D" w:rsidP="00115CDD">
      <w:pPr>
        <w:pStyle w:val="BodyText"/>
        <w:spacing w:after="0"/>
        <w:ind w:left="0" w:firstLine="0"/>
      </w:pPr>
      <w:r>
        <w:t xml:space="preserve">Source: Ostrom, 2005.  </w:t>
      </w:r>
    </w:p>
    <w:p w14:paraId="671BD288" w14:textId="222775FB" w:rsidR="00325847" w:rsidRPr="00980C9D" w:rsidRDefault="00325847" w:rsidP="008F7D23">
      <w:pPr>
        <w:spacing w:after="0"/>
        <w:ind w:left="0"/>
        <w:rPr>
          <w:rFonts w:eastAsia="Times New Roman" w:cs="Times New Roman"/>
        </w:rPr>
      </w:pPr>
      <w:r w:rsidRPr="00980C9D">
        <w:rPr>
          <w:rFonts w:eastAsia="Times New Roman" w:cs="Times New Roman"/>
        </w:rPr>
        <w:t>Critiques of the IAD framework emerge from critical institutionalism, which argues that Ostrom's approach oversimplifies social complexity by prioritising formal rules and rational-choice models. Scholars like Cleaver (2012) contend that mainstream institutionalism neglects power dynamics, historical legacies, and the "messy" interplay between norms and practices. The framework's game-theoretic foundations are criticised for reducing institutions to static, decontextualised structures rather than dynamic processes embedded in cultural and material relations. Additionally, its distinction between rules and norms is seen as artificial, with Hodgson (2006) noting the difficulty of maintaining clear boundaries between these concepts in practice. Critics argue this leads to an incomplete understanding of how informal practices and tacit power structures shape governance outcomes.</w:t>
      </w:r>
    </w:p>
    <w:p w14:paraId="13C39CEE" w14:textId="77777777" w:rsidR="00325847" w:rsidRPr="00980C9D" w:rsidRDefault="00325847" w:rsidP="008F7D23">
      <w:pPr>
        <w:spacing w:after="0"/>
        <w:ind w:left="0"/>
        <w:rPr>
          <w:rFonts w:eastAsia="Times New Roman" w:cs="Times New Roman"/>
        </w:rPr>
      </w:pPr>
      <w:r w:rsidRPr="00980C9D">
        <w:rPr>
          <w:rFonts w:eastAsia="Times New Roman" w:cs="Times New Roman"/>
        </w:rPr>
        <w:t xml:space="preserve">To address the critiques of the IAD and enhance its applicability to the study of stakeholder collaboration and sustainable community-based forestry, </w:t>
      </w:r>
      <w:r w:rsidRPr="00980C9D">
        <w:rPr>
          <w:rFonts w:eastAsia="Times New Roman" w:cs="Times New Roman"/>
        </w:rPr>
        <w:lastRenderedPageBreak/>
        <w:t xml:space="preserve">the study integrated Naito's (2003) flow of management process, which offers three key advantages. </w:t>
      </w:r>
    </w:p>
    <w:p w14:paraId="52681134" w14:textId="77777777" w:rsidR="00325847" w:rsidRPr="00980C9D" w:rsidRDefault="00325847" w:rsidP="00F2480C">
      <w:pPr>
        <w:spacing w:after="0"/>
        <w:ind w:left="0"/>
        <w:rPr>
          <w:rFonts w:eastAsia="Times New Roman" w:cs="Times New Roman"/>
        </w:rPr>
      </w:pPr>
      <w:r w:rsidRPr="00980C9D">
        <w:rPr>
          <w:rFonts w:eastAsia="Times New Roman" w:cs="Times New Roman"/>
        </w:rPr>
        <w:t>Firstly, the IAD framework's focus on formal rules and structured action arenas often overlooks stakeholder interactions' dynamic, iterative nature. Still, Naito's process-oriented approach introduces cyclical feedback loops, enabling continuous adaptation of management strategies based on real-time stakeholder input and changing ecological conditions (Polski &amp; Ostrom, 1999). This integration aligns with critiques that IAD underestimates informal power dynamics and historical path dependencies, allowing studies to track how collaborative decisions evolve through negotiations rather than remaining fixed by initial institutional designs (Cole, Epstein, &amp; McGinnis, 2019).</w:t>
      </w:r>
    </w:p>
    <w:p w14:paraId="7D68E150" w14:textId="77777777" w:rsidR="00325847" w:rsidRPr="00980C9D" w:rsidRDefault="00325847" w:rsidP="00F2480C">
      <w:pPr>
        <w:spacing w:after="0"/>
        <w:ind w:left="0"/>
        <w:rPr>
          <w:rFonts w:eastAsia="Times New Roman" w:cs="Times New Roman"/>
        </w:rPr>
      </w:pPr>
      <w:r w:rsidRPr="00980C9D">
        <w:rPr>
          <w:rFonts w:eastAsia="Times New Roman" w:cs="Times New Roman"/>
        </w:rPr>
        <w:t>Secondly, critics argue that IAD's rational-choice foundations prioritise institutional "rules-in-use" over equitable participation. Here, Naito's (2003) model emphasises phased stakeholder engagement—from problem identification to implementation—ensuring marginalised groups influence decision-making. For example, Naito highlights transparency and mutual responsiveness as critical for effective collaboration, which is operationalised through structured dialogues, addressing IAD's gap in analysing how power asymmetries (e.g., between governments and local communities) shape resource outcomes (</w:t>
      </w:r>
      <w:proofErr w:type="spellStart"/>
      <w:r w:rsidRPr="00980C9D">
        <w:rPr>
          <w:rFonts w:eastAsia="Times New Roman" w:cs="Times New Roman"/>
        </w:rPr>
        <w:t>Berebon</w:t>
      </w:r>
      <w:proofErr w:type="spellEnd"/>
      <w:r w:rsidRPr="00980C9D">
        <w:rPr>
          <w:rFonts w:eastAsia="Times New Roman" w:cs="Times New Roman"/>
        </w:rPr>
        <w:t xml:space="preserve"> &amp; </w:t>
      </w:r>
      <w:proofErr w:type="spellStart"/>
      <w:r w:rsidRPr="00980C9D">
        <w:rPr>
          <w:rFonts w:eastAsia="Times New Roman" w:cs="Times New Roman"/>
        </w:rPr>
        <w:t>Sorbarikor</w:t>
      </w:r>
      <w:proofErr w:type="spellEnd"/>
      <w:r w:rsidRPr="00980C9D">
        <w:rPr>
          <w:rFonts w:eastAsia="Times New Roman" w:cs="Times New Roman"/>
        </w:rPr>
        <w:t>, 2020).</w:t>
      </w:r>
    </w:p>
    <w:p w14:paraId="24E72860" w14:textId="2F24041F" w:rsidR="008047B6" w:rsidRDefault="00325847" w:rsidP="00F2480C">
      <w:pPr>
        <w:spacing w:after="0"/>
        <w:ind w:left="0"/>
      </w:pPr>
      <w:r w:rsidRPr="00980C9D">
        <w:rPr>
          <w:rFonts w:eastAsia="Times New Roman" w:cs="Times New Roman"/>
        </w:rPr>
        <w:t xml:space="preserve">Finally, Naito's (2003) management flow introduces multi-scalar coordination mechanisms, such as iterative planning across management tiers (local to national), which is identified as vital for cross-sectoral forestry initiatives. By mapping how rules and incentives propagate across scales, this hybrid model mitigates conflicts like boundary disputes and ensures alignment </w:t>
      </w:r>
      <w:r w:rsidRPr="00980C9D">
        <w:rPr>
          <w:rFonts w:eastAsia="Times New Roman" w:cs="Times New Roman"/>
        </w:rPr>
        <w:lastRenderedPageBreak/>
        <w:t>between community priorities and regional conservation goals, which the IAD framework struggles to reconcile local-level action arenas with broader socio-political systems (Cole, Epstein, &amp; McGinnis, 2019).</w:t>
      </w:r>
      <w:r w:rsidR="00B1264A">
        <w:rPr>
          <w:rFonts w:eastAsia="Times New Roman" w:cs="Times New Roman"/>
        </w:rPr>
        <w:t xml:space="preserve"> </w:t>
      </w:r>
      <w:r w:rsidR="00D1731B">
        <w:t xml:space="preserve">The conceptual framework for the study is presented in Figure </w:t>
      </w:r>
      <w:r w:rsidR="00B1264A">
        <w:t>7</w:t>
      </w:r>
      <w:r w:rsidR="00D1731B">
        <w:t>.</w:t>
      </w:r>
    </w:p>
    <w:p w14:paraId="5304B760" w14:textId="77777777" w:rsidR="00074089" w:rsidRDefault="00074089" w:rsidP="00074089">
      <w:pPr>
        <w:pStyle w:val="BodyText"/>
      </w:pPr>
    </w:p>
    <w:p w14:paraId="77537DF4" w14:textId="77777777" w:rsidR="00F2480C" w:rsidRDefault="00F2480C" w:rsidP="00074089">
      <w:pPr>
        <w:pStyle w:val="BodyText"/>
      </w:pPr>
    </w:p>
    <w:p w14:paraId="5913E7EF" w14:textId="77777777" w:rsidR="00F2480C" w:rsidRDefault="00F2480C" w:rsidP="00074089">
      <w:pPr>
        <w:pStyle w:val="BodyText"/>
      </w:pPr>
    </w:p>
    <w:p w14:paraId="6BB5A40C" w14:textId="77777777" w:rsidR="00F2480C" w:rsidRDefault="00F2480C" w:rsidP="00074089">
      <w:pPr>
        <w:pStyle w:val="BodyText"/>
      </w:pPr>
    </w:p>
    <w:p w14:paraId="3263539A" w14:textId="77777777" w:rsidR="00F2480C" w:rsidRDefault="00F2480C" w:rsidP="00074089">
      <w:pPr>
        <w:pStyle w:val="BodyText"/>
      </w:pPr>
    </w:p>
    <w:p w14:paraId="278AFC82" w14:textId="77777777" w:rsidR="00F2480C" w:rsidRDefault="00F2480C" w:rsidP="00074089">
      <w:pPr>
        <w:pStyle w:val="BodyText"/>
      </w:pPr>
    </w:p>
    <w:p w14:paraId="1A05DE98" w14:textId="77777777" w:rsidR="00F2480C" w:rsidRDefault="00F2480C" w:rsidP="00074089">
      <w:pPr>
        <w:pStyle w:val="BodyText"/>
      </w:pPr>
    </w:p>
    <w:p w14:paraId="6E393F1D" w14:textId="77777777" w:rsidR="00F2480C" w:rsidRDefault="00F2480C" w:rsidP="00074089">
      <w:pPr>
        <w:pStyle w:val="BodyText"/>
      </w:pPr>
    </w:p>
    <w:p w14:paraId="253729D5" w14:textId="77777777" w:rsidR="00F2480C" w:rsidRDefault="00F2480C" w:rsidP="00074089">
      <w:pPr>
        <w:pStyle w:val="BodyText"/>
      </w:pPr>
    </w:p>
    <w:p w14:paraId="504C923D" w14:textId="77777777" w:rsidR="00F2480C" w:rsidRDefault="00F2480C" w:rsidP="00074089">
      <w:pPr>
        <w:pStyle w:val="BodyText"/>
      </w:pPr>
    </w:p>
    <w:p w14:paraId="24932167" w14:textId="77777777" w:rsidR="00F2480C" w:rsidRDefault="00F2480C" w:rsidP="00074089">
      <w:pPr>
        <w:pStyle w:val="BodyText"/>
      </w:pPr>
    </w:p>
    <w:p w14:paraId="3B752DD5" w14:textId="77777777" w:rsidR="00F2480C" w:rsidRDefault="00F2480C" w:rsidP="00074089">
      <w:pPr>
        <w:pStyle w:val="BodyText"/>
      </w:pPr>
    </w:p>
    <w:p w14:paraId="6B9308C9" w14:textId="77777777" w:rsidR="00F2480C" w:rsidRDefault="00F2480C" w:rsidP="00074089">
      <w:pPr>
        <w:pStyle w:val="BodyText"/>
        <w:sectPr w:rsidR="00F2480C" w:rsidSect="0081629E">
          <w:pgSz w:w="11906" w:h="16838" w:code="9"/>
          <w:pgMar w:top="1440" w:right="1440" w:bottom="1440" w:left="2880" w:header="720" w:footer="720" w:gutter="0"/>
          <w:pgNumType w:start="1"/>
          <w:cols w:space="720"/>
          <w:titlePg/>
          <w:docGrid w:linePitch="360"/>
        </w:sectPr>
      </w:pPr>
    </w:p>
    <w:p w14:paraId="76FBC92B" w14:textId="1DA2AE8F" w:rsidR="00AF1A06" w:rsidRDefault="002F40EB" w:rsidP="00772DAC">
      <w:pPr>
        <w:pStyle w:val="Heading2"/>
        <w:ind w:left="0"/>
      </w:pPr>
      <w:bookmarkStart w:id="226" w:name="_Toc172102372"/>
      <w:bookmarkStart w:id="227" w:name="_Toc197068814"/>
      <w:bookmarkStart w:id="228" w:name="_Toc199164924"/>
      <w:bookmarkStart w:id="229" w:name="_Toc202197635"/>
      <w:bookmarkStart w:id="230" w:name="_Hlk100646453"/>
      <w:bookmarkStart w:id="231" w:name="_Hlk100646249"/>
      <w:r>
        <w:rPr>
          <w:noProof/>
          <w:lang w:val="en-US"/>
        </w:rPr>
        <w:lastRenderedPageBreak/>
        <w:drawing>
          <wp:inline distT="0" distB="0" distL="0" distR="0" wp14:anchorId="01D5CB45" wp14:editId="5B9A43CB">
            <wp:extent cx="8198069" cy="4445876"/>
            <wp:effectExtent l="0" t="0" r="0" b="0"/>
            <wp:docPr id="14924894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202249" cy="4448143"/>
                    </a:xfrm>
                    <a:prstGeom prst="rect">
                      <a:avLst/>
                    </a:prstGeom>
                    <a:noFill/>
                    <a:ln>
                      <a:noFill/>
                    </a:ln>
                  </pic:spPr>
                </pic:pic>
              </a:graphicData>
            </a:graphic>
          </wp:inline>
        </w:drawing>
      </w:r>
      <w:bookmarkEnd w:id="226"/>
      <w:bookmarkEnd w:id="227"/>
      <w:bookmarkEnd w:id="228"/>
      <w:bookmarkEnd w:id="229"/>
    </w:p>
    <w:p w14:paraId="34617B05" w14:textId="3B3C8869" w:rsidR="00074089" w:rsidRDefault="00140D7B" w:rsidP="00F2480C">
      <w:pPr>
        <w:pStyle w:val="Heading3"/>
        <w:spacing w:before="0" w:line="240" w:lineRule="auto"/>
        <w:ind w:left="0" w:firstLine="0"/>
      </w:pPr>
      <w:bookmarkStart w:id="232" w:name="_Toc155175873"/>
      <w:bookmarkStart w:id="233" w:name="_Toc161749062"/>
      <w:bookmarkStart w:id="234" w:name="_Toc161750323"/>
      <w:bookmarkStart w:id="235" w:name="_Toc163253992"/>
      <w:bookmarkStart w:id="236" w:name="_Toc172102373"/>
      <w:bookmarkStart w:id="237" w:name="_Toc197068815"/>
      <w:bookmarkStart w:id="238" w:name="_Toc199164925"/>
      <w:bookmarkStart w:id="239" w:name="_Toc202196564"/>
      <w:bookmarkStart w:id="240" w:name="_Toc202197636"/>
      <w:bookmarkStart w:id="241" w:name="_Hlk129180592"/>
      <w:r>
        <w:rPr>
          <w:b/>
          <w:i/>
        </w:rPr>
        <w:t xml:space="preserve">Figure </w:t>
      </w:r>
      <w:r w:rsidR="00021D4D">
        <w:rPr>
          <w:b/>
          <w:i/>
        </w:rPr>
        <w:t>7</w:t>
      </w:r>
      <w:r w:rsidR="00074089" w:rsidRPr="00E73A56">
        <w:rPr>
          <w:b/>
        </w:rPr>
        <w:t xml:space="preserve">: </w:t>
      </w:r>
      <w:bookmarkEnd w:id="232"/>
      <w:r w:rsidR="00074089" w:rsidRPr="00E73A56">
        <w:rPr>
          <w:b/>
        </w:rPr>
        <w:t xml:space="preserve">Conceptual </w:t>
      </w:r>
      <w:r w:rsidR="00E73A56" w:rsidRPr="00E73A56">
        <w:rPr>
          <w:b/>
        </w:rPr>
        <w:t xml:space="preserve">Framework </w:t>
      </w:r>
      <w:r w:rsidR="00074089" w:rsidRPr="00E73A56">
        <w:rPr>
          <w:b/>
        </w:rPr>
        <w:t xml:space="preserve">for </w:t>
      </w:r>
      <w:r w:rsidR="00E73A56" w:rsidRPr="00E73A56">
        <w:rPr>
          <w:b/>
        </w:rPr>
        <w:t>Sustainable Community-Based Forestry</w:t>
      </w:r>
      <w:r w:rsidR="00074089">
        <w:t>.</w:t>
      </w:r>
      <w:bookmarkEnd w:id="233"/>
      <w:bookmarkEnd w:id="234"/>
      <w:bookmarkEnd w:id="235"/>
      <w:bookmarkEnd w:id="236"/>
      <w:bookmarkEnd w:id="237"/>
      <w:bookmarkEnd w:id="238"/>
      <w:bookmarkEnd w:id="239"/>
      <w:bookmarkEnd w:id="240"/>
    </w:p>
    <w:p w14:paraId="1AB94729" w14:textId="77777777" w:rsidR="00074089" w:rsidRPr="00767CD4" w:rsidRDefault="00074089" w:rsidP="00074089">
      <w:pPr>
        <w:pStyle w:val="BodyText"/>
        <w:ind w:left="0" w:firstLine="0"/>
      </w:pPr>
      <w:r>
        <w:t>Source: Adapted from Ostrom (2005) and Naito (2003).</w:t>
      </w:r>
    </w:p>
    <w:bookmarkEnd w:id="241"/>
    <w:p w14:paraId="50EBA94A" w14:textId="77777777" w:rsidR="002D3FB5" w:rsidRDefault="002D3FB5" w:rsidP="00772DAC">
      <w:pPr>
        <w:pStyle w:val="BodyText"/>
        <w:ind w:left="0" w:firstLine="0"/>
        <w:rPr>
          <w:noProof/>
        </w:rPr>
        <w:sectPr w:rsidR="002D3FB5" w:rsidSect="0081629E">
          <w:pgSz w:w="16838" w:h="11906" w:orient="landscape" w:code="9"/>
          <w:pgMar w:top="2340" w:right="1440" w:bottom="1440" w:left="1440" w:header="720" w:footer="720" w:gutter="0"/>
          <w:cols w:space="720"/>
          <w:docGrid w:linePitch="360"/>
        </w:sectPr>
      </w:pPr>
    </w:p>
    <w:p w14:paraId="7BCA5AF7" w14:textId="7BA9186D" w:rsidR="00254B64" w:rsidRDefault="00254B64" w:rsidP="00254B64">
      <w:pPr>
        <w:spacing w:after="0"/>
        <w:ind w:left="0"/>
      </w:pPr>
      <w:bookmarkStart w:id="242" w:name="_Hlk100648494"/>
      <w:bookmarkEnd w:id="230"/>
      <w:r>
        <w:lastRenderedPageBreak/>
        <w:t>Th</w:t>
      </w:r>
      <w:r w:rsidR="005432A0">
        <w:t xml:space="preserve">e conceptual framework (figure </w:t>
      </w:r>
      <w:r w:rsidR="00BF1626">
        <w:t>7</w:t>
      </w:r>
      <w:r>
        <w:t xml:space="preserve">) was an adaptation of the Institutional Analysis and Development Framework by Ostrom (2005) and the flow of the management process of Naito (2003). It traces its origins to the general systems approach to policy processes, whereby stakeholders process inputs into outputs </w:t>
      </w:r>
      <w:r w:rsidR="00C534C2">
        <w:t>with</w:t>
      </w:r>
      <w:r>
        <w:t xml:space="preserve"> feedback effects. </w:t>
      </w:r>
    </w:p>
    <w:p w14:paraId="4F83CE99" w14:textId="0D747E5B" w:rsidR="00B1264A" w:rsidRDefault="00254B64" w:rsidP="00254B64">
      <w:pPr>
        <w:spacing w:after="0"/>
        <w:ind w:left="0"/>
      </w:pPr>
      <w:r>
        <w:t>T</w:t>
      </w:r>
      <w:r w:rsidRPr="001B3656">
        <w:t xml:space="preserve">he input </w:t>
      </w:r>
      <w:r>
        <w:t xml:space="preserve">section </w:t>
      </w:r>
      <w:r w:rsidRPr="001B3656">
        <w:t>comprises contextual elements, such as community attributes</w:t>
      </w:r>
      <w:r>
        <w:t>, the forest management regime, challenges, dimensions of community participation, and the formality of rules encompassing</w:t>
      </w:r>
      <w:r w:rsidRPr="001B3656">
        <w:t xml:space="preserve"> all facets of the social, cultural, institutional, and physical surroundings. </w:t>
      </w:r>
      <w:r w:rsidR="00B1264A">
        <w:t xml:space="preserve">The management regime and formality of rules reflect the first and second objectives of this study that sought to examine the institutional arrangements that encourage stakeholder participation and the perceived sustainability of the resource management. On the other hand, dimensions of community participation and community attributes constitute objectives three and four, respectively. This study argued that these phenomena shape the collaboration in managing these reserves.  </w:t>
      </w:r>
    </w:p>
    <w:p w14:paraId="1D10A2D4" w14:textId="4FDD4022" w:rsidR="00254B64" w:rsidRDefault="00254B64" w:rsidP="00254B64">
      <w:pPr>
        <w:spacing w:after="0"/>
        <w:ind w:left="0"/>
      </w:pPr>
      <w:r w:rsidRPr="00C57851">
        <w:t>Ostrom</w:t>
      </w:r>
      <w:r>
        <w:t xml:space="preserve"> (2011) maintained that t</w:t>
      </w:r>
      <w:r w:rsidRPr="001B3656">
        <w:t xml:space="preserve">he </w:t>
      </w:r>
      <w:r>
        <w:t>management process</w:t>
      </w:r>
      <w:r w:rsidRPr="001B3656">
        <w:t xml:space="preserve"> represents the </w:t>
      </w:r>
      <w:r>
        <w:t>‘black box’</w:t>
      </w:r>
      <w:r w:rsidRPr="001B3656">
        <w:t xml:space="preserve"> within which policy decisions are formulated. </w:t>
      </w:r>
      <w:r>
        <w:t xml:space="preserve">The interaction of inputs with management processes gives rise to various </w:t>
      </w:r>
      <w:r w:rsidRPr="001B3656">
        <w:t>activities</w:t>
      </w:r>
      <w:r w:rsidR="00B1264A">
        <w:t xml:space="preserve"> and rules,</w:t>
      </w:r>
      <w:r w:rsidRPr="001B3656">
        <w:t xml:space="preserve"> including </w:t>
      </w:r>
      <w:r w:rsidR="00B1264A">
        <w:t xml:space="preserve">problem identification and solution finding, implementation and monitoring evaluation, and their guiding rules, which are critical to the Rational Choice Institutional Theory. An effective management process is envisaged to produce intermediate outcomes in the form of trust-building/reciprocity, commitment to the management process and shared understanding. The social exchange theory argues that reciprocity and shared </w:t>
      </w:r>
      <w:r w:rsidR="00C534C2">
        <w:t>knowledge</w:t>
      </w:r>
      <w:r w:rsidR="00B1264A">
        <w:t xml:space="preserve"> may result in community participation, accountability, and legitimacy of decisions. </w:t>
      </w:r>
    </w:p>
    <w:p w14:paraId="549C9D90" w14:textId="69F07272" w:rsidR="00254B64" w:rsidRDefault="00254B64" w:rsidP="00B1264A">
      <w:pPr>
        <w:spacing w:after="0"/>
        <w:ind w:left="0" w:firstLine="0"/>
      </w:pPr>
      <w:r>
        <w:lastRenderedPageBreak/>
        <w:tab/>
        <w:t xml:space="preserve"> </w:t>
      </w:r>
      <w:r w:rsidR="00B1264A">
        <w:t xml:space="preserve">Furthermore, when the community participates in managing the forest, and there is accountability coupled with the legitimacy of decisions, can lead to sustainable community-based forest management characterised by the presence of the sustenance of the forest’s productive capacity, biological diversity, socioeconomic functions and the presence of local institutions that encourage community participation. </w:t>
      </w:r>
      <w:r>
        <w:t>Finally,</w:t>
      </w:r>
      <w:r w:rsidRPr="001B3656">
        <w:t xml:space="preserve"> </w:t>
      </w:r>
      <w:r>
        <w:t>a feedback loop and adaptable learning have the potential to influence</w:t>
      </w:r>
      <w:r w:rsidRPr="001B3656">
        <w:t xml:space="preserve"> the input and </w:t>
      </w:r>
      <w:r>
        <w:t>management processes to ensure their improvement.</w:t>
      </w:r>
    </w:p>
    <w:p w14:paraId="394975A8" w14:textId="77777777" w:rsidR="00C534C2" w:rsidRDefault="00C534C2" w:rsidP="00C534C2">
      <w:pPr>
        <w:ind w:left="0" w:firstLine="0"/>
      </w:pPr>
      <w:r>
        <w:tab/>
        <w:t xml:space="preserve">The adapted conceptual framework combining Ostrom’s (2005) Institutional Analysis and Development Framework (IAD) and Naito’s (2003) collaboration process enhanced the study of stakeholder participation in sustainable community-based forestry by addressing institutional dynamics and collaborative governance gaps. The IAD framework’s focus </w:t>
      </w:r>
      <w:r w:rsidRPr="00C534C2">
        <w:rPr>
          <w:b/>
          <w:bCs/>
        </w:rPr>
        <w:t>o</w:t>
      </w:r>
      <w:r w:rsidRPr="00C534C2">
        <w:t>n</w:t>
      </w:r>
      <w:r w:rsidRPr="00C534C2">
        <w:rPr>
          <w:b/>
          <w:bCs/>
        </w:rPr>
        <w:t xml:space="preserve"> </w:t>
      </w:r>
      <w:r w:rsidRPr="00C534C2">
        <w:rPr>
          <w:rStyle w:val="Strong"/>
          <w:b w:val="0"/>
          <w:bCs w:val="0"/>
        </w:rPr>
        <w:t>rules, actors, and action arenas</w:t>
      </w:r>
      <w:r>
        <w:t xml:space="preserve"> systematically mapped how formal and informal local institutions shaped stakeholder interactions and resource outcomes. Integrating Naito’s collaboration process added a structured approach to stakeholder engagement, ensuring participatory decision-making and adaptive feedback loops, which are critical for resolving power imbalances and fostering trust in multi-actor settings.</w:t>
      </w:r>
    </w:p>
    <w:p w14:paraId="52337BA8" w14:textId="39069AD8" w:rsidR="00C534C2" w:rsidRDefault="00C534C2" w:rsidP="00C534C2">
      <w:pPr>
        <w:ind w:left="0"/>
      </w:pPr>
      <w:r>
        <w:t>By linking IAD’s institutional diagnostics with Naito’s (2003) process-oriented collaboration, the framework w</w:t>
      </w:r>
      <w:r w:rsidR="00BF1626">
        <w:t>ill</w:t>
      </w:r>
      <w:r>
        <w:t xml:space="preserve"> enable policymakers to design interventions that strengthen </w:t>
      </w:r>
      <w:r w:rsidRPr="00C534C2">
        <w:t xml:space="preserve">both </w:t>
      </w:r>
      <w:r w:rsidRPr="00C534C2">
        <w:rPr>
          <w:rStyle w:val="Strong"/>
          <w:b w:val="0"/>
          <w:bCs w:val="0"/>
        </w:rPr>
        <w:t>governance structures</w:t>
      </w:r>
      <w:r w:rsidRPr="00C534C2">
        <w:t xml:space="preserve"> (e.g., decentrali</w:t>
      </w:r>
      <w:r>
        <w:t>s</w:t>
      </w:r>
      <w:r w:rsidRPr="00C534C2">
        <w:t xml:space="preserve">ed decision-making) and </w:t>
      </w:r>
      <w:r w:rsidRPr="00C534C2">
        <w:rPr>
          <w:rStyle w:val="Strong"/>
          <w:b w:val="0"/>
          <w:bCs w:val="0"/>
        </w:rPr>
        <w:t>relational dynamics</w:t>
      </w:r>
      <w:r>
        <w:t xml:space="preserve"> (e.g., trust-building), fostering resilient and equitable forest management systems.</w:t>
      </w:r>
    </w:p>
    <w:p w14:paraId="56C77717" w14:textId="77777777" w:rsidR="00115CDD" w:rsidRDefault="00115CDD">
      <w:pPr>
        <w:spacing w:line="259" w:lineRule="auto"/>
        <w:ind w:left="0" w:firstLine="0"/>
        <w:jc w:val="left"/>
        <w:rPr>
          <w:rFonts w:eastAsiaTheme="majorEastAsia" w:cstheme="majorBidi"/>
          <w:b/>
          <w:caps/>
          <w:szCs w:val="32"/>
        </w:rPr>
      </w:pPr>
      <w:r>
        <w:br w:type="page"/>
      </w:r>
    </w:p>
    <w:p w14:paraId="6D26ED14" w14:textId="727D94EF" w:rsidR="002D3F5B" w:rsidRPr="00D123C4" w:rsidRDefault="00EA594F" w:rsidP="00D123C4">
      <w:pPr>
        <w:pStyle w:val="Heading1"/>
        <w:spacing w:before="0"/>
        <w:ind w:left="0"/>
      </w:pPr>
      <w:bookmarkStart w:id="243" w:name="_Toc202197637"/>
      <w:r w:rsidRPr="00D123C4">
        <w:lastRenderedPageBreak/>
        <w:t>Chapter four</w:t>
      </w:r>
      <w:bookmarkEnd w:id="243"/>
      <w:r w:rsidRPr="00D123C4">
        <w:t xml:space="preserve"> </w:t>
      </w:r>
    </w:p>
    <w:p w14:paraId="0961FE06" w14:textId="0E51B378" w:rsidR="00EA594F" w:rsidRPr="00D123C4" w:rsidRDefault="00EA594F" w:rsidP="00D123C4">
      <w:pPr>
        <w:pStyle w:val="Heading1"/>
        <w:spacing w:before="0"/>
        <w:ind w:left="0"/>
      </w:pPr>
      <w:bookmarkStart w:id="244" w:name="_Toc202197638"/>
      <w:bookmarkStart w:id="245" w:name="_Hlk195261257"/>
      <w:r w:rsidRPr="00D123C4">
        <w:t>methodology</w:t>
      </w:r>
      <w:bookmarkEnd w:id="244"/>
    </w:p>
    <w:p w14:paraId="0F5AD312" w14:textId="77777777" w:rsidR="00EA594F" w:rsidRPr="00EA594F" w:rsidRDefault="00EA594F" w:rsidP="00772DAC">
      <w:pPr>
        <w:pStyle w:val="Heading2"/>
        <w:ind w:left="0"/>
      </w:pPr>
      <w:bookmarkStart w:id="246" w:name="_Toc202197639"/>
      <w:bookmarkEnd w:id="245"/>
      <w:r>
        <w:t>Introduction</w:t>
      </w:r>
      <w:bookmarkEnd w:id="246"/>
    </w:p>
    <w:bookmarkEnd w:id="231"/>
    <w:bookmarkEnd w:id="242"/>
    <w:p w14:paraId="2A60176E" w14:textId="3A8B383A" w:rsidR="00A932AD" w:rsidRDefault="00767CD4" w:rsidP="00772DAC">
      <w:pPr>
        <w:ind w:left="0" w:firstLine="0"/>
        <w:rPr>
          <w:rFonts w:cs="Times New Roman"/>
          <w:szCs w:val="24"/>
        </w:rPr>
      </w:pPr>
      <w:r>
        <w:rPr>
          <w:rFonts w:cs="Times New Roman"/>
          <w:szCs w:val="24"/>
        </w:rPr>
        <w:tab/>
      </w:r>
      <w:r w:rsidR="00E631CE" w:rsidRPr="00A429E7">
        <w:rPr>
          <w:rFonts w:cs="Times New Roman"/>
          <w:szCs w:val="24"/>
        </w:rPr>
        <w:t xml:space="preserve">The methodology </w:t>
      </w:r>
      <w:r w:rsidR="00E631CE" w:rsidRPr="00FF5392">
        <w:t xml:space="preserve">is the overall strategy adopted </w:t>
      </w:r>
      <w:r w:rsidR="00E631CE">
        <w:t>to</w:t>
      </w:r>
      <w:r w:rsidR="00E631CE" w:rsidRPr="00FF5392">
        <w:t xml:space="preserve"> address the research questions or hypothesis</w:t>
      </w:r>
      <w:r w:rsidR="00E631CE">
        <w:rPr>
          <w:rFonts w:cs="Times New Roman"/>
          <w:szCs w:val="24"/>
        </w:rPr>
        <w:t xml:space="preserve">. </w:t>
      </w:r>
      <w:bookmarkStart w:id="247" w:name="_Hlk125024955"/>
      <w:r w:rsidR="00E631CE">
        <w:rPr>
          <w:rFonts w:cs="Times New Roman"/>
          <w:szCs w:val="24"/>
        </w:rPr>
        <w:t>The study examine</w:t>
      </w:r>
      <w:r w:rsidR="00D35C91">
        <w:rPr>
          <w:rFonts w:cs="Times New Roman"/>
          <w:szCs w:val="24"/>
        </w:rPr>
        <w:t>d</w:t>
      </w:r>
      <w:r w:rsidR="00E631CE">
        <w:rPr>
          <w:rFonts w:cs="Times New Roman"/>
          <w:szCs w:val="24"/>
        </w:rPr>
        <w:t xml:space="preserve"> stakeholder collaboration in sustainable </w:t>
      </w:r>
      <w:r w:rsidR="00103425">
        <w:rPr>
          <w:rFonts w:cs="Times New Roman"/>
          <w:szCs w:val="24"/>
        </w:rPr>
        <w:t>community-based</w:t>
      </w:r>
      <w:r w:rsidR="00487F3A">
        <w:rPr>
          <w:rFonts w:cs="Times New Roman"/>
          <w:szCs w:val="24"/>
        </w:rPr>
        <w:t xml:space="preserve"> </w:t>
      </w:r>
      <w:r w:rsidR="00E631CE">
        <w:rPr>
          <w:rFonts w:cs="Times New Roman"/>
          <w:szCs w:val="24"/>
        </w:rPr>
        <w:t xml:space="preserve">forestry in the Bobiri </w:t>
      </w:r>
      <w:r w:rsidR="0099187E">
        <w:rPr>
          <w:rFonts w:cs="Times New Roman"/>
          <w:szCs w:val="24"/>
        </w:rPr>
        <w:t xml:space="preserve">and Southern Scarp </w:t>
      </w:r>
      <w:r w:rsidR="002129FB">
        <w:rPr>
          <w:rFonts w:cs="Times New Roman"/>
          <w:szCs w:val="24"/>
        </w:rPr>
        <w:t>Forest</w:t>
      </w:r>
      <w:r w:rsidR="00E631CE">
        <w:rPr>
          <w:rFonts w:cs="Times New Roman"/>
          <w:szCs w:val="24"/>
        </w:rPr>
        <w:t xml:space="preserve"> Reserves in Ghana and adopt</w:t>
      </w:r>
      <w:r w:rsidR="00396FC6">
        <w:rPr>
          <w:rFonts w:cs="Times New Roman"/>
          <w:szCs w:val="24"/>
        </w:rPr>
        <w:t>ed</w:t>
      </w:r>
      <w:r w:rsidR="00E631CE">
        <w:rPr>
          <w:rFonts w:cs="Times New Roman"/>
          <w:szCs w:val="24"/>
        </w:rPr>
        <w:t xml:space="preserve"> a </w:t>
      </w:r>
      <w:r w:rsidR="002129FB">
        <w:rPr>
          <w:rFonts w:cs="Times New Roman"/>
          <w:szCs w:val="24"/>
        </w:rPr>
        <w:t>mixed-method</w:t>
      </w:r>
      <w:r w:rsidR="00E631CE">
        <w:rPr>
          <w:rFonts w:cs="Times New Roman"/>
          <w:szCs w:val="24"/>
        </w:rPr>
        <w:t xml:space="preserve"> approach.</w:t>
      </w:r>
      <w:bookmarkEnd w:id="247"/>
      <w:r w:rsidR="00E631CE">
        <w:rPr>
          <w:rFonts w:cs="Times New Roman"/>
          <w:szCs w:val="24"/>
        </w:rPr>
        <w:t xml:space="preserve">  </w:t>
      </w:r>
      <w:r w:rsidR="00D35C91">
        <w:rPr>
          <w:rFonts w:cs="Times New Roman"/>
          <w:szCs w:val="24"/>
        </w:rPr>
        <w:t>This chapter comprised sections such as a description of the study area, the philosophical underpinning of the study, the research approach and the study’s design, the population, the sampling procedure and its size, sources of data together with the data collection methods and tools, the analytical tools employed and how the study was conducted ethically.</w:t>
      </w:r>
    </w:p>
    <w:p w14:paraId="436FB226" w14:textId="77777777" w:rsidR="00292485" w:rsidRDefault="00292485" w:rsidP="00772DAC">
      <w:pPr>
        <w:pStyle w:val="Heading2"/>
        <w:ind w:left="0"/>
      </w:pPr>
      <w:bookmarkStart w:id="248" w:name="_Toc202197640"/>
      <w:bookmarkStart w:id="249" w:name="_Hlk195261289"/>
      <w:bookmarkStart w:id="250" w:name="_Hlk129181969"/>
      <w:r>
        <w:t xml:space="preserve">Study </w:t>
      </w:r>
      <w:r w:rsidR="00767CD4">
        <w:t>A</w:t>
      </w:r>
      <w:r>
        <w:t>rea</w:t>
      </w:r>
      <w:bookmarkEnd w:id="248"/>
      <w:r>
        <w:t xml:space="preserve"> </w:t>
      </w:r>
    </w:p>
    <w:p w14:paraId="2F1237D1" w14:textId="11097050" w:rsidR="00292485" w:rsidRDefault="00767CD4" w:rsidP="00772DAC">
      <w:pPr>
        <w:ind w:left="0" w:firstLine="0"/>
      </w:pPr>
      <w:r>
        <w:tab/>
      </w:r>
      <w:r w:rsidR="00292485">
        <w:t xml:space="preserve">The study areas </w:t>
      </w:r>
      <w:r w:rsidR="00D35C91">
        <w:t>were the Bobiri forest reserve in the Ashanti region and the Southern Scarp Forest reserve in the Eastern region</w:t>
      </w:r>
      <w:r w:rsidR="00292485">
        <w:t xml:space="preserve"> </w:t>
      </w:r>
      <w:bookmarkEnd w:id="249"/>
      <w:r w:rsidR="00292485">
        <w:t xml:space="preserve">with </w:t>
      </w:r>
      <w:r w:rsidR="00D35C91">
        <w:t>some</w:t>
      </w:r>
      <w:r w:rsidR="00292485">
        <w:t xml:space="preserve"> of the reserve extending into the Ashanti region. Both reserves are </w:t>
      </w:r>
      <w:r w:rsidR="00D35C91">
        <w:t>within the Tropical Semi-</w:t>
      </w:r>
      <w:r w:rsidR="00980038">
        <w:t>Deciduous</w:t>
      </w:r>
      <w:r w:rsidR="00D35C91">
        <w:t xml:space="preserve"> Forest Zone</w:t>
      </w:r>
      <w:r w:rsidR="00451A7E">
        <w:t>.</w:t>
      </w:r>
      <w:r w:rsidR="005561AC">
        <w:t xml:space="preserve"> Beside the unique ecotourism features of the study area, </w:t>
      </w:r>
      <w:r w:rsidR="00D34499">
        <w:t>Bobiri presents a unique management regime, hence the Southern Scarp Forest Reserve</w:t>
      </w:r>
      <w:r w:rsidR="00862439">
        <w:t>, which is also in the same ecological zone,</w:t>
      </w:r>
      <w:r w:rsidR="00D34499">
        <w:t xml:space="preserve"> was chosen for comparative studies to ascertain if the nuances highlighted was </w:t>
      </w:r>
      <w:proofErr w:type="gramStart"/>
      <w:r w:rsidR="00D34499">
        <w:t>as a result of</w:t>
      </w:r>
      <w:proofErr w:type="gramEnd"/>
      <w:r w:rsidR="00D34499">
        <w:t xml:space="preserve"> the type of management regimes or otherwise. </w:t>
      </w:r>
    </w:p>
    <w:p w14:paraId="68F428DC" w14:textId="77777777" w:rsidR="00292485" w:rsidRDefault="00292485" w:rsidP="00115CDD">
      <w:pPr>
        <w:pStyle w:val="Heading2"/>
        <w:ind w:left="0"/>
      </w:pPr>
      <w:bookmarkStart w:id="251" w:name="_Toc202197641"/>
      <w:r w:rsidRPr="00F97B95">
        <w:t>Bobiri Forest Reserve</w:t>
      </w:r>
      <w:bookmarkEnd w:id="251"/>
      <w:r w:rsidRPr="00F97B95">
        <w:t xml:space="preserve"> </w:t>
      </w:r>
    </w:p>
    <w:p w14:paraId="79D07B40" w14:textId="15F73B9D" w:rsidR="00CC7D33" w:rsidRDefault="00767CD4" w:rsidP="00767CD4">
      <w:pPr>
        <w:spacing w:after="0"/>
        <w:ind w:left="0" w:firstLine="0"/>
      </w:pPr>
      <w:bookmarkStart w:id="252" w:name="_Hlk141530105"/>
      <w:r>
        <w:tab/>
      </w:r>
      <w:r w:rsidR="00CC08DE" w:rsidRPr="00CC08DE">
        <w:t xml:space="preserve">The Bobiri Forest Reserve is named after the Bobiri River, which flows through its central area. Established on November 11, 1939, under the Forest Ordinance Act of 1939, the reserve is located within the administrative </w:t>
      </w:r>
      <w:r w:rsidR="00CC08DE" w:rsidRPr="00CC08DE">
        <w:lastRenderedPageBreak/>
        <w:t xml:space="preserve">boundaries of </w:t>
      </w:r>
      <w:proofErr w:type="spellStart"/>
      <w:r w:rsidR="00CC08DE" w:rsidRPr="00CC08DE">
        <w:t>Ejisu</w:t>
      </w:r>
      <w:proofErr w:type="spellEnd"/>
      <w:r w:rsidR="00CC08DE" w:rsidRPr="00CC08DE">
        <w:t xml:space="preserve">-Juaben and </w:t>
      </w:r>
      <w:proofErr w:type="spellStart"/>
      <w:r w:rsidR="00CC08DE" w:rsidRPr="00CC08DE">
        <w:t>Afigya</w:t>
      </w:r>
      <w:proofErr w:type="spellEnd"/>
      <w:r w:rsidR="00CC08DE" w:rsidRPr="00CC08DE">
        <w:t xml:space="preserve"> Sekyere East. It is managed by the </w:t>
      </w:r>
      <w:proofErr w:type="spellStart"/>
      <w:r w:rsidR="00CC08DE" w:rsidRPr="00CC08DE">
        <w:t>Juaso</w:t>
      </w:r>
      <w:proofErr w:type="spellEnd"/>
      <w:r w:rsidR="00CC08DE" w:rsidRPr="00CC08DE">
        <w:t xml:space="preserve"> Forest District in the Ashanti Region and follows the guidelines set out in the Working Plan of Forest Management Unit 39 (FMU 39). The Forest Services Division (FSD), in partnership with Traditional Authorities and institutions such as the Forest Research Institute of Ghana (FORIG), works together to ensure the reserve's protection and sustainable use (Forest Services Division, 2012).</w:t>
      </w:r>
    </w:p>
    <w:p w14:paraId="4E1545B4" w14:textId="77777777" w:rsidR="003A6106" w:rsidRDefault="00767CD4" w:rsidP="00767CD4">
      <w:pPr>
        <w:spacing w:after="0"/>
        <w:ind w:left="0" w:firstLine="0"/>
      </w:pPr>
      <w:r>
        <w:tab/>
      </w:r>
      <w:r w:rsidR="003A6106">
        <w:t xml:space="preserve">The Forest Services Division's 2012 report revealed that the reserve's management is purposefully structured to accomplish many critical purposes. These goals include preserving the integrity of forest resources, guaranteeing a sustainable log supply to support the wood sector, maximising the delivery of benefits to landowners, and maintaining its position as a premier centre for eco-tourism and research. </w:t>
      </w:r>
    </w:p>
    <w:p w14:paraId="211FE32F" w14:textId="77777777" w:rsidR="003A6106" w:rsidRDefault="00767CD4" w:rsidP="00767CD4">
      <w:pPr>
        <w:spacing w:after="0"/>
        <w:ind w:left="0" w:firstLine="0"/>
      </w:pPr>
      <w:r>
        <w:tab/>
      </w:r>
      <w:r w:rsidR="003A6106">
        <w:t>Although historical documents covering the pre-reservation era of the Bobiri Forest before 1939 are noticeably lacking, historical information suggests that the forest, which spans the geographical expanse between Konongo and Juaben, was prohibited from farming operations until 1936. The increased need for timber during World War II provided the motivation for the forest's protection, which resulted in its formation as the Bobiri Forest Reserve. This landmark event happened on November 3, 1949, when the Reserve was fully established, a legal act approved by the Chief of Juaben and his council members, together with the Mampong Native Authority, on June 6</w:t>
      </w:r>
      <w:r w:rsidR="003A6106" w:rsidRPr="00AD0951">
        <w:rPr>
          <w:vertAlign w:val="superscript"/>
        </w:rPr>
        <w:t>th</w:t>
      </w:r>
      <w:r w:rsidR="003A6106">
        <w:t xml:space="preserve">, 1950 </w:t>
      </w:r>
      <w:r w:rsidR="003A6106" w:rsidRPr="00AD0951">
        <w:t>(Forest Services Division, 2012)</w:t>
      </w:r>
      <w:r w:rsidR="003A6106">
        <w:t>.</w:t>
      </w:r>
    </w:p>
    <w:p w14:paraId="046BEC2E" w14:textId="77777777" w:rsidR="00154C92" w:rsidRDefault="00767CD4" w:rsidP="00767CD4">
      <w:pPr>
        <w:spacing w:after="0"/>
        <w:ind w:left="0" w:firstLine="0"/>
      </w:pPr>
      <w:r>
        <w:tab/>
      </w:r>
      <w:r w:rsidR="00154C92" w:rsidRPr="00154C92">
        <w:t xml:space="preserve">The Bobiri Forest Reserve, designated as an ecotourism site by the Forestry Research Institute of Ghana (FORIG), spans an area of 5504.00 hectares (55.040 km²). It is the largest reserve managed by CSIR-FORIG and </w:t>
      </w:r>
      <w:r w:rsidR="00154C92" w:rsidRPr="00154C92">
        <w:lastRenderedPageBreak/>
        <w:t xml:space="preserve">the Forest Services Division (F.C.-FSD). Situated 35 km southeast of Kumasi, the capital of the Ashanti region, the reserve is the closest forest to the city. It is located 2.5 km off the main </w:t>
      </w:r>
      <w:proofErr w:type="gramStart"/>
      <w:r w:rsidR="00154C92" w:rsidRPr="00154C92">
        <w:t>Kumasi-Accra road</w:t>
      </w:r>
      <w:proofErr w:type="gramEnd"/>
      <w:r w:rsidR="00154C92" w:rsidRPr="00154C92">
        <w:t xml:space="preserve"> near the village of </w:t>
      </w:r>
      <w:proofErr w:type="spellStart"/>
      <w:r w:rsidR="00154C92" w:rsidRPr="00154C92">
        <w:t>Kubease</w:t>
      </w:r>
      <w:proofErr w:type="spellEnd"/>
      <w:r w:rsidR="00154C92" w:rsidRPr="00154C92">
        <w:t>, positioned between latitudes 06°40'N to 06°44'N and longitudes 01°15'W to 01°22'W. The reserve is home to 14 surrounding communities.</w:t>
      </w:r>
    </w:p>
    <w:p w14:paraId="4A8983BA" w14:textId="6D1CC985" w:rsidR="00292485" w:rsidRDefault="00767CD4" w:rsidP="00767CD4">
      <w:pPr>
        <w:spacing w:after="0"/>
        <w:ind w:left="0" w:firstLine="0"/>
      </w:pPr>
      <w:r>
        <w:tab/>
      </w:r>
      <w:r w:rsidR="00292485" w:rsidRPr="00F93DDC">
        <w:t xml:space="preserve">The mean number of individuals per household is 4.1. Children represent the predominant demographic within households, making up </w:t>
      </w:r>
      <w:proofErr w:type="gramStart"/>
      <w:r w:rsidR="00292485" w:rsidRPr="00F93DDC">
        <w:t>the majority of</w:t>
      </w:r>
      <w:proofErr w:type="gramEnd"/>
      <w:r w:rsidR="00292485" w:rsidRPr="00F93DDC">
        <w:t xml:space="preserve"> members at 44.6% for males and 41.0% for females. Spouses contribute approximately 9.8% of household composition. Nuclear households, defined as those consisting of a head, spouse(s), and children, account for 28.6% of the overall household count within the Municipality, as reported by the Ghana Statistical Service in 2010.</w:t>
      </w:r>
    </w:p>
    <w:p w14:paraId="188F65EB" w14:textId="77777777" w:rsidR="00292485" w:rsidRDefault="00767CD4" w:rsidP="00767CD4">
      <w:pPr>
        <w:spacing w:after="0"/>
        <w:ind w:left="0" w:firstLine="0"/>
      </w:pPr>
      <w:r>
        <w:tab/>
      </w:r>
      <w:r w:rsidR="00292485" w:rsidRPr="00F93DDC">
        <w:t>Among individuals aged 11 years and older, 87.7 per</w:t>
      </w:r>
      <w:r w:rsidR="00292485">
        <w:t xml:space="preserve"> </w:t>
      </w:r>
      <w:r w:rsidR="00292485" w:rsidRPr="00F93DDC">
        <w:t>cent exhibit literacy, while 15.3 per</w:t>
      </w:r>
      <w:r w:rsidR="00292485">
        <w:t xml:space="preserve"> </w:t>
      </w:r>
      <w:r w:rsidR="00292485" w:rsidRPr="00F93DDC">
        <w:t xml:space="preserve">cent remain non-literate. The prevalence of literacy is </w:t>
      </w:r>
      <w:r w:rsidR="00D35C91">
        <w:t>more significant</w:t>
      </w:r>
      <w:r w:rsidR="00292485" w:rsidRPr="00F93DDC">
        <w:t xml:space="preserve"> among males than among females. Additionally, a significant majority of the population, constituting 73.1 per</w:t>
      </w:r>
      <w:r w:rsidR="00292485">
        <w:t xml:space="preserve"> </w:t>
      </w:r>
      <w:r w:rsidR="00292485" w:rsidRPr="00F93DDC">
        <w:t xml:space="preserve">cent, indicated proficiency in reading and writing </w:t>
      </w:r>
      <w:r w:rsidR="00292485">
        <w:t xml:space="preserve">in </w:t>
      </w:r>
      <w:r w:rsidR="00292485" w:rsidRPr="00F93DDC">
        <w:t>both the English and Ghanaian languages</w:t>
      </w:r>
      <w:r w:rsidR="00292485">
        <w:t xml:space="preserve"> (GSS, 2010).</w:t>
      </w:r>
    </w:p>
    <w:p w14:paraId="504598B3" w14:textId="77777777" w:rsidR="00292485" w:rsidRDefault="00767CD4" w:rsidP="00074089">
      <w:pPr>
        <w:spacing w:after="0"/>
        <w:ind w:left="0" w:firstLine="0"/>
      </w:pPr>
      <w:r>
        <w:tab/>
      </w:r>
      <w:r w:rsidR="00292485" w:rsidRPr="009F5D8E">
        <w:t xml:space="preserve">Among the populace aged </w:t>
      </w:r>
      <w:r w:rsidR="00D35C91">
        <w:t>three</w:t>
      </w:r>
      <w:r w:rsidR="00292485" w:rsidRPr="009F5D8E">
        <w:t xml:space="preserve"> years and older within the </w:t>
      </w:r>
      <w:proofErr w:type="spellStart"/>
      <w:r w:rsidR="00292485" w:rsidRPr="009F5D8E">
        <w:t>Ejisu-Juabeng</w:t>
      </w:r>
      <w:proofErr w:type="spellEnd"/>
      <w:r w:rsidR="00292485" w:rsidRPr="009F5D8E">
        <w:t xml:space="preserve"> Municipality, 12.9 per</w:t>
      </w:r>
      <w:r w:rsidR="00292485">
        <w:t xml:space="preserve"> </w:t>
      </w:r>
      <w:r w:rsidR="00292485" w:rsidRPr="009F5D8E">
        <w:t>cent have not experienced any form of schooling, while 42.9 per</w:t>
      </w:r>
      <w:r w:rsidR="00292485">
        <w:t xml:space="preserve"> </w:t>
      </w:r>
      <w:r w:rsidR="00292485" w:rsidRPr="009F5D8E">
        <w:t>cent are presently enrolled in educational institutions, and 44.2 per</w:t>
      </w:r>
      <w:r w:rsidR="00292485">
        <w:t xml:space="preserve"> </w:t>
      </w:r>
      <w:r w:rsidR="00292485" w:rsidRPr="009F5D8E">
        <w:t>cent have had prior educational engagements, as reported by the Ghana Statistical Service in 2010.</w:t>
      </w:r>
    </w:p>
    <w:p w14:paraId="18FFEAF0" w14:textId="77777777" w:rsidR="00292485" w:rsidRDefault="00767CD4" w:rsidP="00767CD4">
      <w:pPr>
        <w:spacing w:after="0"/>
        <w:ind w:left="0" w:firstLine="0"/>
      </w:pPr>
      <w:r>
        <w:tab/>
      </w:r>
      <w:r w:rsidR="00292485" w:rsidRPr="009F5D8E">
        <w:t>Among the working populace, approximately 36.1 per</w:t>
      </w:r>
      <w:r w:rsidR="00292485">
        <w:t xml:space="preserve"> </w:t>
      </w:r>
      <w:r w:rsidR="00292485" w:rsidRPr="009F5D8E">
        <w:t>cent are involved in skilled roles within the agricultural, forestry, and fishery sectors, while 24.3 per</w:t>
      </w:r>
      <w:r w:rsidR="00292485">
        <w:t xml:space="preserve"> </w:t>
      </w:r>
      <w:r w:rsidR="00292485" w:rsidRPr="009F5D8E">
        <w:t>cent are employed in service and sales positions. Additionally, 17.1 per</w:t>
      </w:r>
      <w:r w:rsidR="00292485">
        <w:t xml:space="preserve"> </w:t>
      </w:r>
      <w:r w:rsidR="00292485" w:rsidRPr="009F5D8E">
        <w:t xml:space="preserve">cent </w:t>
      </w:r>
      <w:r w:rsidR="00292485" w:rsidRPr="009F5D8E">
        <w:lastRenderedPageBreak/>
        <w:t>partake in craft-related trades, and 10.6 per</w:t>
      </w:r>
      <w:r w:rsidR="00292485">
        <w:t xml:space="preserve"> </w:t>
      </w:r>
      <w:r w:rsidR="00292485" w:rsidRPr="009F5D8E">
        <w:t>cent are occupied in managerial, professional, and technical capacities, as documented by the Ghana Statistical Service in 2010.</w:t>
      </w:r>
    </w:p>
    <w:p w14:paraId="2CE4BFD9" w14:textId="77777777" w:rsidR="00292485" w:rsidRDefault="00767CD4" w:rsidP="00767CD4">
      <w:pPr>
        <w:spacing w:after="0"/>
        <w:ind w:left="0" w:firstLine="0"/>
      </w:pPr>
      <w:r>
        <w:tab/>
      </w:r>
      <w:r w:rsidR="00292485" w:rsidRPr="009F5D8E">
        <w:t>Roughly 70.3 per</w:t>
      </w:r>
      <w:r w:rsidR="00292485">
        <w:t xml:space="preserve"> </w:t>
      </w:r>
      <w:r w:rsidR="00292485" w:rsidRPr="009F5D8E">
        <w:t>cent of individuals aged 15 and above a</w:t>
      </w:r>
      <w:r w:rsidR="00D35C91">
        <w:t>ctively participate</w:t>
      </w:r>
      <w:r w:rsidR="00292485" w:rsidRPr="009F5D8E">
        <w:t xml:space="preserve"> in economic activities. Among this economically active segment, 93.4 per</w:t>
      </w:r>
      <w:r w:rsidR="00292485">
        <w:t xml:space="preserve"> </w:t>
      </w:r>
      <w:r w:rsidR="00292485" w:rsidRPr="009F5D8E">
        <w:t>cent are currently employed, while 6.6 per</w:t>
      </w:r>
      <w:r w:rsidR="00292485">
        <w:t xml:space="preserve"> </w:t>
      </w:r>
      <w:r w:rsidR="00292485" w:rsidRPr="009F5D8E">
        <w:t xml:space="preserve">cent remain </w:t>
      </w:r>
      <w:r w:rsidR="00D35C91">
        <w:t>unemployed</w:t>
      </w:r>
      <w:r w:rsidR="00292485" w:rsidRPr="009F5D8E">
        <w:t>. Within the group not engaged in economic pursuits, a notable proportion consists of students (52.8%)</w:t>
      </w:r>
      <w:r w:rsidR="00D35C91">
        <w:t>. At the same time,</w:t>
      </w:r>
      <w:r w:rsidR="00292485" w:rsidRPr="009F5D8E">
        <w:t xml:space="preserve"> 20 per</w:t>
      </w:r>
      <w:r w:rsidR="00292485">
        <w:t xml:space="preserve"> </w:t>
      </w:r>
      <w:r w:rsidR="00292485" w:rsidRPr="009F5D8E">
        <w:t>cent are involved in household responsibilities and 5.0 per</w:t>
      </w:r>
      <w:r w:rsidR="00292485">
        <w:t xml:space="preserve"> </w:t>
      </w:r>
      <w:r w:rsidR="00292485" w:rsidRPr="009F5D8E">
        <w:t xml:space="preserve">cent are incapacitated due to disability or illness. Of those </w:t>
      </w:r>
      <w:r w:rsidR="00D35C91">
        <w:t>unemployed, nearly two-thirds (66.0%) actively seek</w:t>
      </w:r>
      <w:r w:rsidR="00292485" w:rsidRPr="009F5D8E">
        <w:t xml:space="preserve"> employment for the first time. Among the employed population, approximately 36.1 per</w:t>
      </w:r>
      <w:r w:rsidR="00292485">
        <w:t xml:space="preserve"> </w:t>
      </w:r>
      <w:r w:rsidR="00292485" w:rsidRPr="009F5D8E">
        <w:t>cent are occupied in skilled agricultural, forestry, and fishery roles, 24.3 per</w:t>
      </w:r>
      <w:r w:rsidR="00292485">
        <w:t xml:space="preserve"> </w:t>
      </w:r>
      <w:r w:rsidR="00292485" w:rsidRPr="009F5D8E">
        <w:t>cent are in service and sales positions, 17.1 per</w:t>
      </w:r>
      <w:r w:rsidR="00292485">
        <w:t xml:space="preserve"> </w:t>
      </w:r>
      <w:r w:rsidR="00292485" w:rsidRPr="009F5D8E">
        <w:t>cent are engaged in craft and related trades, and 10.6 per</w:t>
      </w:r>
      <w:r w:rsidR="00292485">
        <w:t xml:space="preserve"> </w:t>
      </w:r>
      <w:r w:rsidR="00292485" w:rsidRPr="009F5D8E">
        <w:t>cent assume roles as managers, professionals, and technicians (GSS, 2010).</w:t>
      </w:r>
    </w:p>
    <w:bookmarkEnd w:id="252"/>
    <w:p w14:paraId="5EA0A652" w14:textId="77777777" w:rsidR="00292485" w:rsidRPr="00F97B95" w:rsidRDefault="00767CD4" w:rsidP="00772DAC">
      <w:pPr>
        <w:ind w:left="0" w:firstLine="0"/>
        <w:rPr>
          <w:b/>
          <w:bCs/>
        </w:rPr>
      </w:pPr>
      <w:r>
        <w:tab/>
      </w:r>
      <w:r w:rsidR="00292485" w:rsidRPr="009F5D8E">
        <w:t>Up to 47.0 per</w:t>
      </w:r>
      <w:r w:rsidR="00292485">
        <w:t xml:space="preserve"> </w:t>
      </w:r>
      <w:r w:rsidR="00292485" w:rsidRPr="009F5D8E">
        <w:t xml:space="preserve">cent of households within the </w:t>
      </w:r>
      <w:proofErr w:type="spellStart"/>
      <w:r w:rsidR="00292485" w:rsidRPr="009F5D8E">
        <w:t>Ejisu-Juabeng</w:t>
      </w:r>
      <w:proofErr w:type="spellEnd"/>
      <w:r w:rsidR="00292485" w:rsidRPr="009F5D8E">
        <w:t xml:space="preserve"> Municipality are actively involved in agricultural activities. In rural areas, slightly over half of the households (56.5%) are engaged in agriculture, whereas in urban regions, 23.9 per</w:t>
      </w:r>
      <w:r w:rsidR="00292485">
        <w:t xml:space="preserve"> </w:t>
      </w:r>
      <w:r w:rsidR="00292485" w:rsidRPr="009F5D8E">
        <w:t xml:space="preserve">cent of households partake in agricultural pursuits. The predominant agricultural focus within the Municipality revolves around crop farming, engaging </w:t>
      </w:r>
      <w:r w:rsidR="00D35C91">
        <w:t>most</w:t>
      </w:r>
      <w:r w:rsidR="00292485" w:rsidRPr="009F5D8E">
        <w:t xml:space="preserve"> households (96.2%). The primary animal husbandry practice cent</w:t>
      </w:r>
      <w:r w:rsidR="00292485">
        <w:t>re</w:t>
      </w:r>
      <w:r w:rsidR="00292485" w:rsidRPr="009F5D8E">
        <w:t>s on poultry, particularly chickens, as per the data from the Ghana Statistical Service in 2010.</w:t>
      </w:r>
      <w:r w:rsidR="00292485">
        <w:t xml:space="preserve"> The map of Bobiri Forest Reserve is presented </w:t>
      </w:r>
      <w:r w:rsidR="005432A0">
        <w:t>in Figure 7</w:t>
      </w:r>
      <w:r w:rsidR="00292485">
        <w:t>.</w:t>
      </w:r>
    </w:p>
    <w:p w14:paraId="5419845C" w14:textId="027CC5E2" w:rsidR="00292485" w:rsidRPr="00E96824" w:rsidRDefault="00F8201C" w:rsidP="00772DAC">
      <w:pPr>
        <w:ind w:left="0" w:firstLine="0"/>
      </w:pPr>
      <w:r>
        <w:rPr>
          <w:noProof/>
          <w:lang w:val="en-US"/>
        </w:rPr>
        <w:lastRenderedPageBreak/>
        <w:drawing>
          <wp:inline distT="0" distB="0" distL="0" distR="0" wp14:anchorId="1BCC0B58" wp14:editId="4E380343">
            <wp:extent cx="4817110" cy="3405505"/>
            <wp:effectExtent l="0" t="0" r="2540" b="4445"/>
            <wp:docPr id="10362444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17110" cy="3405505"/>
                    </a:xfrm>
                    <a:prstGeom prst="rect">
                      <a:avLst/>
                    </a:prstGeom>
                    <a:noFill/>
                    <a:ln>
                      <a:noFill/>
                    </a:ln>
                  </pic:spPr>
                </pic:pic>
              </a:graphicData>
            </a:graphic>
          </wp:inline>
        </w:drawing>
      </w:r>
    </w:p>
    <w:p w14:paraId="71F79ED3" w14:textId="7D2DD9CA" w:rsidR="00292485" w:rsidRPr="00E73A56" w:rsidRDefault="00292485" w:rsidP="00767CD4">
      <w:pPr>
        <w:pStyle w:val="Heading3"/>
        <w:ind w:left="0" w:firstLine="0"/>
        <w:rPr>
          <w:b/>
        </w:rPr>
      </w:pPr>
      <w:bookmarkStart w:id="253" w:name="_Toc155175878"/>
      <w:bookmarkStart w:id="254" w:name="_Toc161749067"/>
      <w:bookmarkStart w:id="255" w:name="_Toc161750328"/>
      <w:bookmarkStart w:id="256" w:name="_Toc163253997"/>
      <w:bookmarkStart w:id="257" w:name="_Toc172102378"/>
      <w:bookmarkStart w:id="258" w:name="_Toc197068820"/>
      <w:bookmarkStart w:id="259" w:name="_Toc199164931"/>
      <w:bookmarkStart w:id="260" w:name="_Toc202196565"/>
      <w:bookmarkStart w:id="261" w:name="_Toc202197642"/>
      <w:r w:rsidRPr="00E73A56">
        <w:rPr>
          <w:b/>
          <w:i/>
        </w:rPr>
        <w:t>Fig</w:t>
      </w:r>
      <w:r w:rsidR="00767CD4" w:rsidRPr="00E73A56">
        <w:rPr>
          <w:b/>
          <w:i/>
        </w:rPr>
        <w:t>ure</w:t>
      </w:r>
      <w:r w:rsidRPr="00E73A56">
        <w:rPr>
          <w:b/>
          <w:i/>
        </w:rPr>
        <w:t xml:space="preserve"> </w:t>
      </w:r>
      <w:r w:rsidR="00350FCC">
        <w:rPr>
          <w:b/>
          <w:i/>
        </w:rPr>
        <w:t>8</w:t>
      </w:r>
      <w:r w:rsidRPr="00E73A56">
        <w:rPr>
          <w:b/>
        </w:rPr>
        <w:t>: Bobiri Forest Reserve</w:t>
      </w:r>
      <w:bookmarkEnd w:id="253"/>
      <w:bookmarkEnd w:id="254"/>
      <w:bookmarkEnd w:id="255"/>
      <w:bookmarkEnd w:id="256"/>
      <w:bookmarkEnd w:id="257"/>
      <w:bookmarkEnd w:id="258"/>
      <w:bookmarkEnd w:id="259"/>
      <w:bookmarkEnd w:id="260"/>
      <w:bookmarkEnd w:id="261"/>
    </w:p>
    <w:p w14:paraId="439509F3" w14:textId="77777777" w:rsidR="00292485" w:rsidRDefault="00292485" w:rsidP="00772DAC">
      <w:pPr>
        <w:pStyle w:val="BodyText"/>
        <w:ind w:left="0" w:firstLine="0"/>
      </w:pPr>
      <w:r>
        <w:t>Source: G I S Remote Sensing and Cartography Uni</w:t>
      </w:r>
      <w:r w:rsidR="00767CD4">
        <w:t xml:space="preserve">t, Department of Geography and </w:t>
      </w:r>
      <w:r>
        <w:t>Regional Planning</w:t>
      </w:r>
    </w:p>
    <w:p w14:paraId="47AB8E83" w14:textId="77777777" w:rsidR="00292485" w:rsidRPr="008047B6" w:rsidRDefault="00292485" w:rsidP="00767CD4">
      <w:pPr>
        <w:pStyle w:val="Heading2"/>
        <w:ind w:left="0"/>
      </w:pPr>
      <w:bookmarkStart w:id="262" w:name="_Toc202197643"/>
      <w:bookmarkStart w:id="263" w:name="_Hlk141530240"/>
      <w:r w:rsidRPr="00F97B95">
        <w:t>Southern Scarp Forest Reserve</w:t>
      </w:r>
      <w:bookmarkEnd w:id="262"/>
    </w:p>
    <w:p w14:paraId="1B870C43" w14:textId="007C216F" w:rsidR="00292485" w:rsidRPr="00EA4A44" w:rsidRDefault="00767CD4" w:rsidP="001A4919">
      <w:pPr>
        <w:spacing w:after="0"/>
        <w:ind w:left="0" w:firstLine="0"/>
        <w:rPr>
          <w:rFonts w:eastAsia="Calibri" w:cs="Times New Roman"/>
          <w:szCs w:val="24"/>
        </w:rPr>
      </w:pPr>
      <w:r>
        <w:rPr>
          <w:rFonts w:eastAsia="Calibri" w:cs="Times New Roman"/>
          <w:szCs w:val="24"/>
        </w:rPr>
        <w:tab/>
      </w:r>
      <w:r w:rsidR="00292485" w:rsidRPr="00EA4A44">
        <w:rPr>
          <w:rFonts w:eastAsia="Calibri" w:cs="Times New Roman"/>
          <w:szCs w:val="24"/>
        </w:rPr>
        <w:t>Demarcation of the Kwahu portion of the Southern Scarp Forest reserve started in October 1925 and was completed in January 1926.</w:t>
      </w:r>
      <w:r w:rsidR="00292485">
        <w:rPr>
          <w:rFonts w:eastAsia="Calibri" w:cs="Times New Roman"/>
          <w:szCs w:val="24"/>
        </w:rPr>
        <w:t xml:space="preserve"> </w:t>
      </w:r>
      <w:r w:rsidR="00292485" w:rsidRPr="00EA4A44">
        <w:rPr>
          <w:rFonts w:eastAsia="Calibri" w:cs="Times New Roman"/>
          <w:szCs w:val="24"/>
        </w:rPr>
        <w:t xml:space="preserve">The Reserve </w:t>
      </w:r>
      <w:r w:rsidR="00D35C91">
        <w:rPr>
          <w:rFonts w:eastAsia="Calibri" w:cs="Times New Roman"/>
          <w:szCs w:val="24"/>
        </w:rPr>
        <w:t>predominantly comprises</w:t>
      </w:r>
      <w:r w:rsidR="00292485" w:rsidRPr="00EA4A44">
        <w:rPr>
          <w:rFonts w:eastAsia="Calibri" w:cs="Times New Roman"/>
          <w:szCs w:val="24"/>
        </w:rPr>
        <w:t xml:space="preserve"> </w:t>
      </w:r>
      <w:r w:rsidR="00292485">
        <w:rPr>
          <w:rFonts w:eastAsia="Calibri" w:cs="Times New Roman"/>
          <w:szCs w:val="24"/>
        </w:rPr>
        <w:t xml:space="preserve">a </w:t>
      </w:r>
      <w:r w:rsidR="00292485" w:rsidRPr="00EA4A44">
        <w:rPr>
          <w:rFonts w:eastAsia="Calibri" w:cs="Times New Roman"/>
          <w:szCs w:val="24"/>
        </w:rPr>
        <w:t xml:space="preserve">land mass of cliffs believed to extend from the </w:t>
      </w:r>
      <w:proofErr w:type="spellStart"/>
      <w:r w:rsidR="00292485" w:rsidRPr="00EA4A44">
        <w:rPr>
          <w:rFonts w:eastAsia="Calibri" w:cs="Times New Roman"/>
          <w:szCs w:val="24"/>
        </w:rPr>
        <w:t>Gambaga</w:t>
      </w:r>
      <w:proofErr w:type="spellEnd"/>
      <w:r w:rsidR="00292485" w:rsidRPr="00EA4A44">
        <w:rPr>
          <w:rFonts w:eastAsia="Calibri" w:cs="Times New Roman"/>
          <w:szCs w:val="24"/>
        </w:rPr>
        <w:t xml:space="preserve"> Scarp through the Mampong Scarp across </w:t>
      </w:r>
      <w:proofErr w:type="spellStart"/>
      <w:r w:rsidR="00292485" w:rsidRPr="00EA4A44">
        <w:rPr>
          <w:rFonts w:eastAsia="Calibri" w:cs="Times New Roman"/>
          <w:szCs w:val="24"/>
        </w:rPr>
        <w:t>Okaikrom</w:t>
      </w:r>
      <w:proofErr w:type="spellEnd"/>
      <w:r w:rsidR="00292485" w:rsidRPr="00EA4A44">
        <w:rPr>
          <w:rFonts w:eastAsia="Calibri" w:cs="Times New Roman"/>
          <w:szCs w:val="24"/>
        </w:rPr>
        <w:t xml:space="preserve"> in the </w:t>
      </w:r>
      <w:proofErr w:type="spellStart"/>
      <w:r w:rsidR="00292485" w:rsidRPr="00EA4A44">
        <w:rPr>
          <w:rFonts w:eastAsia="Calibri" w:cs="Times New Roman"/>
          <w:szCs w:val="24"/>
        </w:rPr>
        <w:t>Ejisu</w:t>
      </w:r>
      <w:proofErr w:type="spellEnd"/>
      <w:r w:rsidR="00292485" w:rsidRPr="00EA4A44">
        <w:rPr>
          <w:rFonts w:eastAsia="Calibri" w:cs="Times New Roman"/>
          <w:szCs w:val="24"/>
        </w:rPr>
        <w:t xml:space="preserve">-Juaben through the Bandai Hills Forest reserve in the </w:t>
      </w:r>
      <w:proofErr w:type="spellStart"/>
      <w:r w:rsidR="00292485" w:rsidRPr="00EA4A44">
        <w:rPr>
          <w:rFonts w:eastAsia="Calibri" w:cs="Times New Roman"/>
          <w:szCs w:val="24"/>
        </w:rPr>
        <w:t>Juaso</w:t>
      </w:r>
      <w:proofErr w:type="spellEnd"/>
      <w:r w:rsidR="00292485" w:rsidRPr="00EA4A44">
        <w:rPr>
          <w:rFonts w:eastAsia="Calibri" w:cs="Times New Roman"/>
          <w:szCs w:val="24"/>
        </w:rPr>
        <w:t xml:space="preserve"> Forest district. </w:t>
      </w:r>
      <w:r w:rsidR="00CC7D33">
        <w:rPr>
          <w:rFonts w:eastAsia="Calibri" w:cs="Times New Roman"/>
          <w:szCs w:val="24"/>
        </w:rPr>
        <w:t>The Southern Scarp hosts communities such as</w:t>
      </w:r>
      <w:r w:rsidR="00CC7D33">
        <w:t xml:space="preserve"> </w:t>
      </w:r>
      <w:proofErr w:type="spellStart"/>
      <w:r w:rsidR="00CC7D33">
        <w:t>Abetim</w:t>
      </w:r>
      <w:proofErr w:type="spellEnd"/>
      <w:r w:rsidR="00CC7D33">
        <w:t xml:space="preserve">, </w:t>
      </w:r>
      <w:proofErr w:type="spellStart"/>
      <w:r w:rsidR="00CC7D33">
        <w:t>Onyimso</w:t>
      </w:r>
      <w:proofErr w:type="spellEnd"/>
      <w:r w:rsidR="00CC7D33">
        <w:t xml:space="preserve">, </w:t>
      </w:r>
      <w:proofErr w:type="spellStart"/>
      <w:r w:rsidR="00CC7D33">
        <w:t>Akwasiho</w:t>
      </w:r>
      <w:proofErr w:type="spellEnd"/>
      <w:r w:rsidR="00CC7D33">
        <w:t xml:space="preserve">, </w:t>
      </w:r>
      <w:proofErr w:type="spellStart"/>
      <w:r w:rsidR="00CC7D33">
        <w:t>Jejeti</w:t>
      </w:r>
      <w:proofErr w:type="spellEnd"/>
      <w:r w:rsidR="00CC7D33">
        <w:t xml:space="preserve">, </w:t>
      </w:r>
      <w:proofErr w:type="spellStart"/>
      <w:r w:rsidR="00CC7D33">
        <w:t>Monsie</w:t>
      </w:r>
      <w:proofErr w:type="spellEnd"/>
      <w:r w:rsidR="00CC7D33">
        <w:t xml:space="preserve">, </w:t>
      </w:r>
      <w:proofErr w:type="spellStart"/>
      <w:r w:rsidR="00CC7D33">
        <w:t>Apesika</w:t>
      </w:r>
      <w:proofErr w:type="spellEnd"/>
      <w:r w:rsidR="00CC7D33">
        <w:t xml:space="preserve">, </w:t>
      </w:r>
      <w:proofErr w:type="spellStart"/>
      <w:r w:rsidR="00CC7D33">
        <w:t>Ntomem</w:t>
      </w:r>
      <w:proofErr w:type="spellEnd"/>
      <w:r w:rsidR="00CC7D33">
        <w:t xml:space="preserve">, </w:t>
      </w:r>
      <w:proofErr w:type="spellStart"/>
      <w:r w:rsidR="00CC7D33">
        <w:t>Obomeng</w:t>
      </w:r>
      <w:proofErr w:type="spellEnd"/>
      <w:r w:rsidR="00CC7D33">
        <w:t xml:space="preserve">, Obo, </w:t>
      </w:r>
      <w:proofErr w:type="spellStart"/>
      <w:r w:rsidR="00CC7D33">
        <w:t>Gyaekasa</w:t>
      </w:r>
      <w:proofErr w:type="spellEnd"/>
      <w:r w:rsidR="00CC7D33">
        <w:t xml:space="preserve">, </w:t>
      </w:r>
      <w:proofErr w:type="spellStart"/>
      <w:r w:rsidR="00CC7D33">
        <w:t>Atibie</w:t>
      </w:r>
      <w:proofErr w:type="spellEnd"/>
      <w:r w:rsidR="00CC7D33">
        <w:t xml:space="preserve">, </w:t>
      </w:r>
      <w:proofErr w:type="spellStart"/>
      <w:r w:rsidR="00CC7D33">
        <w:t>Suminakesse</w:t>
      </w:r>
      <w:proofErr w:type="spellEnd"/>
      <w:r w:rsidR="00CC7D33">
        <w:t xml:space="preserve">, </w:t>
      </w:r>
      <w:proofErr w:type="spellStart"/>
      <w:r w:rsidR="00CC7D33">
        <w:t>Mpraeso</w:t>
      </w:r>
      <w:proofErr w:type="spellEnd"/>
      <w:r w:rsidR="00CC7D33">
        <w:t xml:space="preserve">, </w:t>
      </w:r>
      <w:proofErr w:type="spellStart"/>
      <w:r w:rsidR="00CC7D33">
        <w:t>Twendurase</w:t>
      </w:r>
      <w:proofErr w:type="spellEnd"/>
      <w:r w:rsidR="00CC7D33">
        <w:t xml:space="preserve">, </w:t>
      </w:r>
      <w:proofErr w:type="spellStart"/>
      <w:r w:rsidR="00CC7D33">
        <w:t>Asikam</w:t>
      </w:r>
      <w:proofErr w:type="spellEnd"/>
      <w:r w:rsidR="00CC7D33">
        <w:t xml:space="preserve">, Mota, </w:t>
      </w:r>
      <w:proofErr w:type="spellStart"/>
      <w:r w:rsidR="00CC7D33">
        <w:t>Nkwata</w:t>
      </w:r>
      <w:proofErr w:type="spellEnd"/>
      <w:r w:rsidR="00CC7D33">
        <w:t xml:space="preserve"> No.1, </w:t>
      </w:r>
      <w:proofErr w:type="spellStart"/>
      <w:r w:rsidR="00CC7D33">
        <w:t>Nkwanda</w:t>
      </w:r>
      <w:proofErr w:type="spellEnd"/>
      <w:r w:rsidR="00CC7D33">
        <w:t xml:space="preserve"> and </w:t>
      </w:r>
      <w:proofErr w:type="spellStart"/>
      <w:r w:rsidR="00CC7D33">
        <w:t>Osubin</w:t>
      </w:r>
      <w:proofErr w:type="spellEnd"/>
      <w:r w:rsidR="00A23B96">
        <w:t xml:space="preserve"> (Forest Services Division, 2012).</w:t>
      </w:r>
    </w:p>
    <w:p w14:paraId="26EE238F" w14:textId="77777777" w:rsidR="00292485" w:rsidRDefault="001A4919" w:rsidP="00772DAC">
      <w:pPr>
        <w:spacing w:after="200"/>
        <w:ind w:left="0" w:firstLine="0"/>
        <w:rPr>
          <w:rFonts w:eastAsia="Calibri" w:cs="Times New Roman"/>
          <w:szCs w:val="24"/>
        </w:rPr>
      </w:pPr>
      <w:r>
        <w:rPr>
          <w:rFonts w:eastAsia="Calibri" w:cs="Times New Roman"/>
          <w:szCs w:val="24"/>
        </w:rPr>
        <w:tab/>
      </w:r>
      <w:r w:rsidR="00292485" w:rsidRPr="00EA4A44">
        <w:rPr>
          <w:rFonts w:eastAsia="Calibri" w:cs="Times New Roman"/>
          <w:szCs w:val="24"/>
        </w:rPr>
        <w:t>The Southern Scarp Forest Reserve lies between latitudes 6</w:t>
      </w:r>
      <w:r w:rsidR="00292485" w:rsidRPr="00EA4A44">
        <w:rPr>
          <w:rFonts w:eastAsia="Calibri" w:cs="Times New Roman"/>
          <w:szCs w:val="24"/>
          <w:vertAlign w:val="superscript"/>
        </w:rPr>
        <w:t>o</w:t>
      </w:r>
      <w:r w:rsidR="00292485" w:rsidRPr="00EA4A44">
        <w:rPr>
          <w:rFonts w:eastAsia="Calibri" w:cs="Times New Roman"/>
          <w:szCs w:val="24"/>
        </w:rPr>
        <w:t xml:space="preserve"> 45</w:t>
      </w:r>
      <w:r w:rsidR="00292485" w:rsidRPr="00EA4A44">
        <w:rPr>
          <w:rFonts w:eastAsia="Calibri" w:cs="Times New Roman"/>
          <w:szCs w:val="24"/>
          <w:vertAlign w:val="superscript"/>
        </w:rPr>
        <w:t>’</w:t>
      </w:r>
      <w:r w:rsidR="00292485" w:rsidRPr="00EA4A44">
        <w:rPr>
          <w:rFonts w:eastAsia="Calibri" w:cs="Times New Roman"/>
          <w:szCs w:val="24"/>
        </w:rPr>
        <w:t>N and 6</w:t>
      </w:r>
      <w:r w:rsidR="00292485" w:rsidRPr="00EA4A44">
        <w:rPr>
          <w:rFonts w:eastAsia="Calibri" w:cs="Times New Roman"/>
          <w:szCs w:val="24"/>
          <w:vertAlign w:val="superscript"/>
        </w:rPr>
        <w:t>o</w:t>
      </w:r>
      <w:r w:rsidR="00292485" w:rsidRPr="00EA4A44">
        <w:rPr>
          <w:rFonts w:eastAsia="Calibri" w:cs="Times New Roman"/>
          <w:szCs w:val="24"/>
        </w:rPr>
        <w:t xml:space="preserve"> 25</w:t>
      </w:r>
      <w:r w:rsidR="00292485" w:rsidRPr="00EA4A44">
        <w:rPr>
          <w:rFonts w:eastAsia="Calibri" w:cs="Times New Roman"/>
          <w:szCs w:val="24"/>
          <w:vertAlign w:val="superscript"/>
        </w:rPr>
        <w:t>’</w:t>
      </w:r>
      <w:r w:rsidR="00292485" w:rsidRPr="00EA4A44">
        <w:rPr>
          <w:rFonts w:eastAsia="Calibri" w:cs="Times New Roman"/>
          <w:szCs w:val="24"/>
        </w:rPr>
        <w:t xml:space="preserve">N </w:t>
      </w:r>
      <w:r w:rsidR="00D35C91">
        <w:rPr>
          <w:rFonts w:eastAsia="Calibri" w:cs="Times New Roman"/>
          <w:szCs w:val="24"/>
        </w:rPr>
        <w:t>with longitudes 1o 00’</w:t>
      </w:r>
      <w:r w:rsidR="00292485" w:rsidRPr="00EA4A44">
        <w:rPr>
          <w:rFonts w:eastAsia="Calibri" w:cs="Times New Roman"/>
          <w:szCs w:val="24"/>
        </w:rPr>
        <w:t>W and 0</w:t>
      </w:r>
      <w:r w:rsidR="00292485" w:rsidRPr="00EA4A44">
        <w:rPr>
          <w:rFonts w:eastAsia="Calibri" w:cs="Times New Roman"/>
          <w:szCs w:val="24"/>
          <w:vertAlign w:val="superscript"/>
        </w:rPr>
        <w:t>o</w:t>
      </w:r>
      <w:r w:rsidR="00292485" w:rsidRPr="00EA4A44">
        <w:rPr>
          <w:rFonts w:eastAsia="Calibri" w:cs="Times New Roman"/>
          <w:szCs w:val="24"/>
        </w:rPr>
        <w:t>30’W.</w:t>
      </w:r>
      <w:r w:rsidR="00292485">
        <w:rPr>
          <w:rFonts w:eastAsia="Calibri" w:cs="Times New Roman"/>
          <w:szCs w:val="24"/>
        </w:rPr>
        <w:t xml:space="preserve"> </w:t>
      </w:r>
      <w:r w:rsidR="00292485" w:rsidRPr="00EA4A44">
        <w:rPr>
          <w:rFonts w:eastAsia="Calibri" w:cs="Times New Roman"/>
          <w:szCs w:val="24"/>
        </w:rPr>
        <w:t xml:space="preserve">The forest reserve is under the </w:t>
      </w:r>
      <w:r w:rsidR="00292485" w:rsidRPr="00EA4A44">
        <w:rPr>
          <w:rFonts w:eastAsia="Calibri" w:cs="Times New Roman"/>
          <w:szCs w:val="24"/>
        </w:rPr>
        <w:lastRenderedPageBreak/>
        <w:t xml:space="preserve">management of the </w:t>
      </w:r>
      <w:proofErr w:type="spellStart"/>
      <w:r w:rsidR="00292485" w:rsidRPr="00EA4A44">
        <w:rPr>
          <w:rFonts w:eastAsia="Calibri" w:cs="Times New Roman"/>
          <w:szCs w:val="24"/>
        </w:rPr>
        <w:t>Mpraeso</w:t>
      </w:r>
      <w:proofErr w:type="spellEnd"/>
      <w:r w:rsidR="00292485" w:rsidRPr="00EA4A44">
        <w:rPr>
          <w:rFonts w:eastAsia="Calibri" w:cs="Times New Roman"/>
          <w:szCs w:val="24"/>
        </w:rPr>
        <w:t xml:space="preserve"> Forest District and falls within the political administration of Kwahu South, East and West Municipal/District Assemblies. It is currently being managed </w:t>
      </w:r>
      <w:r w:rsidR="00292485">
        <w:rPr>
          <w:rFonts w:eastAsia="Calibri" w:cs="Times New Roman"/>
          <w:szCs w:val="24"/>
        </w:rPr>
        <w:t>by</w:t>
      </w:r>
      <w:r w:rsidR="00292485" w:rsidRPr="00EA4A44">
        <w:rPr>
          <w:rFonts w:eastAsia="Calibri" w:cs="Times New Roman"/>
          <w:szCs w:val="24"/>
        </w:rPr>
        <w:t xml:space="preserve"> the Forest Management Unit 39 (FMU 39). The reserve has a total area of 11 654.95ha (116.55km</w:t>
      </w:r>
      <w:r w:rsidR="00292485" w:rsidRPr="00EA4A44">
        <w:rPr>
          <w:rFonts w:eastAsia="Calibri" w:cs="Times New Roman"/>
          <w:szCs w:val="24"/>
          <w:vertAlign w:val="superscript"/>
        </w:rPr>
        <w:t>2</w:t>
      </w:r>
      <w:r w:rsidR="00292485" w:rsidRPr="00EA4A44">
        <w:rPr>
          <w:rFonts w:eastAsia="Calibri" w:cs="Times New Roman"/>
          <w:szCs w:val="24"/>
        </w:rPr>
        <w:t xml:space="preserve">), </w:t>
      </w:r>
      <w:r w:rsidR="00292485">
        <w:rPr>
          <w:rFonts w:eastAsia="Calibri" w:cs="Times New Roman"/>
          <w:szCs w:val="24"/>
        </w:rPr>
        <w:t xml:space="preserve">a </w:t>
      </w:r>
      <w:r w:rsidR="00292485" w:rsidRPr="00EA4A44">
        <w:rPr>
          <w:rFonts w:eastAsia="Calibri" w:cs="Times New Roman"/>
          <w:szCs w:val="24"/>
        </w:rPr>
        <w:t>total external perimeter of   146.38km</w:t>
      </w:r>
      <w:r w:rsidR="009B7D53" w:rsidRPr="009B7D53">
        <w:rPr>
          <w:rFonts w:eastAsia="Calibri" w:cs="Times New Roman"/>
          <w:szCs w:val="24"/>
          <w:vertAlign w:val="superscript"/>
        </w:rPr>
        <w:t>2</w:t>
      </w:r>
      <w:r w:rsidR="00292485" w:rsidRPr="00EA4A44">
        <w:rPr>
          <w:rFonts w:eastAsia="Calibri" w:cs="Times New Roman"/>
          <w:szCs w:val="24"/>
        </w:rPr>
        <w:t xml:space="preserve"> and </w:t>
      </w:r>
      <w:r w:rsidR="00292485">
        <w:rPr>
          <w:rFonts w:eastAsia="Calibri" w:cs="Times New Roman"/>
          <w:szCs w:val="24"/>
        </w:rPr>
        <w:t>an</w:t>
      </w:r>
      <w:r w:rsidR="00292485" w:rsidRPr="00EA4A44">
        <w:rPr>
          <w:rFonts w:eastAsia="Calibri" w:cs="Times New Roman"/>
          <w:szCs w:val="24"/>
        </w:rPr>
        <w:t xml:space="preserve"> internal boundary perimeter </w:t>
      </w:r>
      <w:r w:rsidR="00D35C91">
        <w:rPr>
          <w:rFonts w:eastAsia="Calibri" w:cs="Times New Roman"/>
          <w:szCs w:val="24"/>
        </w:rPr>
        <w:t>of</w:t>
      </w:r>
      <w:r w:rsidR="00292485" w:rsidRPr="00EA4A44">
        <w:rPr>
          <w:rFonts w:eastAsia="Calibri" w:cs="Times New Roman"/>
          <w:szCs w:val="24"/>
        </w:rPr>
        <w:t xml:space="preserve"> 350.14km.</w:t>
      </w:r>
      <w:bookmarkEnd w:id="263"/>
      <w:r w:rsidR="00292485" w:rsidRPr="00EA4A44">
        <w:rPr>
          <w:rFonts w:eastAsia="Calibri" w:cs="Times New Roman"/>
          <w:szCs w:val="24"/>
        </w:rPr>
        <w:t xml:space="preserve">  Figure </w:t>
      </w:r>
      <w:r w:rsidR="005432A0">
        <w:rPr>
          <w:rFonts w:eastAsia="Calibri" w:cs="Times New Roman"/>
          <w:szCs w:val="24"/>
        </w:rPr>
        <w:t>8</w:t>
      </w:r>
      <w:r w:rsidR="00292485" w:rsidRPr="00EA4A44">
        <w:rPr>
          <w:rFonts w:eastAsia="Calibri" w:cs="Times New Roman"/>
          <w:szCs w:val="24"/>
        </w:rPr>
        <w:t xml:space="preserve"> depicts the map of the geographical location of the Southern Scarp Forest Reserve.</w:t>
      </w:r>
    </w:p>
    <w:p w14:paraId="18D6E7CA" w14:textId="77777777" w:rsidR="00292485" w:rsidRDefault="001D5792" w:rsidP="00772DAC">
      <w:pPr>
        <w:pStyle w:val="BodyText"/>
        <w:ind w:left="0" w:firstLine="0"/>
      </w:pPr>
      <w:r>
        <w:rPr>
          <w:noProof/>
          <w:lang w:val="en-US"/>
        </w:rPr>
        <w:drawing>
          <wp:inline distT="0" distB="0" distL="0" distR="0" wp14:anchorId="4886C5B3" wp14:editId="755B4295">
            <wp:extent cx="4622395" cy="3318934"/>
            <wp:effectExtent l="0" t="0" r="6985" b="0"/>
            <wp:docPr id="219463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463391" name="Picture 21946339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629766" cy="3324227"/>
                    </a:xfrm>
                    <a:prstGeom prst="rect">
                      <a:avLst/>
                    </a:prstGeom>
                  </pic:spPr>
                </pic:pic>
              </a:graphicData>
            </a:graphic>
          </wp:inline>
        </w:drawing>
      </w:r>
    </w:p>
    <w:p w14:paraId="0786E4C3" w14:textId="6FF476BC" w:rsidR="00292485" w:rsidRPr="00E73A56" w:rsidRDefault="001A4919" w:rsidP="001A4919">
      <w:pPr>
        <w:pStyle w:val="Heading3"/>
        <w:ind w:left="0" w:firstLine="0"/>
        <w:rPr>
          <w:b/>
        </w:rPr>
      </w:pPr>
      <w:bookmarkStart w:id="264" w:name="_Toc155175880"/>
      <w:bookmarkStart w:id="265" w:name="_Toc161749069"/>
      <w:bookmarkStart w:id="266" w:name="_Toc161750330"/>
      <w:bookmarkStart w:id="267" w:name="_Toc163253999"/>
      <w:bookmarkStart w:id="268" w:name="_Toc172102380"/>
      <w:bookmarkStart w:id="269" w:name="_Toc197068822"/>
      <w:bookmarkStart w:id="270" w:name="_Toc199164933"/>
      <w:bookmarkStart w:id="271" w:name="_Toc202196566"/>
      <w:bookmarkStart w:id="272" w:name="_Toc202197644"/>
      <w:r w:rsidRPr="00E73A56">
        <w:rPr>
          <w:b/>
          <w:i/>
        </w:rPr>
        <w:t xml:space="preserve">Figure </w:t>
      </w:r>
      <w:r w:rsidR="00350FCC">
        <w:rPr>
          <w:b/>
          <w:i/>
        </w:rPr>
        <w:t>9</w:t>
      </w:r>
      <w:r w:rsidR="00292485" w:rsidRPr="00E73A56">
        <w:rPr>
          <w:b/>
        </w:rPr>
        <w:t>: Geographical Location of Southern Scarp Forest Reserve (Kwahu Portion)</w:t>
      </w:r>
      <w:bookmarkEnd w:id="264"/>
      <w:bookmarkEnd w:id="265"/>
      <w:bookmarkEnd w:id="266"/>
      <w:bookmarkEnd w:id="267"/>
      <w:bookmarkEnd w:id="268"/>
      <w:bookmarkEnd w:id="269"/>
      <w:bookmarkEnd w:id="270"/>
      <w:bookmarkEnd w:id="271"/>
      <w:bookmarkEnd w:id="272"/>
    </w:p>
    <w:p w14:paraId="5D02BF0A" w14:textId="404F2C66" w:rsidR="00292485" w:rsidRDefault="00292485" w:rsidP="00772DAC">
      <w:pPr>
        <w:pStyle w:val="BodyText"/>
        <w:ind w:left="0" w:firstLine="0"/>
        <w:rPr>
          <w:bCs/>
          <w:color w:val="000000" w:themeColor="text1"/>
          <w:szCs w:val="24"/>
        </w:rPr>
      </w:pPr>
      <w:r>
        <w:rPr>
          <w:bCs/>
          <w:color w:val="000000" w:themeColor="text1"/>
          <w:szCs w:val="24"/>
        </w:rPr>
        <w:t xml:space="preserve">Source: </w:t>
      </w:r>
      <w:r w:rsidR="001D5792">
        <w:rPr>
          <w:bCs/>
          <w:color w:val="000000" w:themeColor="text1"/>
          <w:szCs w:val="24"/>
        </w:rPr>
        <w:t>Department of Geography</w:t>
      </w:r>
      <w:r w:rsidR="00A23B96">
        <w:rPr>
          <w:bCs/>
          <w:color w:val="000000" w:themeColor="text1"/>
          <w:szCs w:val="24"/>
        </w:rPr>
        <w:t xml:space="preserve"> and Regional Planning</w:t>
      </w:r>
      <w:r w:rsidR="001D5792">
        <w:rPr>
          <w:bCs/>
          <w:color w:val="000000" w:themeColor="text1"/>
          <w:szCs w:val="24"/>
        </w:rPr>
        <w:t>, UCC</w:t>
      </w:r>
      <w:r>
        <w:rPr>
          <w:bCs/>
          <w:color w:val="000000" w:themeColor="text1"/>
          <w:szCs w:val="24"/>
        </w:rPr>
        <w:t xml:space="preserve"> (202</w:t>
      </w:r>
      <w:r w:rsidR="001D5792">
        <w:rPr>
          <w:bCs/>
          <w:color w:val="000000" w:themeColor="text1"/>
          <w:szCs w:val="24"/>
        </w:rPr>
        <w:t>3</w:t>
      </w:r>
      <w:r>
        <w:rPr>
          <w:bCs/>
          <w:color w:val="000000" w:themeColor="text1"/>
          <w:szCs w:val="24"/>
        </w:rPr>
        <w:t>).</w:t>
      </w:r>
    </w:p>
    <w:p w14:paraId="4D67D74C" w14:textId="6509EF07" w:rsidR="00292485" w:rsidRDefault="00292485" w:rsidP="001A4919">
      <w:pPr>
        <w:spacing w:after="0"/>
        <w:ind w:left="0"/>
        <w:rPr>
          <w:rFonts w:eastAsia="Calibri" w:cs="Times New Roman"/>
          <w:szCs w:val="24"/>
        </w:rPr>
      </w:pPr>
      <w:r w:rsidRPr="00EA4A44">
        <w:rPr>
          <w:rFonts w:eastAsia="Calibri" w:cs="Times New Roman"/>
          <w:szCs w:val="24"/>
        </w:rPr>
        <w:t>The external boundaries of the reserve are cut lines marked by numbered concrete pillars at approximate distances of 800m (40 Chains) till a change of direction. The external boundary pillaring in the Southern Scar</w:t>
      </w:r>
      <w:r w:rsidR="001A4919">
        <w:rPr>
          <w:rFonts w:eastAsia="Calibri" w:cs="Times New Roman"/>
          <w:szCs w:val="24"/>
        </w:rPr>
        <w:t xml:space="preserve">p Forest Reserve is clockwise. </w:t>
      </w:r>
      <w:r>
        <w:rPr>
          <w:rFonts w:eastAsia="Calibri" w:cs="Times New Roman"/>
          <w:szCs w:val="24"/>
        </w:rPr>
        <w:t>The reserve</w:t>
      </w:r>
      <w:r w:rsidRPr="00EA4A44">
        <w:rPr>
          <w:rFonts w:eastAsia="Calibri" w:cs="Times New Roman"/>
          <w:szCs w:val="24"/>
        </w:rPr>
        <w:t xml:space="preserve"> starts from BP 1 on the path from </w:t>
      </w:r>
      <w:proofErr w:type="spellStart"/>
      <w:r w:rsidRPr="00EA4A44">
        <w:rPr>
          <w:rFonts w:eastAsia="Calibri" w:cs="Times New Roman"/>
          <w:szCs w:val="24"/>
        </w:rPr>
        <w:t>Jejeti</w:t>
      </w:r>
      <w:proofErr w:type="spellEnd"/>
      <w:r w:rsidRPr="00EA4A44">
        <w:rPr>
          <w:rFonts w:eastAsia="Calibri" w:cs="Times New Roman"/>
          <w:szCs w:val="24"/>
        </w:rPr>
        <w:t xml:space="preserve"> to Kaira Camp and </w:t>
      </w:r>
      <w:r>
        <w:rPr>
          <w:rFonts w:eastAsia="Calibri" w:cs="Times New Roman"/>
          <w:szCs w:val="24"/>
        </w:rPr>
        <w:t xml:space="preserve">is </w:t>
      </w:r>
      <w:r w:rsidRPr="00EA4A44">
        <w:rPr>
          <w:rFonts w:eastAsia="Calibri" w:cs="Times New Roman"/>
          <w:szCs w:val="24"/>
        </w:rPr>
        <w:t xml:space="preserve">approximately 3.2km from </w:t>
      </w:r>
      <w:proofErr w:type="spellStart"/>
      <w:r w:rsidRPr="00EA4A44">
        <w:rPr>
          <w:rFonts w:eastAsia="Calibri" w:cs="Times New Roman"/>
          <w:szCs w:val="24"/>
        </w:rPr>
        <w:t>Jejeti</w:t>
      </w:r>
      <w:proofErr w:type="spellEnd"/>
      <w:r w:rsidRPr="00EA4A44">
        <w:rPr>
          <w:rFonts w:eastAsia="Calibri" w:cs="Times New Roman"/>
          <w:szCs w:val="24"/>
        </w:rPr>
        <w:t xml:space="preserve">. By a cut line in the </w:t>
      </w:r>
      <w:r w:rsidR="005561AC" w:rsidRPr="00EA4A44">
        <w:rPr>
          <w:rFonts w:eastAsia="Calibri" w:cs="Times New Roman"/>
          <w:szCs w:val="24"/>
        </w:rPr>
        <w:t>Northwest</w:t>
      </w:r>
      <w:r w:rsidRPr="00EA4A44">
        <w:rPr>
          <w:rFonts w:eastAsia="Calibri" w:cs="Times New Roman"/>
          <w:szCs w:val="24"/>
        </w:rPr>
        <w:t xml:space="preserve"> direction </w:t>
      </w:r>
      <w:r w:rsidRPr="00EA4A44">
        <w:rPr>
          <w:rFonts w:eastAsia="Calibri" w:cs="Times New Roman"/>
          <w:szCs w:val="24"/>
        </w:rPr>
        <w:lastRenderedPageBreak/>
        <w:t xml:space="preserve">passing through pillars BP 2- BP 10 to BP 11 and about ending at the point of commencement passes through pillars BP 220-226 to pillars G.C.S.E.P.17/25/63 situated on the road from </w:t>
      </w:r>
      <w:proofErr w:type="spellStart"/>
      <w:r w:rsidRPr="00EA4A44">
        <w:rPr>
          <w:rFonts w:eastAsia="Calibri" w:cs="Times New Roman"/>
          <w:szCs w:val="24"/>
        </w:rPr>
        <w:t>Nkawkaw</w:t>
      </w:r>
      <w:proofErr w:type="spellEnd"/>
      <w:r w:rsidRPr="00EA4A44">
        <w:rPr>
          <w:rFonts w:eastAsia="Calibri" w:cs="Times New Roman"/>
          <w:szCs w:val="24"/>
        </w:rPr>
        <w:t xml:space="preserve"> to </w:t>
      </w:r>
      <w:proofErr w:type="spellStart"/>
      <w:r w:rsidRPr="00EA4A44">
        <w:rPr>
          <w:rFonts w:eastAsia="Calibri" w:cs="Times New Roman"/>
          <w:szCs w:val="24"/>
        </w:rPr>
        <w:t>Obomeng</w:t>
      </w:r>
      <w:proofErr w:type="spellEnd"/>
      <w:r w:rsidR="00A23B96">
        <w:rPr>
          <w:rFonts w:eastAsia="Calibri" w:cs="Times New Roman"/>
          <w:szCs w:val="24"/>
        </w:rPr>
        <w:t xml:space="preserve"> (Forest Services Division, 2012).</w:t>
      </w:r>
    </w:p>
    <w:p w14:paraId="23BB5155" w14:textId="3294969B" w:rsidR="00292485" w:rsidRDefault="001A4919" w:rsidP="001A4919">
      <w:pPr>
        <w:spacing w:after="0"/>
        <w:ind w:left="0" w:firstLine="0"/>
        <w:rPr>
          <w:rFonts w:eastAsia="Calibri" w:cs="Times New Roman"/>
          <w:szCs w:val="24"/>
        </w:rPr>
      </w:pPr>
      <w:r>
        <w:rPr>
          <w:rFonts w:eastAsia="Calibri" w:cs="Times New Roman"/>
          <w:szCs w:val="24"/>
        </w:rPr>
        <w:tab/>
      </w:r>
      <w:r w:rsidR="00292485">
        <w:rPr>
          <w:rFonts w:eastAsia="Calibri" w:cs="Times New Roman"/>
          <w:szCs w:val="24"/>
        </w:rPr>
        <w:t>The Southern Scarp Forest Reserve</w:t>
      </w:r>
      <w:r w:rsidR="00292485" w:rsidRPr="00EA4A44">
        <w:rPr>
          <w:rFonts w:eastAsia="Calibri" w:cs="Times New Roman"/>
          <w:szCs w:val="24"/>
        </w:rPr>
        <w:t xml:space="preserve"> continues through pillars BP 252-254 to pillar BP 255</w:t>
      </w:r>
      <w:r w:rsidR="00D35C91">
        <w:rPr>
          <w:rFonts w:eastAsia="Calibri" w:cs="Times New Roman"/>
          <w:szCs w:val="24"/>
        </w:rPr>
        <w:t>,</w:t>
      </w:r>
      <w:r w:rsidR="00292485" w:rsidRPr="00EA4A44">
        <w:rPr>
          <w:rFonts w:eastAsia="Calibri" w:cs="Times New Roman"/>
          <w:szCs w:val="24"/>
        </w:rPr>
        <w:t xml:space="preserve"> situated on the right bank of River </w:t>
      </w:r>
      <w:proofErr w:type="spellStart"/>
      <w:r w:rsidR="00292485" w:rsidRPr="00EA4A44">
        <w:rPr>
          <w:rFonts w:eastAsia="Calibri" w:cs="Times New Roman"/>
          <w:szCs w:val="24"/>
        </w:rPr>
        <w:t>Osuben</w:t>
      </w:r>
      <w:proofErr w:type="spellEnd"/>
      <w:r w:rsidR="00292485" w:rsidRPr="00EA4A44">
        <w:rPr>
          <w:rFonts w:eastAsia="Calibri" w:cs="Times New Roman"/>
          <w:szCs w:val="24"/>
        </w:rPr>
        <w:t xml:space="preserve">. Then along this river in a Southeasterly direction through pillars BP 256-263 to pillar BP 264 situated on the left bank of the same river in the </w:t>
      </w:r>
      <w:r w:rsidR="00292485">
        <w:rPr>
          <w:rFonts w:eastAsia="Calibri" w:cs="Times New Roman"/>
          <w:szCs w:val="24"/>
        </w:rPr>
        <w:t>S</w:t>
      </w:r>
      <w:r w:rsidR="00292485" w:rsidRPr="00EA4A44">
        <w:rPr>
          <w:rFonts w:eastAsia="Calibri" w:cs="Times New Roman"/>
          <w:szCs w:val="24"/>
        </w:rPr>
        <w:t>outheast direction through pillars BP.265-267 to pillar G.C.S.E.P.17/25/32 hence a straight line to the starting point BP 1</w:t>
      </w:r>
      <w:r w:rsidR="00A23B96">
        <w:rPr>
          <w:rFonts w:eastAsia="Calibri" w:cs="Times New Roman"/>
          <w:szCs w:val="24"/>
        </w:rPr>
        <w:t xml:space="preserve"> (Forest Services division, 2012).</w:t>
      </w:r>
    </w:p>
    <w:p w14:paraId="642BF1BC" w14:textId="7BB6F82D" w:rsidR="00292485" w:rsidRPr="001A4919" w:rsidRDefault="001A4919" w:rsidP="001A4919">
      <w:pPr>
        <w:spacing w:after="0"/>
        <w:ind w:left="0" w:firstLine="0"/>
        <w:rPr>
          <w:rFonts w:cs="Times New Roman"/>
          <w:szCs w:val="24"/>
        </w:rPr>
      </w:pPr>
      <w:r>
        <w:rPr>
          <w:rFonts w:cs="Times New Roman"/>
          <w:szCs w:val="24"/>
        </w:rPr>
        <w:tab/>
      </w:r>
      <w:r w:rsidR="00292485" w:rsidRPr="00EA4A44">
        <w:rPr>
          <w:rFonts w:cs="Times New Roman"/>
          <w:szCs w:val="24"/>
        </w:rPr>
        <w:t xml:space="preserve">Physically, the Southern Scarp Forest Reserve (Kwahu portion) is the closest forest reserve to the town of </w:t>
      </w:r>
      <w:proofErr w:type="spellStart"/>
      <w:r w:rsidR="00292485" w:rsidRPr="00EA4A44">
        <w:rPr>
          <w:rFonts w:cs="Times New Roman"/>
          <w:szCs w:val="24"/>
        </w:rPr>
        <w:t>Nkawkaw</w:t>
      </w:r>
      <w:proofErr w:type="spellEnd"/>
      <w:r w:rsidR="00292485" w:rsidRPr="00EA4A44">
        <w:rPr>
          <w:rFonts w:cs="Times New Roman"/>
          <w:szCs w:val="24"/>
        </w:rPr>
        <w:t xml:space="preserve">, off the main Kumasi-Accra Road </w:t>
      </w:r>
      <w:proofErr w:type="gramStart"/>
      <w:r w:rsidR="00292485" w:rsidRPr="00EA4A44">
        <w:rPr>
          <w:rFonts w:cs="Times New Roman"/>
          <w:szCs w:val="24"/>
        </w:rPr>
        <w:t>and also</w:t>
      </w:r>
      <w:proofErr w:type="gramEnd"/>
      <w:r w:rsidR="00292485" w:rsidRPr="00EA4A44">
        <w:rPr>
          <w:rFonts w:cs="Times New Roman"/>
          <w:szCs w:val="24"/>
        </w:rPr>
        <w:t xml:space="preserve"> closer to </w:t>
      </w:r>
      <w:proofErr w:type="spellStart"/>
      <w:r w:rsidR="00292485" w:rsidRPr="00EA4A44">
        <w:rPr>
          <w:rFonts w:cs="Times New Roman"/>
          <w:szCs w:val="24"/>
        </w:rPr>
        <w:t>Atibie</w:t>
      </w:r>
      <w:proofErr w:type="spellEnd"/>
      <w:r w:rsidR="00292485" w:rsidRPr="00EA4A44">
        <w:rPr>
          <w:rFonts w:cs="Times New Roman"/>
          <w:szCs w:val="24"/>
        </w:rPr>
        <w:t xml:space="preserve">, </w:t>
      </w:r>
      <w:proofErr w:type="spellStart"/>
      <w:r w:rsidR="00292485" w:rsidRPr="00EA4A44">
        <w:rPr>
          <w:rFonts w:cs="Times New Roman"/>
          <w:szCs w:val="24"/>
        </w:rPr>
        <w:t>Twenedurase</w:t>
      </w:r>
      <w:proofErr w:type="spellEnd"/>
      <w:r w:rsidR="00292485" w:rsidRPr="00EA4A44">
        <w:rPr>
          <w:rFonts w:cs="Times New Roman"/>
          <w:szCs w:val="24"/>
        </w:rPr>
        <w:t xml:space="preserve"> and </w:t>
      </w:r>
      <w:proofErr w:type="spellStart"/>
      <w:r w:rsidR="00292485" w:rsidRPr="00EA4A44">
        <w:rPr>
          <w:rFonts w:cs="Times New Roman"/>
          <w:szCs w:val="24"/>
        </w:rPr>
        <w:t>Obomeng</w:t>
      </w:r>
      <w:proofErr w:type="spellEnd"/>
      <w:r w:rsidR="00292485" w:rsidRPr="00EA4A44">
        <w:rPr>
          <w:rFonts w:cs="Times New Roman"/>
          <w:szCs w:val="24"/>
        </w:rPr>
        <w:t xml:space="preserve"> on the Kwahu enclave. </w:t>
      </w:r>
      <w:r w:rsidR="00292485" w:rsidRPr="00EA4A44">
        <w:rPr>
          <w:rFonts w:eastAsia="Calibri" w:cs="Times New Roman"/>
          <w:szCs w:val="24"/>
        </w:rPr>
        <w:t>The reserve has steep slopes forming a range of escarpments</w:t>
      </w:r>
      <w:r w:rsidR="00D35C91">
        <w:rPr>
          <w:rFonts w:eastAsia="Calibri" w:cs="Times New Roman"/>
          <w:szCs w:val="24"/>
        </w:rPr>
        <w:t>,</w:t>
      </w:r>
      <w:r w:rsidR="00292485" w:rsidRPr="00EA4A44">
        <w:rPr>
          <w:rFonts w:eastAsia="Calibri" w:cs="Times New Roman"/>
          <w:szCs w:val="24"/>
        </w:rPr>
        <w:t xml:space="preserve"> hence the name scarp.  Some portions of the reserve also have steep slopes and gently edged cliffs with an average elevation of 481 m above sea level</w:t>
      </w:r>
      <w:r w:rsidR="00292485" w:rsidRPr="00EA4A44">
        <w:rPr>
          <w:rFonts w:eastAsia="Times New Roman" w:cs="Times New Roman"/>
          <w:szCs w:val="24"/>
        </w:rPr>
        <w:t xml:space="preserve">. </w:t>
      </w:r>
      <w:proofErr w:type="spellStart"/>
      <w:r w:rsidR="00292485" w:rsidRPr="00EA4A44">
        <w:rPr>
          <w:rFonts w:eastAsia="Times New Roman" w:cs="Times New Roman"/>
          <w:szCs w:val="24"/>
        </w:rPr>
        <w:t>Odweanoma</w:t>
      </w:r>
      <w:proofErr w:type="spellEnd"/>
      <w:r w:rsidR="00292485" w:rsidRPr="00EA4A44">
        <w:rPr>
          <w:rFonts w:eastAsia="Times New Roman" w:cs="Times New Roman"/>
          <w:szCs w:val="24"/>
        </w:rPr>
        <w:t xml:space="preserve">, one of the highest peaks, located between </w:t>
      </w:r>
      <w:proofErr w:type="spellStart"/>
      <w:r w:rsidR="00292485" w:rsidRPr="00EA4A44">
        <w:rPr>
          <w:rFonts w:eastAsia="Times New Roman" w:cs="Times New Roman"/>
          <w:szCs w:val="24"/>
        </w:rPr>
        <w:t>Atibie</w:t>
      </w:r>
      <w:proofErr w:type="spellEnd"/>
      <w:r w:rsidR="00292485" w:rsidRPr="00EA4A44">
        <w:rPr>
          <w:rFonts w:eastAsia="Times New Roman" w:cs="Times New Roman"/>
          <w:szCs w:val="24"/>
        </w:rPr>
        <w:t xml:space="preserve"> and </w:t>
      </w:r>
      <w:proofErr w:type="spellStart"/>
      <w:r w:rsidR="00292485" w:rsidRPr="00EA4A44">
        <w:rPr>
          <w:rFonts w:eastAsia="Times New Roman" w:cs="Times New Roman"/>
          <w:szCs w:val="24"/>
        </w:rPr>
        <w:t>Nkawkaw</w:t>
      </w:r>
      <w:proofErr w:type="spellEnd"/>
      <w:r w:rsidR="00292485" w:rsidRPr="00EA4A44">
        <w:rPr>
          <w:rFonts w:eastAsia="Times New Roman" w:cs="Times New Roman"/>
          <w:szCs w:val="24"/>
        </w:rPr>
        <w:t xml:space="preserve">, is </w:t>
      </w:r>
      <w:r w:rsidR="00D35C91">
        <w:rPr>
          <w:rFonts w:eastAsia="Times New Roman" w:cs="Times New Roman"/>
          <w:szCs w:val="24"/>
        </w:rPr>
        <w:t>a paragliding site during festive seasons and</w:t>
      </w:r>
      <w:r w:rsidR="00292485" w:rsidRPr="00EA4A44">
        <w:rPr>
          <w:rFonts w:eastAsia="Times New Roman" w:cs="Times New Roman"/>
          <w:szCs w:val="24"/>
        </w:rPr>
        <w:t xml:space="preserve"> stands about 770 m above sea level</w:t>
      </w:r>
      <w:r w:rsidR="00A23B96">
        <w:rPr>
          <w:rFonts w:eastAsia="Times New Roman" w:cs="Times New Roman"/>
          <w:szCs w:val="24"/>
        </w:rPr>
        <w:t xml:space="preserve"> (Forest Services Division, 2012).</w:t>
      </w:r>
    </w:p>
    <w:p w14:paraId="04E59A8F" w14:textId="77777777" w:rsidR="00292485" w:rsidRDefault="001A4919" w:rsidP="00772DAC">
      <w:pPr>
        <w:spacing w:after="200"/>
        <w:ind w:left="0" w:firstLine="0"/>
        <w:rPr>
          <w:rFonts w:eastAsia="Times New Roman" w:cs="Times New Roman"/>
          <w:b/>
          <w:szCs w:val="24"/>
        </w:rPr>
      </w:pPr>
      <w:r>
        <w:rPr>
          <w:rFonts w:eastAsia="Calibri" w:cs="Times New Roman"/>
          <w:szCs w:val="24"/>
        </w:rPr>
        <w:tab/>
      </w:r>
      <w:r w:rsidR="00292485" w:rsidRPr="00EA4A44">
        <w:rPr>
          <w:rFonts w:eastAsia="Calibri" w:cs="Times New Roman"/>
          <w:szCs w:val="24"/>
        </w:rPr>
        <w:t>The reserve is hugely undulating with steep/sharp</w:t>
      </w:r>
      <w:r w:rsidR="00292485">
        <w:rPr>
          <w:rFonts w:eastAsia="Calibri" w:cs="Times New Roman"/>
          <w:szCs w:val="24"/>
        </w:rPr>
        <w:t>-</w:t>
      </w:r>
      <w:r w:rsidR="00292485" w:rsidRPr="00EA4A44">
        <w:rPr>
          <w:rFonts w:eastAsia="Calibri" w:cs="Times New Roman"/>
          <w:szCs w:val="24"/>
        </w:rPr>
        <w:t>ended rocky cliffs. The nature of rocks/soils</w:t>
      </w:r>
      <w:r w:rsidR="00D35C91">
        <w:rPr>
          <w:rFonts w:eastAsia="Calibri" w:cs="Times New Roman"/>
          <w:szCs w:val="24"/>
        </w:rPr>
        <w:t>,</w:t>
      </w:r>
      <w:r w:rsidR="00292485" w:rsidRPr="00EA4A44">
        <w:rPr>
          <w:rFonts w:eastAsia="Calibri" w:cs="Times New Roman"/>
          <w:szCs w:val="24"/>
        </w:rPr>
        <w:t xml:space="preserve"> mainly</w:t>
      </w:r>
      <w:r w:rsidR="00292485" w:rsidRPr="00EA4A44">
        <w:rPr>
          <w:rFonts w:eastAsia="Calibri" w:cs="Times New Roman"/>
          <w:color w:val="000000"/>
          <w:szCs w:val="24"/>
        </w:rPr>
        <w:t xml:space="preserve"> sand, gravels, limestones, or basalts</w:t>
      </w:r>
      <w:r w:rsidR="00D35C91">
        <w:rPr>
          <w:rFonts w:eastAsia="Calibri" w:cs="Times New Roman"/>
          <w:color w:val="000000"/>
          <w:szCs w:val="24"/>
        </w:rPr>
        <w:t>, has created saturated permeable layers known as aquifers capable of providing a usable water supply</w:t>
      </w:r>
      <w:r w:rsidR="00292485" w:rsidRPr="00EA4A44">
        <w:rPr>
          <w:rFonts w:eastAsia="Calibri" w:cs="Times New Roman"/>
          <w:color w:val="000000"/>
          <w:szCs w:val="24"/>
        </w:rPr>
        <w:t xml:space="preserve">. Many rivers and streams take their source from the Reserve. </w:t>
      </w:r>
      <w:proofErr w:type="gramStart"/>
      <w:r w:rsidR="00292485" w:rsidRPr="00EA4A44">
        <w:rPr>
          <w:rFonts w:eastAsia="Calibri" w:cs="Times New Roman"/>
          <w:color w:val="000000"/>
          <w:szCs w:val="24"/>
        </w:rPr>
        <w:t>Notable</w:t>
      </w:r>
      <w:proofErr w:type="gramEnd"/>
      <w:r w:rsidR="00292485" w:rsidRPr="00EA4A44">
        <w:rPr>
          <w:rFonts w:eastAsia="Calibri" w:cs="Times New Roman"/>
          <w:color w:val="000000"/>
          <w:szCs w:val="24"/>
        </w:rPr>
        <w:t xml:space="preserve"> are the</w:t>
      </w:r>
      <w:r w:rsidR="00292485" w:rsidRPr="00EA4A44">
        <w:rPr>
          <w:rFonts w:eastAsia="Calibri" w:cs="Times New Roman"/>
          <w:szCs w:val="24"/>
        </w:rPr>
        <w:t xml:space="preserve"> </w:t>
      </w:r>
      <w:proofErr w:type="spellStart"/>
      <w:r w:rsidR="00292485" w:rsidRPr="00EA4A44">
        <w:rPr>
          <w:rFonts w:eastAsia="Calibri" w:cs="Times New Roman"/>
          <w:szCs w:val="24"/>
        </w:rPr>
        <w:t>Pra</w:t>
      </w:r>
      <w:proofErr w:type="spellEnd"/>
      <w:r w:rsidR="00292485" w:rsidRPr="00EA4A44">
        <w:rPr>
          <w:rFonts w:eastAsia="Calibri" w:cs="Times New Roman"/>
          <w:szCs w:val="24"/>
        </w:rPr>
        <w:t xml:space="preserve"> River, </w:t>
      </w:r>
      <w:r w:rsidR="00F92C8F">
        <w:rPr>
          <w:rFonts w:eastAsia="Calibri" w:cs="Times New Roman"/>
          <w:szCs w:val="24"/>
        </w:rPr>
        <w:t xml:space="preserve">the </w:t>
      </w:r>
      <w:proofErr w:type="spellStart"/>
      <w:r w:rsidR="00292485" w:rsidRPr="00EA4A44">
        <w:rPr>
          <w:rFonts w:eastAsia="Calibri" w:cs="Times New Roman"/>
          <w:szCs w:val="24"/>
        </w:rPr>
        <w:t>Asubone</w:t>
      </w:r>
      <w:proofErr w:type="spellEnd"/>
      <w:r w:rsidR="00292485" w:rsidRPr="00EA4A44">
        <w:rPr>
          <w:rFonts w:eastAsia="Calibri" w:cs="Times New Roman"/>
          <w:szCs w:val="24"/>
        </w:rPr>
        <w:t xml:space="preserve"> River, the </w:t>
      </w:r>
      <w:proofErr w:type="spellStart"/>
      <w:r w:rsidR="00292485" w:rsidRPr="00EA4A44">
        <w:rPr>
          <w:rFonts w:eastAsia="Calibri" w:cs="Times New Roman"/>
          <w:szCs w:val="24"/>
        </w:rPr>
        <w:t>Drobon</w:t>
      </w:r>
      <w:proofErr w:type="spellEnd"/>
      <w:r w:rsidR="00292485" w:rsidRPr="00EA4A44">
        <w:rPr>
          <w:rFonts w:eastAsia="Calibri" w:cs="Times New Roman"/>
          <w:szCs w:val="24"/>
        </w:rPr>
        <w:t xml:space="preserve"> River and the Adowaa River. </w:t>
      </w:r>
    </w:p>
    <w:p w14:paraId="77670A95" w14:textId="77777777" w:rsidR="00292485" w:rsidRPr="00074089" w:rsidRDefault="00292485" w:rsidP="00AC301D">
      <w:pPr>
        <w:pStyle w:val="Heading2"/>
        <w:ind w:left="0"/>
        <w:rPr>
          <w:rStyle w:val="markedcontent"/>
        </w:rPr>
      </w:pPr>
      <w:bookmarkStart w:id="273" w:name="_Toc202197645"/>
      <w:r w:rsidRPr="00074089">
        <w:rPr>
          <w:rStyle w:val="markedcontent"/>
        </w:rPr>
        <w:lastRenderedPageBreak/>
        <w:t xml:space="preserve">Household </w:t>
      </w:r>
      <w:r w:rsidRPr="00AC301D">
        <w:rPr>
          <w:rStyle w:val="markedcontent"/>
        </w:rPr>
        <w:t>Characteristics</w:t>
      </w:r>
      <w:bookmarkEnd w:id="273"/>
    </w:p>
    <w:p w14:paraId="470DDD88" w14:textId="25524076" w:rsidR="00C20FA0" w:rsidRDefault="001A4919" w:rsidP="00772DAC">
      <w:pPr>
        <w:pStyle w:val="BodyText"/>
        <w:ind w:left="0" w:firstLine="0"/>
        <w:rPr>
          <w:rStyle w:val="markedcontent"/>
          <w:rFonts w:cs="Times New Roman"/>
        </w:rPr>
      </w:pPr>
      <w:r>
        <w:rPr>
          <w:rStyle w:val="markedcontent"/>
          <w:rFonts w:cs="Times New Roman"/>
        </w:rPr>
        <w:tab/>
      </w:r>
      <w:r w:rsidR="00C20FA0" w:rsidRPr="00C20FA0">
        <w:rPr>
          <w:rStyle w:val="markedcontent"/>
          <w:rFonts w:cs="Times New Roman"/>
        </w:rPr>
        <w:t>The</w:t>
      </w:r>
      <w:r w:rsidR="00350FCC" w:rsidRPr="00EA4A44">
        <w:rPr>
          <w:rFonts w:eastAsia="Calibri" w:cs="Times New Roman"/>
          <w:szCs w:val="24"/>
        </w:rPr>
        <w:t xml:space="preserve"> </w:t>
      </w:r>
      <w:proofErr w:type="spellStart"/>
      <w:r w:rsidR="00350FCC" w:rsidRPr="00EA4A44">
        <w:rPr>
          <w:rFonts w:eastAsia="Calibri" w:cs="Times New Roman"/>
          <w:szCs w:val="24"/>
        </w:rPr>
        <w:t>Mpraeso</w:t>
      </w:r>
      <w:proofErr w:type="spellEnd"/>
      <w:r w:rsidR="00350FCC" w:rsidRPr="00EA4A44">
        <w:rPr>
          <w:rFonts w:eastAsia="Calibri" w:cs="Times New Roman"/>
          <w:szCs w:val="24"/>
        </w:rPr>
        <w:t xml:space="preserve"> Forest District</w:t>
      </w:r>
      <w:r w:rsidR="00C20FA0" w:rsidRPr="00C20FA0">
        <w:rPr>
          <w:rStyle w:val="markedcontent"/>
          <w:rFonts w:cs="Times New Roman"/>
        </w:rPr>
        <w:t xml:space="preserve"> comprises a household population of 68,182, distributed among 16,725 households. The average household size stands at 4.1 individuals. Notably, children </w:t>
      </w:r>
      <w:r w:rsidR="00D35C91">
        <w:rPr>
          <w:rStyle w:val="markedcontent"/>
          <w:rFonts w:cs="Times New Roman"/>
        </w:rPr>
        <w:t>comprise the largest household structure segment</w:t>
      </w:r>
      <w:r w:rsidR="00C20FA0" w:rsidRPr="00C20FA0">
        <w:rPr>
          <w:rStyle w:val="markedcontent"/>
          <w:rFonts w:cs="Times New Roman"/>
        </w:rPr>
        <w:t>, 38.1 per</w:t>
      </w:r>
      <w:r w:rsidR="00D35C91">
        <w:rPr>
          <w:rStyle w:val="markedcontent"/>
          <w:rFonts w:cs="Times New Roman"/>
        </w:rPr>
        <w:t xml:space="preserve"> </w:t>
      </w:r>
      <w:r w:rsidR="00C20FA0" w:rsidRPr="00C20FA0">
        <w:rPr>
          <w:rStyle w:val="markedcontent"/>
          <w:rFonts w:cs="Times New Roman"/>
        </w:rPr>
        <w:t>cent, while spouses constitute approximately 9.4 per</w:t>
      </w:r>
      <w:r w:rsidR="00D35C91">
        <w:rPr>
          <w:rStyle w:val="markedcontent"/>
          <w:rFonts w:cs="Times New Roman"/>
        </w:rPr>
        <w:t xml:space="preserve"> </w:t>
      </w:r>
      <w:r w:rsidR="00C20FA0" w:rsidRPr="00C20FA0">
        <w:rPr>
          <w:rStyle w:val="markedcontent"/>
          <w:rFonts w:cs="Times New Roman"/>
        </w:rPr>
        <w:t>cent. Nuclear households, consisting of the head, spouse(s), and children, represent 23.3 per</w:t>
      </w:r>
      <w:r w:rsidR="00D35C91">
        <w:rPr>
          <w:rStyle w:val="markedcontent"/>
          <w:rFonts w:cs="Times New Roman"/>
        </w:rPr>
        <w:t xml:space="preserve"> </w:t>
      </w:r>
      <w:r w:rsidR="00C20FA0" w:rsidRPr="00C20FA0">
        <w:rPr>
          <w:rStyle w:val="markedcontent"/>
          <w:rFonts w:cs="Times New Roman"/>
        </w:rPr>
        <w:t>cent of the to</w:t>
      </w:r>
      <w:r>
        <w:rPr>
          <w:rStyle w:val="markedcontent"/>
          <w:rFonts w:cs="Times New Roman"/>
        </w:rPr>
        <w:t xml:space="preserve">tal households in the district. </w:t>
      </w:r>
      <w:r w:rsidR="00D35C91">
        <w:rPr>
          <w:rStyle w:val="markedcontent"/>
          <w:rFonts w:cs="Times New Roman"/>
        </w:rPr>
        <w:t>Regarding</w:t>
      </w:r>
      <w:r w:rsidR="00C20FA0" w:rsidRPr="00C20FA0">
        <w:rPr>
          <w:rStyle w:val="markedcontent"/>
          <w:rFonts w:cs="Times New Roman"/>
        </w:rPr>
        <w:t xml:space="preserve"> literacy among individuals aged 11 years and above, 79.5 per</w:t>
      </w:r>
      <w:r w:rsidR="00D35C91">
        <w:rPr>
          <w:rStyle w:val="markedcontent"/>
          <w:rFonts w:cs="Times New Roman"/>
        </w:rPr>
        <w:t xml:space="preserve"> </w:t>
      </w:r>
      <w:r w:rsidR="00C20FA0" w:rsidRPr="00C20FA0">
        <w:rPr>
          <w:rStyle w:val="markedcontent"/>
          <w:rFonts w:cs="Times New Roman"/>
        </w:rPr>
        <w:t>cent are literate, whereas 20.5 per</w:t>
      </w:r>
      <w:r w:rsidR="00D35C91">
        <w:rPr>
          <w:rStyle w:val="markedcontent"/>
          <w:rFonts w:cs="Times New Roman"/>
        </w:rPr>
        <w:t xml:space="preserve"> </w:t>
      </w:r>
      <w:r w:rsidR="00C20FA0" w:rsidRPr="00C20FA0">
        <w:rPr>
          <w:rStyle w:val="markedcontent"/>
          <w:rFonts w:cs="Times New Roman"/>
        </w:rPr>
        <w:t>cent are non-literate. The literacy rate is higher among males at 86.0 per</w:t>
      </w:r>
      <w:r w:rsidR="00D35C91">
        <w:rPr>
          <w:rStyle w:val="markedcontent"/>
          <w:rFonts w:cs="Times New Roman"/>
        </w:rPr>
        <w:t xml:space="preserve"> </w:t>
      </w:r>
      <w:r w:rsidR="00C20FA0" w:rsidRPr="00C20FA0">
        <w:rPr>
          <w:rStyle w:val="markedcontent"/>
          <w:rFonts w:cs="Times New Roman"/>
        </w:rPr>
        <w:t>cent compared to females at 73.8 per</w:t>
      </w:r>
      <w:r w:rsidR="00D35C91">
        <w:rPr>
          <w:rStyle w:val="markedcontent"/>
          <w:rFonts w:cs="Times New Roman"/>
        </w:rPr>
        <w:t xml:space="preserve"> </w:t>
      </w:r>
      <w:r w:rsidR="00C20FA0" w:rsidRPr="00C20FA0">
        <w:rPr>
          <w:rStyle w:val="markedcontent"/>
          <w:rFonts w:cs="Times New Roman"/>
        </w:rPr>
        <w:t xml:space="preserve">cent. A significant portion of the population (66.6%) reported proficiency in </w:t>
      </w:r>
      <w:r>
        <w:rPr>
          <w:rStyle w:val="markedcontent"/>
          <w:rFonts w:cs="Times New Roman"/>
        </w:rPr>
        <w:t xml:space="preserve">English and Ghanaian languages. </w:t>
      </w:r>
      <w:r w:rsidR="00C20FA0" w:rsidRPr="00C20FA0">
        <w:rPr>
          <w:rStyle w:val="markedcontent"/>
          <w:rFonts w:cs="Times New Roman"/>
        </w:rPr>
        <w:t xml:space="preserve">Regarding educational attainment for those </w:t>
      </w:r>
      <w:r w:rsidR="00D35C91">
        <w:rPr>
          <w:rStyle w:val="markedcontent"/>
          <w:rFonts w:cs="Times New Roman"/>
        </w:rPr>
        <w:t>three</w:t>
      </w:r>
      <w:r w:rsidR="00C20FA0" w:rsidRPr="00C20FA0">
        <w:rPr>
          <w:rStyle w:val="markedcontent"/>
          <w:rFonts w:cs="Times New Roman"/>
        </w:rPr>
        <w:t xml:space="preserve"> years and above, 19.0 per</w:t>
      </w:r>
      <w:r w:rsidR="00D35C91">
        <w:rPr>
          <w:rStyle w:val="markedcontent"/>
          <w:rFonts w:cs="Times New Roman"/>
        </w:rPr>
        <w:t xml:space="preserve"> </w:t>
      </w:r>
      <w:r w:rsidR="00C20FA0" w:rsidRPr="00C20FA0">
        <w:rPr>
          <w:rStyle w:val="markedcontent"/>
          <w:rFonts w:cs="Times New Roman"/>
        </w:rPr>
        <w:t>cent have never attended school, 39.1 per</w:t>
      </w:r>
      <w:r w:rsidR="00D35C91">
        <w:rPr>
          <w:rStyle w:val="markedcontent"/>
          <w:rFonts w:cs="Times New Roman"/>
        </w:rPr>
        <w:t xml:space="preserve"> </w:t>
      </w:r>
      <w:r w:rsidR="00C20FA0" w:rsidRPr="00C20FA0">
        <w:rPr>
          <w:rStyle w:val="markedcontent"/>
          <w:rFonts w:cs="Times New Roman"/>
        </w:rPr>
        <w:t>cent are currently attending, and 41.9 per</w:t>
      </w:r>
      <w:r w:rsidR="00D35C91">
        <w:rPr>
          <w:rStyle w:val="markedcontent"/>
          <w:rFonts w:cs="Times New Roman"/>
        </w:rPr>
        <w:t xml:space="preserve"> </w:t>
      </w:r>
      <w:r w:rsidR="00C20FA0" w:rsidRPr="00C20FA0">
        <w:rPr>
          <w:rStyle w:val="markedcontent"/>
          <w:rFonts w:cs="Times New Roman"/>
        </w:rPr>
        <w:t>cent have had past attendance</w:t>
      </w:r>
      <w:r w:rsidR="00A23B96">
        <w:rPr>
          <w:rStyle w:val="markedcontent"/>
          <w:rFonts w:cs="Times New Roman"/>
        </w:rPr>
        <w:t xml:space="preserve"> (GSS, 2010).</w:t>
      </w:r>
    </w:p>
    <w:p w14:paraId="79F8775B" w14:textId="77777777" w:rsidR="00292485" w:rsidRPr="00074089" w:rsidRDefault="00292485" w:rsidP="00AC301D">
      <w:pPr>
        <w:pStyle w:val="Heading2"/>
        <w:ind w:left="0"/>
        <w:rPr>
          <w:rStyle w:val="markedcontent"/>
        </w:rPr>
      </w:pPr>
      <w:bookmarkStart w:id="274" w:name="_Toc202197646"/>
      <w:r w:rsidRPr="00074089">
        <w:rPr>
          <w:rStyle w:val="markedcontent"/>
        </w:rPr>
        <w:t xml:space="preserve">Economic </w:t>
      </w:r>
      <w:r w:rsidRPr="00AC301D">
        <w:rPr>
          <w:rStyle w:val="markedcontent"/>
        </w:rPr>
        <w:t>Activity</w:t>
      </w:r>
      <w:r w:rsidRPr="00074089">
        <w:rPr>
          <w:rStyle w:val="markedcontent"/>
        </w:rPr>
        <w:t xml:space="preserve"> Status</w:t>
      </w:r>
      <w:bookmarkEnd w:id="274"/>
      <w:r w:rsidRPr="00074089">
        <w:rPr>
          <w:rStyle w:val="markedcontent"/>
        </w:rPr>
        <w:t xml:space="preserve"> </w:t>
      </w:r>
    </w:p>
    <w:p w14:paraId="4C07CCCD" w14:textId="75CAEFEC" w:rsidR="00C20FA0" w:rsidRPr="00C20FA0" w:rsidRDefault="001A4919" w:rsidP="001A4919">
      <w:pPr>
        <w:spacing w:after="0"/>
        <w:ind w:left="0" w:firstLine="0"/>
        <w:rPr>
          <w:rStyle w:val="markedcontent"/>
          <w:rFonts w:cs="Times New Roman"/>
        </w:rPr>
      </w:pPr>
      <w:r>
        <w:rPr>
          <w:rStyle w:val="markedcontent"/>
          <w:rFonts w:cs="Times New Roman"/>
        </w:rPr>
        <w:tab/>
      </w:r>
      <w:r w:rsidR="00C20FA0" w:rsidRPr="00C20FA0">
        <w:rPr>
          <w:rStyle w:val="markedcontent"/>
          <w:rFonts w:cs="Times New Roman"/>
        </w:rPr>
        <w:t>Approximately 71.</w:t>
      </w:r>
      <w:r w:rsidR="00D35C91">
        <w:rPr>
          <w:rStyle w:val="markedcontent"/>
          <w:rFonts w:cs="Times New Roman"/>
        </w:rPr>
        <w:t>2 per cent</w:t>
      </w:r>
      <w:r w:rsidR="00C20FA0" w:rsidRPr="00C20FA0">
        <w:rPr>
          <w:rStyle w:val="markedcontent"/>
          <w:rFonts w:cs="Times New Roman"/>
        </w:rPr>
        <w:t xml:space="preserve"> of the population aged 15 years and older a</w:t>
      </w:r>
      <w:r w:rsidR="00D35C91">
        <w:rPr>
          <w:rStyle w:val="markedcontent"/>
          <w:rFonts w:cs="Times New Roman"/>
        </w:rPr>
        <w:t>ctively participate</w:t>
      </w:r>
      <w:r w:rsidR="00C20FA0" w:rsidRPr="00C20FA0">
        <w:rPr>
          <w:rStyle w:val="markedcontent"/>
          <w:rFonts w:cs="Times New Roman"/>
        </w:rPr>
        <w:t xml:space="preserve"> in the economy, while 28.</w:t>
      </w:r>
      <w:r w:rsidR="00D35C91">
        <w:rPr>
          <w:rStyle w:val="markedcontent"/>
          <w:rFonts w:cs="Times New Roman"/>
        </w:rPr>
        <w:t>8 per cent</w:t>
      </w:r>
      <w:r w:rsidR="00C20FA0" w:rsidRPr="00C20FA0">
        <w:rPr>
          <w:rStyle w:val="markedcontent"/>
          <w:rFonts w:cs="Times New Roman"/>
        </w:rPr>
        <w:t xml:space="preserve"> are not economically active. Within the economically active segment, 94.7</w:t>
      </w:r>
      <w:r w:rsidR="00D35C91">
        <w:rPr>
          <w:rStyle w:val="markedcontent"/>
          <w:rFonts w:cs="Times New Roman"/>
        </w:rPr>
        <w:t xml:space="preserve"> per cent</w:t>
      </w:r>
      <w:r w:rsidR="00C20FA0" w:rsidRPr="00C20FA0">
        <w:rPr>
          <w:rStyle w:val="markedcontent"/>
          <w:rFonts w:cs="Times New Roman"/>
        </w:rPr>
        <w:t xml:space="preserve"> are employed, and the remaining 5.3% are unemployed. Among those not economically active, a significant proportion are students (43.6%), followed by individuals performing household duties (20.5%), and 9.2</w:t>
      </w:r>
      <w:r w:rsidR="00D35C91">
        <w:rPr>
          <w:rStyle w:val="markedcontent"/>
          <w:rFonts w:cs="Times New Roman"/>
        </w:rPr>
        <w:t xml:space="preserve"> per cent</w:t>
      </w:r>
      <w:r w:rsidR="00C20FA0" w:rsidRPr="00C20FA0">
        <w:rPr>
          <w:rStyle w:val="markedcontent"/>
          <w:rFonts w:cs="Times New Roman"/>
        </w:rPr>
        <w:t xml:space="preserve"> who are disabled or too unwell to work. Notably, six out of ten unemployed individuals are actively seeking employment for the first time</w:t>
      </w:r>
      <w:r w:rsidR="00A23B96">
        <w:rPr>
          <w:rStyle w:val="markedcontent"/>
          <w:rFonts w:cs="Times New Roman"/>
        </w:rPr>
        <w:t xml:space="preserve"> (GSS, 2010).</w:t>
      </w:r>
    </w:p>
    <w:p w14:paraId="051DB3B3" w14:textId="6BF17C17" w:rsidR="00154C92" w:rsidRDefault="001A4919" w:rsidP="00154C92">
      <w:pPr>
        <w:ind w:left="0" w:firstLine="0"/>
        <w:rPr>
          <w:rStyle w:val="markedcontent"/>
          <w:rFonts w:cs="Times New Roman"/>
        </w:rPr>
      </w:pPr>
      <w:r>
        <w:rPr>
          <w:rStyle w:val="markedcontent"/>
          <w:rFonts w:cs="Times New Roman"/>
        </w:rPr>
        <w:tab/>
      </w:r>
      <w:bookmarkEnd w:id="250"/>
      <w:r w:rsidR="00154C92" w:rsidRPr="00154C92">
        <w:rPr>
          <w:rStyle w:val="markedcontent"/>
          <w:rFonts w:cs="Times New Roman"/>
        </w:rPr>
        <w:t>Analy</w:t>
      </w:r>
      <w:r w:rsidR="00154C92">
        <w:rPr>
          <w:rStyle w:val="markedcontent"/>
          <w:rFonts w:cs="Times New Roman"/>
        </w:rPr>
        <w:t>s</w:t>
      </w:r>
      <w:r w:rsidR="00154C92" w:rsidRPr="00154C92">
        <w:rPr>
          <w:rStyle w:val="markedcontent"/>
          <w:rFonts w:cs="Times New Roman"/>
        </w:rPr>
        <w:t xml:space="preserve">ing the employed population, approximately 46.5% work in skilled agriculture, forestry, and fishery roles, 18.3% are in service and sales </w:t>
      </w:r>
      <w:r w:rsidR="00154C92" w:rsidRPr="00154C92">
        <w:rPr>
          <w:rStyle w:val="markedcontent"/>
          <w:rFonts w:cs="Times New Roman"/>
        </w:rPr>
        <w:lastRenderedPageBreak/>
        <w:t xml:space="preserve">occupations, 14.9% are engaged in crafts and related trades, and 9.5% occupy managerial, professional, and technical positions. </w:t>
      </w:r>
    </w:p>
    <w:p w14:paraId="1C05E5B3" w14:textId="0723D7E2" w:rsidR="00A932AD" w:rsidRDefault="00DC0344" w:rsidP="00154C92">
      <w:pPr>
        <w:pStyle w:val="Heading2"/>
        <w:ind w:left="0"/>
      </w:pPr>
      <w:bookmarkStart w:id="275" w:name="_Toc202197647"/>
      <w:r>
        <w:t>Pragmatism</w:t>
      </w:r>
      <w:bookmarkEnd w:id="275"/>
      <w:r>
        <w:t xml:space="preserve"> </w:t>
      </w:r>
      <w:r w:rsidR="00A932AD" w:rsidRPr="00A932AD">
        <w:t xml:space="preserve"> </w:t>
      </w:r>
    </w:p>
    <w:p w14:paraId="10751F98" w14:textId="33D0B273" w:rsidR="006C05A3" w:rsidRDefault="001A4919" w:rsidP="006C05A3">
      <w:pPr>
        <w:ind w:left="0" w:firstLine="0"/>
      </w:pPr>
      <w:r>
        <w:tab/>
      </w:r>
      <w:r w:rsidR="006C05A3">
        <w:t xml:space="preserve">From a theoretical standpoint, Lincoln et al. (2011) suggests that in social research, the term "paradigm" refers to the philosophical assumptions or foundational beliefs that influence researchers' actions and shape their worldview. This </w:t>
      </w:r>
      <w:r w:rsidR="00350FCC">
        <w:t>paradigm</w:t>
      </w:r>
      <w:r w:rsidR="006C05A3">
        <w:t>, first introduced by Kuhn (1970), describes the shared generalisations, beliefs, and values among experts regarding the nature of reality and knowledge.</w:t>
      </w:r>
    </w:p>
    <w:p w14:paraId="7849D6F1" w14:textId="77777777" w:rsidR="006C05A3" w:rsidRDefault="006C05A3" w:rsidP="006C05A3">
      <w:pPr>
        <w:ind w:left="0"/>
      </w:pPr>
      <w:r>
        <w:t xml:space="preserve">Maxcy (2003) posits that Pragmatism, as a research paradigm, is rooted in the historical philosophy of pragmatism, allowing for a variety of methods. </w:t>
      </w:r>
      <w:proofErr w:type="spellStart"/>
      <w:r>
        <w:t>Tashakkori</w:t>
      </w:r>
      <w:proofErr w:type="spellEnd"/>
      <w:r>
        <w:t xml:space="preserve"> and Teddlie (1998) support this view, arguing that pragmatism encourages researchers to choose the philosophical and methodological approach that is most effective for addressing the specific research problem at hand.</w:t>
      </w:r>
    </w:p>
    <w:p w14:paraId="43C7DBC1" w14:textId="77777777" w:rsidR="006C05A3" w:rsidRPr="0062390D" w:rsidRDefault="006C05A3" w:rsidP="006C05A3">
      <w:pPr>
        <w:ind w:left="0"/>
      </w:pPr>
      <w:r>
        <w:t xml:space="preserve">In the literature by Maxcy (2003), Morgan (2014a), and Teddlie and </w:t>
      </w:r>
      <w:proofErr w:type="spellStart"/>
      <w:r>
        <w:t>Tashakkori</w:t>
      </w:r>
      <w:proofErr w:type="spellEnd"/>
      <w:r>
        <w:t xml:space="preserve"> (2009), Pragmatism is often associated with mixed or multiple methods, highlighting the focus on research outcomes and questions rather than </w:t>
      </w:r>
      <w:proofErr w:type="gramStart"/>
      <w:r>
        <w:t>particular methodologies</w:t>
      </w:r>
      <w:proofErr w:type="gramEnd"/>
      <w:r>
        <w:t>. Creswell and Clark (2011) point out that Pragmatism may incorporate both formal and informal rhetoric. Additionally, Onwuegbuzie and Johnson (2006), Morgan (2007), and Denscombe (2008) note that Pragmatism is frequently recognised in mixed methods research as a suitable paradigm for such studies.</w:t>
      </w:r>
    </w:p>
    <w:p w14:paraId="4496B692" w14:textId="115DDCB5" w:rsidR="003C4BF7" w:rsidRDefault="001A4919" w:rsidP="001A4919">
      <w:pPr>
        <w:spacing w:after="0"/>
        <w:ind w:left="0" w:firstLine="0"/>
      </w:pPr>
      <w:r>
        <w:lastRenderedPageBreak/>
        <w:tab/>
      </w:r>
      <w:r w:rsidR="00B77240">
        <w:t>As a research paradigm, pragmatism</w:t>
      </w:r>
      <w:r w:rsidR="003C4BF7">
        <w:t xml:space="preserve"> prioriti</w:t>
      </w:r>
      <w:r w:rsidR="00B77240">
        <w:t>s</w:t>
      </w:r>
      <w:r w:rsidR="003C4BF7">
        <w:t>es practicality, usefulness, and applicability in research. According to Creswell (2014), a pragmatic research paradigm underscores the utili</w:t>
      </w:r>
      <w:r w:rsidR="006810AF">
        <w:t>s</w:t>
      </w:r>
      <w:r w:rsidR="003C4BF7">
        <w:t xml:space="preserve">ation of diverse methods and data sources, a flexible research design, and a concentration on practical solutions to real-world problems. This positions pragmatism as an ideal research paradigm for examining stakeholder </w:t>
      </w:r>
      <w:r w:rsidR="0037259C">
        <w:t>participation</w:t>
      </w:r>
      <w:r w:rsidR="003C4BF7">
        <w:t xml:space="preserve"> in forest management, </w:t>
      </w:r>
      <w:r w:rsidR="00B77240">
        <w:t>emphasising</w:t>
      </w:r>
      <w:r w:rsidR="003C4BF7">
        <w:t xml:space="preserve"> finding practical and feasible solutions for addressing complex issues.</w:t>
      </w:r>
    </w:p>
    <w:p w14:paraId="64E6CE9C" w14:textId="77777777" w:rsidR="00A96C53" w:rsidRPr="00A96C53" w:rsidRDefault="001A4919" w:rsidP="001A4919">
      <w:pPr>
        <w:spacing w:after="0"/>
        <w:ind w:left="0" w:firstLine="0"/>
      </w:pPr>
      <w:bookmarkStart w:id="276" w:name="_Hlk129182061"/>
      <w:r>
        <w:tab/>
      </w:r>
      <w:r w:rsidR="00B77240">
        <w:t>As a research paradigm, pragmatism</w:t>
      </w:r>
      <w:r w:rsidR="00A96C53" w:rsidRPr="00A96C53">
        <w:t xml:space="preserve"> offers an additional advantage by directing attention toward practical resolutions for real-world issues. It encourages researchers to apply their findings to tackle tangible problems and enhance the well-being of individuals and communities (Creswell, 2014). </w:t>
      </w:r>
      <w:r w:rsidR="00B77240">
        <w:t xml:space="preserve">Pragmatism is valuable in forest management, where stakeholder </w:t>
      </w:r>
      <w:r w:rsidR="0037259C">
        <w:t>participation</w:t>
      </w:r>
      <w:r w:rsidR="00B77240">
        <w:t xml:space="preserve"> is pivotal for sustainability and conservation</w:t>
      </w:r>
      <w:r w:rsidR="00A96C53" w:rsidRPr="00A96C53">
        <w:t xml:space="preserve">. It aids in pinpointing practical solutions that can be implemented to address challenges in stakeholder </w:t>
      </w:r>
      <w:r w:rsidR="0037259C">
        <w:t>participation</w:t>
      </w:r>
      <w:r w:rsidR="00A96C53" w:rsidRPr="00A96C53">
        <w:t>, such as devising effective communication strategies and fostering trust among stakeholders (McDermott et al., 2015).</w:t>
      </w:r>
    </w:p>
    <w:p w14:paraId="05913322" w14:textId="77777777" w:rsidR="00A96C53" w:rsidRDefault="001A4919" w:rsidP="00772DAC">
      <w:pPr>
        <w:ind w:left="0" w:firstLine="0"/>
        <w:rPr>
          <w:b/>
        </w:rPr>
      </w:pPr>
      <w:r>
        <w:tab/>
      </w:r>
      <w:r w:rsidR="00A96C53" w:rsidRPr="00A96C53">
        <w:t xml:space="preserve">Moreover, </w:t>
      </w:r>
      <w:bookmarkStart w:id="277" w:name="_Hlk195261356"/>
      <w:r w:rsidR="00A96C53" w:rsidRPr="00A96C53">
        <w:t xml:space="preserve">the merits of adopting pragmatism as a research paradigm in </w:t>
      </w:r>
      <w:r w:rsidR="00B77240">
        <w:t>investigating</w:t>
      </w:r>
      <w:r w:rsidR="00A96C53" w:rsidRPr="00A96C53">
        <w:t xml:space="preserve"> stakeholder </w:t>
      </w:r>
      <w:r w:rsidR="0037259C">
        <w:t>participation</w:t>
      </w:r>
      <w:r w:rsidR="00A96C53" w:rsidRPr="00A96C53">
        <w:t xml:space="preserve"> in forest management extend to its emphasis on employing mixed methods and deriving practical solutions for real-world predicaments. Pragmatism thus contributes to a holistic understanding of stakeholder </w:t>
      </w:r>
      <w:r w:rsidR="006D5DB7">
        <w:t>participation</w:t>
      </w:r>
      <w:r w:rsidR="00A96C53" w:rsidRPr="00A96C53">
        <w:t xml:space="preserve"> in forest management, offering insights into practical approaches to overcome </w:t>
      </w:r>
      <w:r w:rsidR="006D5DB7">
        <w:t>management</w:t>
      </w:r>
      <w:r w:rsidR="00A96C53" w:rsidRPr="00A96C53">
        <w:t xml:space="preserve"> challenges.</w:t>
      </w:r>
      <w:bookmarkEnd w:id="277"/>
    </w:p>
    <w:p w14:paraId="2E634784" w14:textId="77777777" w:rsidR="0061189A" w:rsidRDefault="00B25F2B" w:rsidP="00772DAC">
      <w:pPr>
        <w:pStyle w:val="Heading2"/>
        <w:ind w:left="0"/>
      </w:pPr>
      <w:bookmarkStart w:id="278" w:name="_Toc202197648"/>
      <w:bookmarkStart w:id="279" w:name="_Hlk195261405"/>
      <w:r>
        <w:t xml:space="preserve">Research </w:t>
      </w:r>
      <w:bookmarkStart w:id="280" w:name="_Hlk109317813"/>
      <w:r w:rsidR="00982120">
        <w:t>A</w:t>
      </w:r>
      <w:r w:rsidR="00DC0344">
        <w:t>pproach</w:t>
      </w:r>
      <w:bookmarkEnd w:id="278"/>
    </w:p>
    <w:bookmarkEnd w:id="276"/>
    <w:bookmarkEnd w:id="279"/>
    <w:p w14:paraId="31BB5438" w14:textId="13C72ED0" w:rsidR="004C15DC" w:rsidRDefault="001A4919" w:rsidP="004C15DC">
      <w:pPr>
        <w:spacing w:after="0"/>
        <w:ind w:left="0" w:firstLine="0"/>
      </w:pPr>
      <w:r>
        <w:tab/>
      </w:r>
      <w:bookmarkStart w:id="281" w:name="_Hlk195261563"/>
      <w:bookmarkStart w:id="282" w:name="_Hlk141530330"/>
      <w:bookmarkEnd w:id="280"/>
      <w:r w:rsidR="004C15DC">
        <w:t>Th</w:t>
      </w:r>
      <w:r w:rsidR="00015FE7">
        <w:t>is study</w:t>
      </w:r>
      <w:r w:rsidR="004C15DC">
        <w:t xml:space="preserve"> employed a Mixed Method approach, guided by the overarching principle that combines quantitative and qualitative methodologies, </w:t>
      </w:r>
      <w:r w:rsidR="004C15DC">
        <w:lastRenderedPageBreak/>
        <w:t xml:space="preserve">to enhance the understanding of complex research problems, surpassing the insights achievable with either isolation method (Creswell &amp; Clark, 2007). </w:t>
      </w:r>
      <w:bookmarkEnd w:id="281"/>
      <w:r w:rsidR="004C15DC">
        <w:t xml:space="preserve">Mixed methods research is posited as a solution to the inherent limitations of monomethod approaches (Johnson &amp; Turner, 2003; Onwuegbuzie and Johnson, 2006). For instance, Teddlie and </w:t>
      </w:r>
      <w:proofErr w:type="spellStart"/>
      <w:r w:rsidR="004C15DC">
        <w:t>Tashakkori</w:t>
      </w:r>
      <w:proofErr w:type="spellEnd"/>
      <w:r w:rsidR="004C15DC">
        <w:t xml:space="preserve"> (2009) highlighted the synergies achieved by integrating questionnaires and interviews within a single study, leveraging the breadth and depth associated with each method. This integration allows for a more comprehensive exploration of a research topic, addresses diverse questions, and contributes to a more nuanced understanding that aids in theory development and practical applications (Johnson &amp; Onwuegbuzie, 2004).</w:t>
      </w:r>
    </w:p>
    <w:p w14:paraId="7A9AA3D5" w14:textId="77777777" w:rsidR="004C15DC" w:rsidRPr="00512267" w:rsidRDefault="004C15DC" w:rsidP="004C15DC">
      <w:pPr>
        <w:spacing w:after="0"/>
        <w:ind w:left="0" w:firstLine="0"/>
      </w:pPr>
      <w:r>
        <w:tab/>
      </w:r>
      <w:bookmarkStart w:id="283" w:name="_Hlk195271560"/>
      <w:r w:rsidRPr="00512267">
        <w:t>The utili</w:t>
      </w:r>
      <w:r>
        <w:t>s</w:t>
      </w:r>
      <w:r w:rsidRPr="00512267">
        <w:t xml:space="preserve">ation of mixed-methods research proved pivotal in examining stakeholder </w:t>
      </w:r>
      <w:r>
        <w:t>participation</w:t>
      </w:r>
      <w:r w:rsidRPr="00512267">
        <w:t xml:space="preserve"> in sustainable community-based forestry. This strategy facilitated an in-depth exploration of concepts by amalgamating qualitative and quantitative approaches. By integrating both methodological paradigms, the researcher </w:t>
      </w:r>
      <w:r>
        <w:t>comprehensively understood</w:t>
      </w:r>
      <w:r w:rsidRPr="00512267">
        <w:t xml:space="preserve"> the intricate dynamics inherent in stakeholder interactions and the nuanced equilibrium that is essential for successful community-based forestry initiatives.</w:t>
      </w:r>
    </w:p>
    <w:bookmarkEnd w:id="283"/>
    <w:p w14:paraId="198C2B20" w14:textId="6080AFCE" w:rsidR="004C15DC" w:rsidRDefault="004C15DC" w:rsidP="004C15DC">
      <w:pPr>
        <w:ind w:left="0" w:firstLine="0"/>
        <w:rPr>
          <w:b/>
        </w:rPr>
      </w:pPr>
      <w:r>
        <w:tab/>
      </w:r>
      <w:r w:rsidRPr="00512267">
        <w:t xml:space="preserve">Qualitatively, the study delved into </w:t>
      </w:r>
      <w:r>
        <w:t>stakeholders' perspectives, values, and social dynamic</w:t>
      </w:r>
      <w:r w:rsidRPr="00512267">
        <w:t xml:space="preserve">s, unveiling the intricate web of relationships that influence decision-making and </w:t>
      </w:r>
      <w:r>
        <w:t>participation</w:t>
      </w:r>
      <w:r w:rsidRPr="00512267">
        <w:t xml:space="preserve">. On the other hand, the quantitative methods enabled a rigorous analysis of the effectiveness and impact of collaborative forestry efforts. The combination of these approaches yields a well-rounded understanding that </w:t>
      </w:r>
      <w:r>
        <w:t xml:space="preserve">informs policy and </w:t>
      </w:r>
      <w:r w:rsidR="00700781">
        <w:t>practice and</w:t>
      </w:r>
      <w:r w:rsidRPr="00512267">
        <w:t xml:space="preserve"> contributes to the </w:t>
      </w:r>
      <w:r w:rsidRPr="00512267">
        <w:lastRenderedPageBreak/>
        <w:t>development of sustainable forestry models characterised by environmental responsibility, economic viability, and social inclusivity.</w:t>
      </w:r>
    </w:p>
    <w:p w14:paraId="315F3122" w14:textId="77777777" w:rsidR="004C15DC" w:rsidRPr="0061189A" w:rsidRDefault="004C15DC" w:rsidP="004C15DC">
      <w:pPr>
        <w:pStyle w:val="Heading2"/>
        <w:ind w:left="0"/>
      </w:pPr>
      <w:bookmarkStart w:id="284" w:name="_Toc202197649"/>
      <w:bookmarkStart w:id="285" w:name="_Hlk195271612"/>
      <w:r w:rsidRPr="0061189A">
        <w:t>Study Design</w:t>
      </w:r>
      <w:bookmarkEnd w:id="284"/>
    </w:p>
    <w:p w14:paraId="31361827" w14:textId="77777777" w:rsidR="00700781" w:rsidRPr="00621BD6" w:rsidRDefault="004C15DC" w:rsidP="00700781">
      <w:pPr>
        <w:spacing w:after="0"/>
        <w:ind w:left="0" w:firstLine="0"/>
        <w:rPr>
          <w:rFonts w:eastAsia="Times New Roman" w:cs="Times New Roman"/>
        </w:rPr>
      </w:pPr>
      <w:r>
        <w:tab/>
      </w:r>
      <w:bookmarkStart w:id="286" w:name="_Hlk164954026"/>
      <w:r w:rsidRPr="00512267">
        <w:t xml:space="preserve">The research methodology selected for this study </w:t>
      </w:r>
      <w:r>
        <w:t>was</w:t>
      </w:r>
      <w:r w:rsidRPr="00512267">
        <w:t xml:space="preserve"> an exploratory sequential mixed method. </w:t>
      </w:r>
      <w:bookmarkEnd w:id="285"/>
      <w:bookmarkEnd w:id="286"/>
      <w:r w:rsidR="00700781" w:rsidRPr="00621BD6">
        <w:rPr>
          <w:rFonts w:cs="Times New Roman"/>
        </w:rPr>
        <w:t>Concurrent mixed methods procedures involve the researcher simultaneously integrating or combining both quantitative and qualitative data to offer a thorough analysis of the research problem (Creswell, 2009). Consequently, quantitative and qualitative data are gathered independently, with each type of data not influencing the collection process of the other. This approach has clear time advantages since both types can be collected concurrently, potentially expediting the overall data collection phase.</w:t>
      </w:r>
    </w:p>
    <w:p w14:paraId="31FBE5D5" w14:textId="2AD04266" w:rsidR="00700781" w:rsidRPr="00621BD6" w:rsidRDefault="00700781" w:rsidP="00700781">
      <w:pPr>
        <w:spacing w:after="0"/>
        <w:ind w:left="0"/>
        <w:rPr>
          <w:rFonts w:eastAsia="Times New Roman" w:cs="Times New Roman"/>
        </w:rPr>
      </w:pPr>
      <w:r w:rsidRPr="00621BD6">
        <w:rPr>
          <w:rFonts w:cs="Times New Roman"/>
        </w:rPr>
        <w:t>Concurrent designs are advantageous for triangulating data to assess and illustrate the agreement between quantitative and qualitative findings. This type of triangulation is accomplished by examining whether both kinds of data yield similar results and conclusions. Employing triangulation helps minimi</w:t>
      </w:r>
      <w:r>
        <w:rPr>
          <w:rFonts w:cs="Times New Roman"/>
        </w:rPr>
        <w:t>s</w:t>
      </w:r>
      <w:r w:rsidRPr="00621BD6">
        <w:rPr>
          <w:rFonts w:cs="Times New Roman"/>
        </w:rPr>
        <w:t>e the risk of random associations and biases, as research relying on a single method is more susceptible to errors (Wilson, 2014).</w:t>
      </w:r>
    </w:p>
    <w:p w14:paraId="2E8ECC21" w14:textId="77777777" w:rsidR="00700781" w:rsidRPr="00621BD6" w:rsidRDefault="00700781" w:rsidP="00700781">
      <w:pPr>
        <w:ind w:left="0"/>
        <w:rPr>
          <w:rFonts w:cs="Times New Roman"/>
        </w:rPr>
      </w:pPr>
      <w:r w:rsidRPr="00621BD6">
        <w:rPr>
          <w:rFonts w:cs="Times New Roman"/>
        </w:rPr>
        <w:t>Research that employs various types of data can offer cross-validation checks, enhancing validity and potentially broadening generalizability. Concurrent mixed-methods designs are especially effective for evaluation-focused research, allowing multiple data points and streams to be analysed to reach a comprehensive conclusion (Bell, Warren &amp; Schmidt, 2022).</w:t>
      </w:r>
    </w:p>
    <w:p w14:paraId="3739CB21" w14:textId="06718086" w:rsidR="00700781" w:rsidRPr="002377DA" w:rsidRDefault="00700781" w:rsidP="00700781">
      <w:pPr>
        <w:ind w:left="0"/>
        <w:rPr>
          <w:rFonts w:cs="Times New Roman"/>
        </w:rPr>
      </w:pPr>
      <w:r w:rsidRPr="002377DA">
        <w:rPr>
          <w:rFonts w:cs="Times New Roman"/>
        </w:rPr>
        <w:t xml:space="preserve">Concurrent mixed methods research offers significant advantages for studying stakeholder collaboration in sustainable community-based forestry at </w:t>
      </w:r>
      <w:r w:rsidR="00847E9A">
        <w:rPr>
          <w:rFonts w:cs="Times New Roman"/>
        </w:rPr>
        <w:t>Ghana's Bobiri and Southern Scarp Forest reserves</w:t>
      </w:r>
      <w:r w:rsidRPr="002377DA">
        <w:rPr>
          <w:rFonts w:cs="Times New Roman"/>
        </w:rPr>
        <w:t xml:space="preserve">. </w:t>
      </w:r>
      <w:r w:rsidR="00847E9A">
        <w:rPr>
          <w:rFonts w:cs="Times New Roman"/>
        </w:rPr>
        <w:t xml:space="preserve">Integrating quantitative </w:t>
      </w:r>
      <w:r w:rsidR="00847E9A">
        <w:rPr>
          <w:rFonts w:cs="Times New Roman"/>
        </w:rPr>
        <w:lastRenderedPageBreak/>
        <w:t>surveys and qualitative interviews</w:t>
      </w:r>
      <w:r w:rsidRPr="002377DA">
        <w:rPr>
          <w:rFonts w:cs="Times New Roman"/>
        </w:rPr>
        <w:t xml:space="preserve"> enable</w:t>
      </w:r>
      <w:r w:rsidR="00847E9A">
        <w:rPr>
          <w:rFonts w:cs="Times New Roman"/>
        </w:rPr>
        <w:t>d</w:t>
      </w:r>
      <w:r w:rsidRPr="002377DA">
        <w:rPr>
          <w:rFonts w:cs="Times New Roman"/>
        </w:rPr>
        <w:t xml:space="preserve"> triangulation, where quantitative data on stakeholder engagement levels can be validated against qualitative insights into cultural norms, power dynamics, and historical grievances affecting collaboration. Th</w:t>
      </w:r>
      <w:r>
        <w:rPr>
          <w:rFonts w:cs="Times New Roman"/>
        </w:rPr>
        <w:t>is</w:t>
      </w:r>
      <w:r w:rsidRPr="002377DA">
        <w:rPr>
          <w:rFonts w:cs="Times New Roman"/>
        </w:rPr>
        <w:t xml:space="preserve"> methodology provides contextual richness by capturing both the breadth and depth of stakeholder perspectives. From a policy perspective, concurrent mixed methods facilitate the development of culturally grounded management frameworks.</w:t>
      </w:r>
    </w:p>
    <w:p w14:paraId="51A84D4F" w14:textId="77777777" w:rsidR="004C15DC" w:rsidRDefault="004C15DC" w:rsidP="004C15DC">
      <w:pPr>
        <w:pStyle w:val="Heading2"/>
        <w:ind w:left="0"/>
      </w:pPr>
      <w:bookmarkStart w:id="287" w:name="_Toc202197650"/>
      <w:bookmarkStart w:id="288" w:name="_Hlk195271965"/>
      <w:r>
        <w:t>Study Population</w:t>
      </w:r>
      <w:bookmarkEnd w:id="287"/>
    </w:p>
    <w:p w14:paraId="40AAC004" w14:textId="58DAD8A0" w:rsidR="004C15DC" w:rsidRDefault="004C15DC" w:rsidP="004C15DC">
      <w:pPr>
        <w:pStyle w:val="BodyText"/>
        <w:spacing w:after="0"/>
        <w:ind w:left="0" w:firstLine="0"/>
      </w:pPr>
      <w:bookmarkStart w:id="289" w:name="_Hlk125035809"/>
      <w:r>
        <w:tab/>
      </w:r>
      <w:r w:rsidRPr="00454A64">
        <w:t>Field (2005)</w:t>
      </w:r>
      <w:r w:rsidR="001913FA">
        <w:t xml:space="preserve"> maintained that</w:t>
      </w:r>
      <w:r w:rsidRPr="00454A64">
        <w:t xml:space="preserve"> a population is a well-defined set of people, services, elements, events, groups of things or households being investigated.</w:t>
      </w:r>
      <w:r w:rsidRPr="00C314E4">
        <w:t xml:space="preserve"> Th</w:t>
      </w:r>
      <w:r w:rsidR="00E474C4">
        <w:t>is</w:t>
      </w:r>
      <w:r w:rsidRPr="00C314E4">
        <w:t xml:space="preserve"> study</w:t>
      </w:r>
      <w:r>
        <w:t xml:space="preserve"> </w:t>
      </w:r>
      <w:r w:rsidRPr="00C314E4">
        <w:t>gather</w:t>
      </w:r>
      <w:r>
        <w:t>ed</w:t>
      </w:r>
      <w:r w:rsidRPr="00C314E4">
        <w:t xml:space="preserve"> relevant information from the </w:t>
      </w:r>
      <w:r>
        <w:t xml:space="preserve">various </w:t>
      </w:r>
      <w:r w:rsidRPr="00C314E4">
        <w:t xml:space="preserve">actors </w:t>
      </w:r>
      <w:r>
        <w:t xml:space="preserve">in </w:t>
      </w:r>
      <w:r w:rsidRPr="00C314E4">
        <w:t xml:space="preserve">the </w:t>
      </w:r>
      <w:r>
        <w:t>Bobiri</w:t>
      </w:r>
      <w:r w:rsidRPr="00C314E4">
        <w:t xml:space="preserve"> </w:t>
      </w:r>
      <w:r>
        <w:t xml:space="preserve">and Southern Scarp </w:t>
      </w:r>
      <w:r w:rsidRPr="00C314E4">
        <w:t>Forest Reserve management</w:t>
      </w:r>
      <w:r>
        <w:t xml:space="preserve"> areas</w:t>
      </w:r>
      <w:r w:rsidR="00E474C4">
        <w:t>. These actors constituted</w:t>
      </w:r>
      <w:r w:rsidRPr="00C314E4">
        <w:t xml:space="preserve"> the Forestry Commission</w:t>
      </w:r>
      <w:r>
        <w:t xml:space="preserve"> (CSIR-FORIG, FC-FSD, and </w:t>
      </w:r>
      <w:r>
        <w:rPr>
          <w:rFonts w:cs="Times New Roman"/>
          <w:szCs w:val="24"/>
        </w:rPr>
        <w:t>Forest Management Unit 39 [FMU 39])</w:t>
      </w:r>
      <w:r>
        <w:t xml:space="preserve">, </w:t>
      </w:r>
      <w:r w:rsidRPr="00C314E4">
        <w:t>local government</w:t>
      </w:r>
      <w:r>
        <w:t xml:space="preserve"> authorities or district assembly representatives (D.A)</w:t>
      </w:r>
      <w:r w:rsidR="00EF641C">
        <w:t>, forest</w:t>
      </w:r>
      <w:r>
        <w:t xml:space="preserve"> user groups and community members.</w:t>
      </w:r>
      <w:r w:rsidRPr="00C314E4">
        <w:t xml:space="preserve">  </w:t>
      </w:r>
    </w:p>
    <w:bookmarkEnd w:id="288"/>
    <w:p w14:paraId="71953E01" w14:textId="49F778A0" w:rsidR="004C15DC" w:rsidRDefault="004C15DC" w:rsidP="004C15DC">
      <w:pPr>
        <w:ind w:left="0" w:firstLine="0"/>
      </w:pPr>
      <w:r>
        <w:tab/>
      </w:r>
      <w:bookmarkStart w:id="290" w:name="_Hlk195272599"/>
      <w:r>
        <w:t>The F</w:t>
      </w:r>
      <w:r w:rsidR="00F87A4E">
        <w:t xml:space="preserve">orestry </w:t>
      </w:r>
      <w:r>
        <w:t>S</w:t>
      </w:r>
      <w:r w:rsidR="00F87A4E">
        <w:t xml:space="preserve">ervices </w:t>
      </w:r>
      <w:r>
        <w:t>D</w:t>
      </w:r>
      <w:r w:rsidR="00F87A4E">
        <w:t>ivision (FSD)</w:t>
      </w:r>
      <w:r>
        <w:t xml:space="preserve"> and D. A. representatives were actors because they are state agencies mandated to develop policies, plans, and resource capacity for forest management. The local communities (community members, user groups such as the Community Biodiversity Advisory Groups, and Community Fire Volunteers, among others) </w:t>
      </w:r>
      <w:r w:rsidR="004264BC">
        <w:t xml:space="preserve">and the Traditional Authorities </w:t>
      </w:r>
      <w:r>
        <w:t>were the immediate custodians of the forest resource aside from deriving their cultural and socio-economic benefits from it.</w:t>
      </w:r>
    </w:p>
    <w:p w14:paraId="0578A36E" w14:textId="77777777" w:rsidR="004C15DC" w:rsidRDefault="004C15DC" w:rsidP="004C15DC">
      <w:pPr>
        <w:pStyle w:val="Heading2"/>
        <w:ind w:left="0"/>
      </w:pPr>
      <w:bookmarkStart w:id="291" w:name="_Toc202197651"/>
      <w:bookmarkStart w:id="292" w:name="_Hlk195272637"/>
      <w:bookmarkEnd w:id="289"/>
      <w:bookmarkEnd w:id="290"/>
      <w:r>
        <w:t>Sampling Procedure and Sample Size</w:t>
      </w:r>
      <w:bookmarkEnd w:id="291"/>
    </w:p>
    <w:p w14:paraId="4718565F" w14:textId="12B1E527" w:rsidR="009A62FA" w:rsidRPr="00616987" w:rsidRDefault="004C15DC" w:rsidP="009A62FA">
      <w:pPr>
        <w:ind w:left="0" w:firstLine="0"/>
      </w:pPr>
      <w:r>
        <w:tab/>
      </w:r>
      <w:r w:rsidR="009A62FA" w:rsidRPr="00616987">
        <w:t xml:space="preserve">Bobiri and Southern Scarp Forest reserves were selected because of their unique ecotourism features. </w:t>
      </w:r>
      <w:bookmarkEnd w:id="292"/>
      <w:r w:rsidR="009A62FA" w:rsidRPr="00616987">
        <w:t xml:space="preserve">When choosing specific study communities, factors </w:t>
      </w:r>
      <w:r w:rsidR="009A62FA" w:rsidRPr="00616987">
        <w:lastRenderedPageBreak/>
        <w:t xml:space="preserve">such as ease of access, openness of village leaders to participate in the research, and active involvement in forest conservation were </w:t>
      </w:r>
      <w:r w:rsidR="00847E9A" w:rsidRPr="00616987">
        <w:t>considered</w:t>
      </w:r>
      <w:r w:rsidR="009A62FA" w:rsidRPr="00616987">
        <w:t>. This involvement was demonstrated by the presence of operational collaborative management entities, including Community Biodiversity Advisory Groups (CBAGs), Community Fire Volunteer Squads (CFVS), and forest user groups.</w:t>
      </w:r>
    </w:p>
    <w:p w14:paraId="1BC51397" w14:textId="0BB65301" w:rsidR="004C15DC" w:rsidRDefault="004C15DC" w:rsidP="009A62FA">
      <w:pPr>
        <w:pStyle w:val="BodyText"/>
        <w:ind w:left="0" w:firstLine="0"/>
      </w:pPr>
      <w:r>
        <w:tab/>
      </w:r>
      <w:bookmarkStart w:id="293" w:name="_Hlk195272710"/>
      <w:r>
        <w:t xml:space="preserve">Bhardwaj (2019) characterised sampling as a systematic process for selecting a subset from a larger population for specific research objectives. Sampling offers advantages, such as time and cost efficiency, yielding quicker results owing to a reduced sample size compared to the entire population. </w:t>
      </w:r>
      <w:bookmarkEnd w:id="293"/>
      <w:r>
        <w:t xml:space="preserve">Moreover, it enhances the accuracy of the results, benefiting from the expertise of the trained investigators. </w:t>
      </w:r>
    </w:p>
    <w:p w14:paraId="728D43A5" w14:textId="4EE139B9" w:rsidR="004C15DC" w:rsidRDefault="004C15DC" w:rsidP="005432A0">
      <w:pPr>
        <w:ind w:left="0" w:firstLine="0"/>
        <w:rPr>
          <w:rStyle w:val="Emphasis"/>
          <w:i w:val="0"/>
          <w:iCs w:val="0"/>
        </w:rPr>
      </w:pPr>
      <w:r>
        <w:tab/>
      </w:r>
      <w:bookmarkStart w:id="294" w:name="_Hlk195272987"/>
      <w:r>
        <w:t>Bhardwaj (2019) further asserted that non-probability sampling involved selecting individuals from a population without a known probability of inclusion in the sample.</w:t>
      </w:r>
      <w:bookmarkEnd w:id="294"/>
      <w:r>
        <w:t xml:space="preserve"> The study applied the purposive sampling technique as its chosen non-probability sampling method. The study purposively sampled the study area</w:t>
      </w:r>
      <w:r w:rsidR="00847E9A">
        <w:t>, key informants from CSIR-FORIG and FC-FSD, and assembly and unit committee members</w:t>
      </w:r>
      <w:r>
        <w:rPr>
          <w:rFonts w:cs="Times New Roman"/>
          <w:szCs w:val="24"/>
        </w:rPr>
        <w:t xml:space="preserve"> to represent the district assemblies, traditional authorities, and forest user</w:t>
      </w:r>
      <w:r>
        <w:t xml:space="preserve"> groups. Marshall </w:t>
      </w:r>
      <w:r w:rsidRPr="0030372C">
        <w:t>(</w:t>
      </w:r>
      <w:hyperlink r:id="rId24" w:anchor="mar96" w:history="1">
        <w:r w:rsidRPr="00906103">
          <w:rPr>
            <w:rStyle w:val="Hyperlink"/>
            <w:color w:val="auto"/>
            <w:u w:val="none"/>
          </w:rPr>
          <w:t>1996</w:t>
        </w:r>
      </w:hyperlink>
      <w:r>
        <w:t xml:space="preserve">) emphasises that key informants are </w:t>
      </w:r>
      <w:r w:rsidR="0084410F">
        <w:t xml:space="preserve">respondents who are </w:t>
      </w:r>
      <w:r>
        <w:t>knowledgeable, willing to participate, communicative, impartial and have a role in the community or understanding of the phenomenon the researcher was seeking.</w:t>
      </w:r>
      <w:r>
        <w:rPr>
          <w:rStyle w:val="Emphasis"/>
          <w:i w:val="0"/>
          <w:iCs w:val="0"/>
        </w:rPr>
        <w:t xml:space="preserve"> </w:t>
      </w:r>
      <w:r w:rsidRPr="004C15DC">
        <w:rPr>
          <w:rStyle w:val="Emphasis"/>
          <w:i w:val="0"/>
          <w:iCs w:val="0"/>
        </w:rPr>
        <w:t xml:space="preserve">The sample distribution of key informants </w:t>
      </w:r>
      <w:r w:rsidR="005322C7">
        <w:rPr>
          <w:rStyle w:val="Emphasis"/>
          <w:i w:val="0"/>
          <w:iCs w:val="0"/>
        </w:rPr>
        <w:t>is</w:t>
      </w:r>
      <w:r w:rsidRPr="004C15DC">
        <w:rPr>
          <w:rStyle w:val="Emphasis"/>
          <w:i w:val="0"/>
          <w:iCs w:val="0"/>
        </w:rPr>
        <w:t xml:space="preserve"> presented in Table 1.</w:t>
      </w:r>
    </w:p>
    <w:p w14:paraId="159BDFEA" w14:textId="77777777" w:rsidR="008F7D23" w:rsidRDefault="008F7D23">
      <w:pPr>
        <w:spacing w:line="259" w:lineRule="auto"/>
        <w:ind w:left="0" w:firstLine="0"/>
        <w:jc w:val="left"/>
        <w:rPr>
          <w:b/>
          <w:bCs/>
        </w:rPr>
      </w:pPr>
      <w:bookmarkStart w:id="295" w:name="_Toc197335665"/>
      <w:r>
        <w:br w:type="page"/>
      </w:r>
    </w:p>
    <w:p w14:paraId="30690F32" w14:textId="096C2A35" w:rsidR="009D4A0A" w:rsidRPr="00F07AAE" w:rsidRDefault="009D4A0A" w:rsidP="00C34F3A">
      <w:pPr>
        <w:pStyle w:val="LT"/>
      </w:pPr>
      <w:r w:rsidRPr="00F07AAE">
        <w:lastRenderedPageBreak/>
        <w:t>Tabl</w:t>
      </w:r>
      <w:r w:rsidR="0007627F" w:rsidRPr="00F07AAE">
        <w:t>e 1</w:t>
      </w:r>
      <w:r w:rsidRPr="00F07AAE">
        <w:t xml:space="preserve">: Sample </w:t>
      </w:r>
      <w:r w:rsidR="00E73A56" w:rsidRPr="00F07AAE">
        <w:t>Distribution for Key Informants</w:t>
      </w:r>
      <w:bookmarkEnd w:id="295"/>
    </w:p>
    <w:tbl>
      <w:tblPr>
        <w:tblW w:w="0" w:type="auto"/>
        <w:tblLook w:val="04A0" w:firstRow="1" w:lastRow="0" w:firstColumn="1" w:lastColumn="0" w:noHBand="0" w:noVBand="1"/>
      </w:tblPr>
      <w:tblGrid>
        <w:gridCol w:w="3678"/>
        <w:gridCol w:w="3500"/>
      </w:tblGrid>
      <w:tr w:rsidR="004F707F" w14:paraId="53A4BDF1" w14:textId="77777777" w:rsidTr="001A4919">
        <w:trPr>
          <w:trHeight w:val="406"/>
        </w:trPr>
        <w:tc>
          <w:tcPr>
            <w:tcW w:w="3678" w:type="dxa"/>
            <w:tcBorders>
              <w:top w:val="single" w:sz="4" w:space="0" w:color="auto"/>
              <w:bottom w:val="single" w:sz="4" w:space="0" w:color="auto"/>
            </w:tcBorders>
          </w:tcPr>
          <w:p w14:paraId="4978CD8D" w14:textId="4CA36A6D" w:rsidR="004F707F" w:rsidRDefault="00EF641C" w:rsidP="001A4919">
            <w:pPr>
              <w:pStyle w:val="BodyText"/>
              <w:spacing w:line="276" w:lineRule="auto"/>
              <w:ind w:left="0" w:firstLine="0"/>
            </w:pPr>
            <w:r>
              <w:t>Key informants</w:t>
            </w:r>
            <w:r w:rsidR="004F707F">
              <w:t xml:space="preserve"> </w:t>
            </w:r>
          </w:p>
        </w:tc>
        <w:tc>
          <w:tcPr>
            <w:tcW w:w="3500" w:type="dxa"/>
            <w:tcBorders>
              <w:top w:val="single" w:sz="4" w:space="0" w:color="auto"/>
              <w:bottom w:val="single" w:sz="4" w:space="0" w:color="auto"/>
            </w:tcBorders>
          </w:tcPr>
          <w:p w14:paraId="3A7272A4" w14:textId="77777777" w:rsidR="004F707F" w:rsidRDefault="004F707F" w:rsidP="001A4919">
            <w:pPr>
              <w:pStyle w:val="BodyText"/>
              <w:spacing w:line="276" w:lineRule="auto"/>
              <w:ind w:left="0" w:firstLine="0"/>
            </w:pPr>
            <w:r>
              <w:t>Sample allocation.</w:t>
            </w:r>
          </w:p>
        </w:tc>
      </w:tr>
      <w:tr w:rsidR="004F707F" w14:paraId="662187BF" w14:textId="77777777" w:rsidTr="001A4919">
        <w:trPr>
          <w:trHeight w:val="2051"/>
        </w:trPr>
        <w:tc>
          <w:tcPr>
            <w:tcW w:w="3678" w:type="dxa"/>
            <w:tcBorders>
              <w:top w:val="single" w:sz="4" w:space="0" w:color="auto"/>
              <w:bottom w:val="single" w:sz="4" w:space="0" w:color="auto"/>
            </w:tcBorders>
          </w:tcPr>
          <w:p w14:paraId="7217A183" w14:textId="77777777" w:rsidR="004F707F" w:rsidRDefault="004F707F" w:rsidP="001A4919">
            <w:pPr>
              <w:pStyle w:val="BodyText"/>
              <w:spacing w:line="276" w:lineRule="auto"/>
              <w:ind w:left="0" w:firstLine="0"/>
              <w:jc w:val="left"/>
            </w:pPr>
            <w:r>
              <w:t xml:space="preserve">Traditional authority </w:t>
            </w:r>
          </w:p>
          <w:p w14:paraId="0F9C0C10" w14:textId="77777777" w:rsidR="004F707F" w:rsidRDefault="004F707F" w:rsidP="001A4919">
            <w:pPr>
              <w:pStyle w:val="BodyText"/>
              <w:spacing w:line="276" w:lineRule="auto"/>
              <w:ind w:left="0" w:firstLine="0"/>
              <w:jc w:val="left"/>
            </w:pPr>
            <w:r>
              <w:t xml:space="preserve">Assembly members/unit committee </w:t>
            </w:r>
          </w:p>
          <w:p w14:paraId="708783D2" w14:textId="0233AC99" w:rsidR="004F707F" w:rsidRDefault="004F707F" w:rsidP="001A4919">
            <w:pPr>
              <w:pStyle w:val="BodyText"/>
              <w:spacing w:line="276" w:lineRule="auto"/>
              <w:ind w:left="0" w:firstLine="0"/>
              <w:jc w:val="left"/>
            </w:pPr>
            <w:r>
              <w:t>F</w:t>
            </w:r>
            <w:r w:rsidR="0084410F">
              <w:t>SD</w:t>
            </w:r>
          </w:p>
          <w:p w14:paraId="19D91078" w14:textId="77777777" w:rsidR="004F707F" w:rsidRDefault="004F707F" w:rsidP="001A4919">
            <w:pPr>
              <w:pStyle w:val="BodyText"/>
              <w:spacing w:line="276" w:lineRule="auto"/>
              <w:ind w:left="0" w:firstLine="0"/>
              <w:jc w:val="left"/>
            </w:pPr>
            <w:r>
              <w:t xml:space="preserve">Focus Group Discussion </w:t>
            </w:r>
          </w:p>
          <w:p w14:paraId="375984C4" w14:textId="736F345B" w:rsidR="00F919D0" w:rsidRDefault="00056927" w:rsidP="001A4919">
            <w:pPr>
              <w:pStyle w:val="BodyText"/>
              <w:spacing w:line="276" w:lineRule="auto"/>
              <w:ind w:left="0" w:firstLine="0"/>
              <w:jc w:val="left"/>
            </w:pPr>
            <w:r>
              <w:t>(Cocoa farmers</w:t>
            </w:r>
            <w:r w:rsidR="004264BC">
              <w:t>)</w:t>
            </w:r>
          </w:p>
        </w:tc>
        <w:tc>
          <w:tcPr>
            <w:tcW w:w="3500" w:type="dxa"/>
            <w:tcBorders>
              <w:top w:val="single" w:sz="4" w:space="0" w:color="auto"/>
              <w:bottom w:val="single" w:sz="4" w:space="0" w:color="auto"/>
            </w:tcBorders>
          </w:tcPr>
          <w:p w14:paraId="00471D63" w14:textId="77777777" w:rsidR="004F707F" w:rsidRDefault="004F707F" w:rsidP="001A4919">
            <w:pPr>
              <w:pStyle w:val="BodyText"/>
              <w:spacing w:line="276" w:lineRule="auto"/>
              <w:ind w:left="0" w:firstLine="0"/>
            </w:pPr>
            <w:r>
              <w:t>7</w:t>
            </w:r>
          </w:p>
          <w:p w14:paraId="433F0BB2" w14:textId="77777777" w:rsidR="004F707F" w:rsidRDefault="00F919D0" w:rsidP="001A4919">
            <w:pPr>
              <w:pStyle w:val="BodyText"/>
              <w:spacing w:line="276" w:lineRule="auto"/>
              <w:ind w:left="0" w:firstLine="0"/>
            </w:pPr>
            <w:r>
              <w:t>17</w:t>
            </w:r>
          </w:p>
          <w:p w14:paraId="64B0965D" w14:textId="77777777" w:rsidR="004F707F" w:rsidRDefault="004F707F" w:rsidP="001A4919">
            <w:pPr>
              <w:pStyle w:val="BodyText"/>
              <w:spacing w:line="276" w:lineRule="auto"/>
              <w:ind w:left="0" w:firstLine="0"/>
            </w:pPr>
            <w:r>
              <w:t>6</w:t>
            </w:r>
          </w:p>
          <w:p w14:paraId="56C2DD6D" w14:textId="7F5815DE" w:rsidR="00056927" w:rsidRDefault="004264BC" w:rsidP="001A4919">
            <w:pPr>
              <w:pStyle w:val="BodyText"/>
              <w:spacing w:line="276" w:lineRule="auto"/>
              <w:ind w:left="0" w:firstLine="0"/>
            </w:pPr>
            <w:r>
              <w:t>4 (between 6 to 8 discussants)</w:t>
            </w:r>
          </w:p>
          <w:p w14:paraId="454794BA" w14:textId="555D4756" w:rsidR="00F919D0" w:rsidRDefault="00F919D0" w:rsidP="001A4919">
            <w:pPr>
              <w:pStyle w:val="BodyText"/>
              <w:spacing w:line="276" w:lineRule="auto"/>
              <w:ind w:left="0" w:firstLine="0"/>
            </w:pPr>
          </w:p>
        </w:tc>
      </w:tr>
    </w:tbl>
    <w:p w14:paraId="4224A229" w14:textId="5F0E269B" w:rsidR="005322C7" w:rsidRDefault="004F707F" w:rsidP="005322C7">
      <w:pPr>
        <w:pStyle w:val="BodyText"/>
        <w:ind w:left="0" w:firstLine="0"/>
      </w:pPr>
      <w:r>
        <w:t>Source: Field</w:t>
      </w:r>
      <w:r w:rsidR="00F07AAE">
        <w:t>work</w:t>
      </w:r>
      <w:r>
        <w:t xml:space="preserve"> (2</w:t>
      </w:r>
      <w:r w:rsidR="005322C7">
        <w:t>024)</w:t>
      </w:r>
    </w:p>
    <w:p w14:paraId="50029E3A" w14:textId="76234540" w:rsidR="00C31A4C" w:rsidRDefault="00C31A4C" w:rsidP="005322C7">
      <w:pPr>
        <w:pStyle w:val="BodyText"/>
        <w:ind w:left="0"/>
      </w:pPr>
      <w:r>
        <w:t>In the context of probability sampling</w:t>
      </w:r>
      <w:bookmarkStart w:id="296" w:name="_Hlk195273045"/>
      <w:r>
        <w:t xml:space="preserve">, </w:t>
      </w:r>
      <w:proofErr w:type="spellStart"/>
      <w:r w:rsidRPr="006A1411">
        <w:t>Gravetter</w:t>
      </w:r>
      <w:proofErr w:type="spellEnd"/>
      <w:r w:rsidRPr="006A1411">
        <w:t xml:space="preserve"> and Forzano (2016)</w:t>
      </w:r>
      <w:r>
        <w:rPr>
          <w:b/>
          <w:bCs/>
        </w:rPr>
        <w:t xml:space="preserve"> </w:t>
      </w:r>
      <w:r>
        <w:t>argued that</w:t>
      </w:r>
      <w:r w:rsidRPr="006A1411">
        <w:t xml:space="preserve"> the odds of selecting a particular individual </w:t>
      </w:r>
      <w:r>
        <w:t xml:space="preserve">or object </w:t>
      </w:r>
      <w:r w:rsidRPr="006A1411">
        <w:t>are</w:t>
      </w:r>
      <w:r>
        <w:t xml:space="preserve"> </w:t>
      </w:r>
      <w:r w:rsidRPr="006A1411">
        <w:t>known and can be calculated</w:t>
      </w:r>
      <w:r>
        <w:t xml:space="preserve">. </w:t>
      </w:r>
      <w:bookmarkEnd w:id="296"/>
      <w:r>
        <w:t>A multistage sampling method was adopted. The first stage of the sampling process involved the selection of various communities for the study. The study adopted an inclusive criterion in which communities with CBAGs</w:t>
      </w:r>
      <w:r w:rsidR="00847E9A">
        <w:t>, CFVSs,</w:t>
      </w:r>
      <w:r>
        <w:t xml:space="preserve"> or any other form of collaborative institution were selected. </w:t>
      </w:r>
      <w:r w:rsidR="00C37822">
        <w:t>The inclusion</w:t>
      </w:r>
      <w:r w:rsidR="0084410F">
        <w:t xml:space="preserve"> criteria</w:t>
      </w:r>
      <w:r>
        <w:t xml:space="preserve"> </w:t>
      </w:r>
      <w:r w:rsidR="00C37822">
        <w:t>allowed</w:t>
      </w:r>
      <w:r w:rsidR="00847E9A">
        <w:t xml:space="preserve"> selecting</w:t>
      </w:r>
      <w:r w:rsidR="00C37822">
        <w:t xml:space="preserve"> </w:t>
      </w:r>
      <w:r>
        <w:t xml:space="preserve">19 </w:t>
      </w:r>
      <w:r w:rsidR="00C37822">
        <w:t xml:space="preserve">and 14 </w:t>
      </w:r>
      <w:r>
        <w:t>communities border</w:t>
      </w:r>
      <w:r w:rsidR="00C37822">
        <w:t>ing</w:t>
      </w:r>
      <w:r>
        <w:t xml:space="preserve"> the </w:t>
      </w:r>
      <w:r w:rsidR="00C37822">
        <w:t>S</w:t>
      </w:r>
      <w:r>
        <w:t xml:space="preserve">outhern </w:t>
      </w:r>
      <w:r w:rsidR="00C37822">
        <w:t>S</w:t>
      </w:r>
      <w:r>
        <w:t xml:space="preserve">carp </w:t>
      </w:r>
      <w:r w:rsidR="00C37822">
        <w:t>F</w:t>
      </w:r>
      <w:r>
        <w:t xml:space="preserve">orest </w:t>
      </w:r>
      <w:r w:rsidR="00C37822">
        <w:t>R</w:t>
      </w:r>
      <w:r>
        <w:t>eserve</w:t>
      </w:r>
      <w:r w:rsidR="00C37822">
        <w:t xml:space="preserve"> and the Bobiri Forest Reserve </w:t>
      </w:r>
      <w:r w:rsidR="00C07F94">
        <w:t>r</w:t>
      </w:r>
      <w:r w:rsidR="00C37822">
        <w:t>espectfully</w:t>
      </w:r>
      <w:r>
        <w:t xml:space="preserve">. These communities also shared similar socioeconomic, climatic, and environmental characteristics, making them homogenous. </w:t>
      </w:r>
    </w:p>
    <w:p w14:paraId="6CDA7E82" w14:textId="3D3F184C" w:rsidR="00847E9A" w:rsidRDefault="00C31A4C" w:rsidP="00C31A4C">
      <w:pPr>
        <w:spacing w:after="0"/>
        <w:ind w:left="0" w:firstLine="0"/>
      </w:pPr>
      <w:r>
        <w:tab/>
        <w:t xml:space="preserve">In the context of homogeneity, </w:t>
      </w:r>
      <w:proofErr w:type="spellStart"/>
      <w:r>
        <w:t>Duntoye</w:t>
      </w:r>
      <w:proofErr w:type="spellEnd"/>
      <w:r>
        <w:t xml:space="preserve"> (2015) and Fowler (2015) maintained that with a homogenous population, a small sample size could be selected to represent the population. Additionally, the Central Limit Theorem posits that, for a distribution to be </w:t>
      </w:r>
      <w:r w:rsidR="00401D78">
        <w:t>representative</w:t>
      </w:r>
      <w:r>
        <w:t>, the sample size should not be less than 30 per cent of the total population (Creswell, 2009). Therefore, the study deemed it appropriate to sample six out of the 19 communities using cluster and simple random sampling techniques</w:t>
      </w:r>
      <w:r w:rsidR="00401D78">
        <w:t xml:space="preserve"> in the Southern Scarp Forest Reserve</w:t>
      </w:r>
      <w:r>
        <w:t xml:space="preserve">. </w:t>
      </w:r>
    </w:p>
    <w:p w14:paraId="0F7CF2A3" w14:textId="2E95BEE9" w:rsidR="00C31A4C" w:rsidRDefault="00847E9A" w:rsidP="00847E9A">
      <w:pPr>
        <w:spacing w:after="0"/>
        <w:ind w:left="0"/>
      </w:pPr>
      <w:r>
        <w:lastRenderedPageBreak/>
        <w:t xml:space="preserve">Politically, the Southern Scarp Forest Reserve spans the Kwahu East and Kwahu South Districts, forming the basis for the clustering. Three communities were selected from each cluster due to the approximate number of communities found in each cluster. The names of the communities in each cluster were obtained from the FSD at </w:t>
      </w:r>
      <w:proofErr w:type="spellStart"/>
      <w:r>
        <w:t>Mpraeso</w:t>
      </w:r>
      <w:proofErr w:type="spellEnd"/>
      <w:r>
        <w:t xml:space="preserve"> to choose the three communities from each cluster. The community names</w:t>
      </w:r>
      <w:r w:rsidR="00391088">
        <w:t>,</w:t>
      </w:r>
      <w:r>
        <w:t xml:space="preserve"> representing the sampling frame</w:t>
      </w:r>
      <w:r w:rsidR="00391088">
        <w:t>,</w:t>
      </w:r>
      <w:r>
        <w:t xml:space="preserve"> were placed in a bowl, mixed and three communities were randomly selected from each cluster. </w:t>
      </w:r>
      <w:r w:rsidR="00C31A4C">
        <w:t>The six sampled communities represented approximately 32 per cent of the total communities</w:t>
      </w:r>
      <w:r w:rsidR="00401D78">
        <w:t xml:space="preserve"> and comprised </w:t>
      </w:r>
      <w:proofErr w:type="spellStart"/>
      <w:r w:rsidR="00C31A4C">
        <w:t>Apesika</w:t>
      </w:r>
      <w:proofErr w:type="spellEnd"/>
      <w:r w:rsidR="00C31A4C">
        <w:t xml:space="preserve">, </w:t>
      </w:r>
      <w:proofErr w:type="spellStart"/>
      <w:r w:rsidR="00C31A4C">
        <w:t>Monsie</w:t>
      </w:r>
      <w:proofErr w:type="spellEnd"/>
      <w:r w:rsidR="00C31A4C">
        <w:t xml:space="preserve">, Aduhima, </w:t>
      </w:r>
      <w:proofErr w:type="spellStart"/>
      <w:r w:rsidR="00C31A4C">
        <w:t>Jejeti</w:t>
      </w:r>
      <w:proofErr w:type="spellEnd"/>
      <w:r w:rsidR="00C31A4C">
        <w:t xml:space="preserve">, </w:t>
      </w:r>
      <w:proofErr w:type="spellStart"/>
      <w:r w:rsidR="00C31A4C">
        <w:t>Osubin</w:t>
      </w:r>
      <w:proofErr w:type="spellEnd"/>
      <w:r w:rsidR="00C31A4C">
        <w:t xml:space="preserve"> and </w:t>
      </w:r>
      <w:proofErr w:type="spellStart"/>
      <w:r w:rsidR="00C31A4C">
        <w:t>Suminakesse</w:t>
      </w:r>
      <w:proofErr w:type="spellEnd"/>
      <w:r w:rsidR="00C31A4C">
        <w:t xml:space="preserve">. </w:t>
      </w:r>
    </w:p>
    <w:p w14:paraId="50530C89" w14:textId="33A8D023" w:rsidR="00401D78" w:rsidRDefault="00847E9A" w:rsidP="00847E9A">
      <w:pPr>
        <w:pStyle w:val="BodyText"/>
        <w:ind w:left="0" w:firstLine="0"/>
      </w:pPr>
      <w:r>
        <w:tab/>
      </w:r>
      <w:r w:rsidR="00C31A4C">
        <w:t>Based on the principles used in the sample size determination for the Southern Scarp Forest Reserve, five communities were selected from 14 communities</w:t>
      </w:r>
      <w:r w:rsidR="00401D78">
        <w:t xml:space="preserve"> in Bobiri</w:t>
      </w:r>
      <w:r w:rsidR="00C31A4C">
        <w:t xml:space="preserve">, which accounted for more than 30 per cent of the total number of communities. The five communities sampled were </w:t>
      </w:r>
      <w:proofErr w:type="spellStart"/>
      <w:r w:rsidR="00C31A4C">
        <w:t>Krofrom</w:t>
      </w:r>
      <w:proofErr w:type="spellEnd"/>
      <w:r w:rsidR="00C31A4C">
        <w:t xml:space="preserve">, </w:t>
      </w:r>
      <w:proofErr w:type="spellStart"/>
      <w:r w:rsidR="00C31A4C">
        <w:t>Kubease</w:t>
      </w:r>
      <w:proofErr w:type="spellEnd"/>
      <w:r w:rsidR="00C31A4C">
        <w:t xml:space="preserve">, </w:t>
      </w:r>
      <w:proofErr w:type="spellStart"/>
      <w:r w:rsidR="00C31A4C">
        <w:t>Nobewam</w:t>
      </w:r>
      <w:proofErr w:type="spellEnd"/>
      <w:r w:rsidR="00C31A4C">
        <w:t xml:space="preserve">, </w:t>
      </w:r>
      <w:proofErr w:type="spellStart"/>
      <w:r w:rsidR="00C31A4C">
        <w:t>Duapompo</w:t>
      </w:r>
      <w:proofErr w:type="spellEnd"/>
      <w:r w:rsidR="00C31A4C">
        <w:t xml:space="preserve"> and New Koforidua. </w:t>
      </w:r>
    </w:p>
    <w:p w14:paraId="6FF43C4C" w14:textId="5CC7E8E2" w:rsidR="007C2956" w:rsidRDefault="00C31A4C" w:rsidP="008A3CB4">
      <w:pPr>
        <w:ind w:left="0"/>
      </w:pPr>
      <w:r>
        <w:t>Checks from various district assemblies for the population size of the</w:t>
      </w:r>
      <w:r w:rsidR="00401D78">
        <w:t xml:space="preserve"> selected</w:t>
      </w:r>
      <w:r>
        <w:t xml:space="preserve"> communities indicated that such data were not available when the study was </w:t>
      </w:r>
      <w:r w:rsidR="008A3CB4">
        <w:t>underway</w:t>
      </w:r>
      <w:r>
        <w:t>.</w:t>
      </w:r>
      <w:r w:rsidR="008A3CB4">
        <w:t xml:space="preserve"> Therefore, t</w:t>
      </w:r>
      <w:r w:rsidR="007C2956">
        <w:t>o obtain an adequate sample size whose estimates could reflect that of the target population with precision, th</w:t>
      </w:r>
      <w:r w:rsidR="008A3CB4">
        <w:t>is</w:t>
      </w:r>
      <w:r w:rsidR="007C2956">
        <w:t xml:space="preserve"> study adopted Cochran's (1977) sample size determination for an </w:t>
      </w:r>
      <w:r w:rsidR="0072636C">
        <w:t>undefined</w:t>
      </w:r>
      <w:r w:rsidR="007C2956">
        <w:t xml:space="preserve"> population. Cochran's formula is given as </w:t>
      </w:r>
      <w:proofErr w:type="gramStart"/>
      <w:r w:rsidR="007C2956">
        <w:t>follows;</w:t>
      </w:r>
      <w:proofErr w:type="gramEnd"/>
      <w:r w:rsidR="007C2956">
        <w:t xml:space="preserve"> </w:t>
      </w:r>
    </w:p>
    <w:p w14:paraId="07BA2CD1" w14:textId="77777777" w:rsidR="007C2956" w:rsidRPr="007C2956" w:rsidRDefault="007C2956" w:rsidP="00772DAC">
      <w:pPr>
        <w:pStyle w:val="BodyText"/>
        <w:ind w:left="0" w:firstLine="0"/>
      </w:pPr>
      <w:r>
        <w:t xml:space="preserve">              </w:t>
      </w:r>
      <w:r>
        <w:rPr>
          <w:noProof/>
          <w:lang w:val="en-US"/>
        </w:rPr>
        <w:drawing>
          <wp:inline distT="0" distB="0" distL="0" distR="0" wp14:anchorId="4916572C" wp14:editId="791B155D">
            <wp:extent cx="914286" cy="504762"/>
            <wp:effectExtent l="0" t="0" r="635" b="0"/>
            <wp:docPr id="1126157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157039" name="Picture 1126157039"/>
                    <pic:cNvPicPr/>
                  </pic:nvPicPr>
                  <pic:blipFill>
                    <a:blip r:embed="rId25">
                      <a:extLst>
                        <a:ext uri="{28A0092B-C50C-407E-A947-70E740481C1C}">
                          <a14:useLocalDpi xmlns:a14="http://schemas.microsoft.com/office/drawing/2010/main" val="0"/>
                        </a:ext>
                      </a:extLst>
                    </a:blip>
                    <a:stretch>
                      <a:fillRect/>
                    </a:stretch>
                  </pic:blipFill>
                  <pic:spPr>
                    <a:xfrm>
                      <a:off x="0" y="0"/>
                      <a:ext cx="914286" cy="504762"/>
                    </a:xfrm>
                    <a:prstGeom prst="rect">
                      <a:avLst/>
                    </a:prstGeom>
                  </pic:spPr>
                </pic:pic>
              </a:graphicData>
            </a:graphic>
          </wp:inline>
        </w:drawing>
      </w:r>
    </w:p>
    <w:p w14:paraId="0C56157C" w14:textId="77777777" w:rsidR="007C2956" w:rsidRDefault="007C2956" w:rsidP="00772DAC">
      <w:pPr>
        <w:ind w:left="0" w:firstLine="0"/>
      </w:pPr>
      <w:r>
        <w:t>where n</w:t>
      </w:r>
      <w:r w:rsidRPr="00057CA7">
        <w:rPr>
          <w:vertAlign w:val="subscript"/>
        </w:rPr>
        <w:t>o</w:t>
      </w:r>
      <w:r>
        <w:t xml:space="preserve"> is the sample size, </w:t>
      </w:r>
    </w:p>
    <w:p w14:paraId="5D82FB6E" w14:textId="77777777" w:rsidR="007C2956" w:rsidRDefault="007C2956" w:rsidP="008F7D23">
      <w:pPr>
        <w:spacing w:after="0"/>
        <w:ind w:left="0" w:firstLine="0"/>
      </w:pPr>
      <w:r>
        <w:lastRenderedPageBreak/>
        <w:t>z is the selected critical value of desired confidence</w:t>
      </w:r>
    </w:p>
    <w:p w14:paraId="04F48C72" w14:textId="77777777" w:rsidR="007C2956" w:rsidRDefault="007C2956" w:rsidP="00772DAC">
      <w:pPr>
        <w:ind w:left="0" w:firstLine="0"/>
      </w:pPr>
      <w:r>
        <w:t>level, p is the estimated proportion of an attribute that is present in the population,</w:t>
      </w:r>
    </w:p>
    <w:p w14:paraId="34BCB0F4" w14:textId="77777777" w:rsidR="007C2956" w:rsidRDefault="007C2956" w:rsidP="005432A0">
      <w:pPr>
        <w:spacing w:after="0"/>
        <w:ind w:left="0" w:firstLine="0"/>
      </w:pPr>
      <w:r>
        <w:t>q =1 − p</w:t>
      </w:r>
      <w:r w:rsidR="006D4172">
        <w:t>,</w:t>
      </w:r>
      <w:r>
        <w:t xml:space="preserve"> and </w:t>
      </w:r>
      <w:r w:rsidRPr="00057CA7">
        <w:rPr>
          <w:i/>
          <w:iCs/>
        </w:rPr>
        <w:t>e</w:t>
      </w:r>
      <w:r>
        <w:t xml:space="preserve"> is the desired level of precision. </w:t>
      </w:r>
    </w:p>
    <w:p w14:paraId="45DD5BAE" w14:textId="77777777" w:rsidR="007C2956" w:rsidRDefault="007C2956" w:rsidP="005432A0">
      <w:pPr>
        <w:spacing w:after="0"/>
        <w:ind w:left="0" w:firstLine="0"/>
      </w:pPr>
      <w:r>
        <w:t xml:space="preserve"> Furthermore, the study assumed the maximum variability, which is equal to 50% (p =0.5) and taking a 95% confidence level with ±5% precision, the calculation for the required sample size for the study </w:t>
      </w:r>
      <w:proofErr w:type="gramStart"/>
      <w:r>
        <w:t>was;</w:t>
      </w:r>
      <w:proofErr w:type="gramEnd"/>
    </w:p>
    <w:p w14:paraId="5812F049" w14:textId="77777777" w:rsidR="007C2956" w:rsidRDefault="007C2956" w:rsidP="005432A0">
      <w:pPr>
        <w:spacing w:after="0"/>
        <w:ind w:left="0" w:firstLine="0"/>
      </w:pPr>
      <w:r>
        <w:rPr>
          <w:i/>
          <w:iCs/>
        </w:rPr>
        <w:t>p=</w:t>
      </w:r>
      <w:r>
        <w:t xml:space="preserve">0.5 and hence </w:t>
      </w:r>
      <w:r w:rsidRPr="005C645E">
        <w:rPr>
          <w:i/>
          <w:iCs/>
        </w:rPr>
        <w:t>q</w:t>
      </w:r>
      <w:r>
        <w:t>=1-0.5 = 0.5</w:t>
      </w:r>
      <w:proofErr w:type="gramStart"/>
      <w:r>
        <w:t xml:space="preserve">;  </w:t>
      </w:r>
      <w:r w:rsidRPr="005C645E">
        <w:rPr>
          <w:i/>
          <w:iCs/>
        </w:rPr>
        <w:t>e</w:t>
      </w:r>
      <w:proofErr w:type="gramEnd"/>
      <w:r>
        <w:t>= 0.05</w:t>
      </w:r>
      <w:proofErr w:type="gramStart"/>
      <w:r>
        <w:t xml:space="preserve">;  </w:t>
      </w:r>
      <w:r w:rsidRPr="005C645E">
        <w:rPr>
          <w:i/>
          <w:iCs/>
        </w:rPr>
        <w:t>z</w:t>
      </w:r>
      <w:proofErr w:type="gramEnd"/>
      <w:r>
        <w:t xml:space="preserve"> = 1.96</w:t>
      </w:r>
    </w:p>
    <w:p w14:paraId="699904B2" w14:textId="77777777" w:rsidR="007C2956" w:rsidRDefault="007C2956" w:rsidP="005432A0">
      <w:pPr>
        <w:spacing w:after="0"/>
        <w:ind w:left="0" w:firstLine="0"/>
      </w:pPr>
      <w:r>
        <w:rPr>
          <w:noProof/>
          <w:lang w:val="en-US"/>
        </w:rPr>
        <w:drawing>
          <wp:inline distT="0" distB="0" distL="0" distR="0" wp14:anchorId="1F0F7D95" wp14:editId="30518D14">
            <wp:extent cx="3724275" cy="809625"/>
            <wp:effectExtent l="0" t="0" r="9525" b="9525"/>
            <wp:docPr id="19406455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645520" name="Picture 1940645520"/>
                    <pic:cNvPicPr/>
                  </pic:nvPicPr>
                  <pic:blipFill>
                    <a:blip r:embed="rId26">
                      <a:extLst>
                        <a:ext uri="{28A0092B-C50C-407E-A947-70E740481C1C}">
                          <a14:useLocalDpi xmlns:a14="http://schemas.microsoft.com/office/drawing/2010/main" val="0"/>
                        </a:ext>
                      </a:extLst>
                    </a:blip>
                    <a:stretch>
                      <a:fillRect/>
                    </a:stretch>
                  </pic:blipFill>
                  <pic:spPr>
                    <a:xfrm>
                      <a:off x="0" y="0"/>
                      <a:ext cx="3724800" cy="809739"/>
                    </a:xfrm>
                    <a:prstGeom prst="rect">
                      <a:avLst/>
                    </a:prstGeom>
                  </pic:spPr>
                </pic:pic>
              </a:graphicData>
            </a:graphic>
          </wp:inline>
        </w:drawing>
      </w:r>
    </w:p>
    <w:p w14:paraId="38602005" w14:textId="6823E878" w:rsidR="00074089" w:rsidRDefault="001A4919" w:rsidP="00847E9A">
      <w:pPr>
        <w:spacing w:after="0"/>
        <w:ind w:left="0" w:firstLine="0"/>
      </w:pPr>
      <w:r>
        <w:tab/>
      </w:r>
      <w:r w:rsidR="00C5032F">
        <w:t xml:space="preserve">In the same light, </w:t>
      </w:r>
      <w:r w:rsidR="00C5032F">
        <w:rPr>
          <w:rFonts w:cs="Times New Roman"/>
          <w:szCs w:val="24"/>
        </w:rPr>
        <w:t>Fernandez et al. (2009) maintained that it would be appropriate to augment the sample size by 15 per cent to account for unforeseen circumstances such as attrition and non-response. Therefore, 15 per cent of 384 w</w:t>
      </w:r>
      <w:r w:rsidR="008A3CB4">
        <w:rPr>
          <w:rFonts w:cs="Times New Roman"/>
          <w:szCs w:val="24"/>
        </w:rPr>
        <w:t>as</w:t>
      </w:r>
      <w:r w:rsidR="00C5032F">
        <w:rPr>
          <w:rFonts w:cs="Times New Roman"/>
          <w:szCs w:val="24"/>
        </w:rPr>
        <w:t xml:space="preserve"> 57.6 or approximately 58. </w:t>
      </w:r>
      <w:r w:rsidR="008A3CB4">
        <w:rPr>
          <w:rFonts w:cs="Times New Roman"/>
          <w:szCs w:val="24"/>
        </w:rPr>
        <w:t>Hence</w:t>
      </w:r>
      <w:r w:rsidR="00C5032F">
        <w:rPr>
          <w:rFonts w:cs="Times New Roman"/>
          <w:szCs w:val="24"/>
        </w:rPr>
        <w:t xml:space="preserve"> the sample size used was 442. </w:t>
      </w:r>
      <w:r w:rsidR="00C5032F">
        <w:t xml:space="preserve">The total number of communities sampled was 11; the Bobiri Forest Reserve had five, while the Southern Scarp Forest Reserve had six. </w:t>
      </w:r>
      <w:r w:rsidR="0072636C">
        <w:t xml:space="preserve">The </w:t>
      </w:r>
      <w:r w:rsidR="00C5032F">
        <w:t>sample size of 442 participants was proportionately shared between the two study areas</w:t>
      </w:r>
      <w:r w:rsidR="008A3CB4">
        <w:t xml:space="preserve"> based on their percentage share of the sample size</w:t>
      </w:r>
      <w:r w:rsidR="00C5032F">
        <w:t xml:space="preserve">. Therefore, the sample for Bobiri stood at 176.8 or approximately 177, and that of Southern Scarp increased to 265.2 or approximately 265 participants. Due to non-response issues, the study obtained 173 and 258 respondents from the Bobiri Forest Reserve and Southern Scarp Forest Reserve, respectively. </w:t>
      </w:r>
      <w:r w:rsidR="00847E9A">
        <w:t xml:space="preserve">As stated earlier, there was no data on the population sizes of the various communities chosen; the sample size obtained for each study area was proportionately shared among the selected communities </w:t>
      </w:r>
      <w:r w:rsidR="00847E9A">
        <w:lastRenderedPageBreak/>
        <w:t xml:space="preserve">based on the geographical sizes </w:t>
      </w:r>
      <w:r w:rsidR="0072636C">
        <w:t>and the density of settlement of</w:t>
      </w:r>
      <w:r w:rsidR="00847E9A">
        <w:t xml:space="preserve"> the communities as observed in the initial visitation by the data collection team. </w:t>
      </w:r>
      <w:r w:rsidR="00C5032F">
        <w:t xml:space="preserve">This study included 431 participants. Table 2 illustrates the various </w:t>
      </w:r>
      <w:proofErr w:type="gramStart"/>
      <w:r w:rsidR="00C5032F">
        <w:t>towns</w:t>
      </w:r>
      <w:proofErr w:type="gramEnd"/>
      <w:r w:rsidR="00C5032F">
        <w:t xml:space="preserve"> and their respective number of participants</w:t>
      </w:r>
      <w:r w:rsidR="005855A4">
        <w:t xml:space="preserve"> selected</w:t>
      </w:r>
      <w:r w:rsidR="00C5032F">
        <w:t>.</w:t>
      </w:r>
    </w:p>
    <w:p w14:paraId="5AB93B61" w14:textId="77777777" w:rsidR="00CA26C6" w:rsidRPr="00CA26C6" w:rsidRDefault="00CA26C6" w:rsidP="00C34F3A">
      <w:pPr>
        <w:pStyle w:val="LT"/>
      </w:pPr>
      <w:bookmarkStart w:id="297" w:name="_Toc197335666"/>
      <w:r w:rsidRPr="00074089">
        <w:t>Tabl</w:t>
      </w:r>
      <w:r w:rsidR="00F919D0" w:rsidRPr="00074089">
        <w:t>e 2</w:t>
      </w:r>
      <w:r w:rsidR="009D4A0A" w:rsidRPr="00074089">
        <w:t xml:space="preserve">: Sample </w:t>
      </w:r>
      <w:r w:rsidR="00E73A56" w:rsidRPr="00074089">
        <w:t>Size Distribution in the Study Area</w:t>
      </w:r>
      <w:r w:rsidR="00F919D0">
        <w:t>.</w:t>
      </w:r>
      <w:bookmarkEnd w:id="297"/>
      <w:r w:rsidR="009D4A0A">
        <w:t xml:space="preserve"> </w:t>
      </w:r>
    </w:p>
    <w:tbl>
      <w:tblPr>
        <w:tblW w:w="4434" w:type="pct"/>
        <w:tblLook w:val="04A0" w:firstRow="1" w:lastRow="0" w:firstColumn="1" w:lastColumn="0" w:noHBand="0" w:noVBand="1"/>
      </w:tblPr>
      <w:tblGrid>
        <w:gridCol w:w="2410"/>
        <w:gridCol w:w="2389"/>
        <w:gridCol w:w="1928"/>
      </w:tblGrid>
      <w:tr w:rsidR="00CA26C6" w:rsidRPr="001A4919" w14:paraId="19325258" w14:textId="77777777" w:rsidTr="001A4919">
        <w:tc>
          <w:tcPr>
            <w:tcW w:w="1791" w:type="pct"/>
            <w:tcBorders>
              <w:top w:val="single" w:sz="4" w:space="0" w:color="auto"/>
              <w:bottom w:val="single" w:sz="4" w:space="0" w:color="auto"/>
            </w:tcBorders>
          </w:tcPr>
          <w:p w14:paraId="0F27D0BB" w14:textId="77777777" w:rsidR="00CA26C6" w:rsidRPr="001A4919" w:rsidRDefault="00CA26C6" w:rsidP="005432A0">
            <w:pPr>
              <w:spacing w:after="0" w:line="240" w:lineRule="auto"/>
              <w:ind w:left="0" w:firstLine="0"/>
              <w:jc w:val="left"/>
            </w:pPr>
            <w:r w:rsidRPr="001A4919">
              <w:t>Study Area</w:t>
            </w:r>
          </w:p>
        </w:tc>
        <w:tc>
          <w:tcPr>
            <w:tcW w:w="1776" w:type="pct"/>
            <w:tcBorders>
              <w:top w:val="single" w:sz="4" w:space="0" w:color="auto"/>
              <w:bottom w:val="single" w:sz="4" w:space="0" w:color="auto"/>
            </w:tcBorders>
          </w:tcPr>
          <w:p w14:paraId="057F5D45" w14:textId="77777777" w:rsidR="00CA26C6" w:rsidRPr="001A4919" w:rsidRDefault="00CA26C6" w:rsidP="005432A0">
            <w:pPr>
              <w:spacing w:after="0" w:line="240" w:lineRule="auto"/>
              <w:ind w:left="0" w:firstLine="0"/>
            </w:pPr>
            <w:r w:rsidRPr="001A4919">
              <w:t>Selected Community</w:t>
            </w:r>
          </w:p>
        </w:tc>
        <w:tc>
          <w:tcPr>
            <w:tcW w:w="1433" w:type="pct"/>
            <w:tcBorders>
              <w:top w:val="single" w:sz="4" w:space="0" w:color="auto"/>
              <w:bottom w:val="single" w:sz="4" w:space="0" w:color="auto"/>
            </w:tcBorders>
          </w:tcPr>
          <w:p w14:paraId="0229D08D" w14:textId="77777777" w:rsidR="00CA26C6" w:rsidRPr="001A4919" w:rsidRDefault="00CA26C6" w:rsidP="005432A0">
            <w:pPr>
              <w:spacing w:after="0" w:line="240" w:lineRule="auto"/>
              <w:ind w:left="0" w:firstLine="0"/>
            </w:pPr>
            <w:r w:rsidRPr="001A4919">
              <w:t>Sample allocation</w:t>
            </w:r>
          </w:p>
        </w:tc>
      </w:tr>
      <w:tr w:rsidR="00CA26C6" w:rsidRPr="001A4919" w14:paraId="7C242E2B" w14:textId="77777777" w:rsidTr="001A4919">
        <w:tc>
          <w:tcPr>
            <w:tcW w:w="1791" w:type="pct"/>
            <w:tcBorders>
              <w:top w:val="single" w:sz="4" w:space="0" w:color="auto"/>
              <w:bottom w:val="single" w:sz="4" w:space="0" w:color="auto"/>
            </w:tcBorders>
          </w:tcPr>
          <w:p w14:paraId="3A8DB863" w14:textId="77777777" w:rsidR="00CA26C6" w:rsidRPr="001A4919" w:rsidRDefault="00CA26C6" w:rsidP="005432A0">
            <w:pPr>
              <w:spacing w:after="0" w:line="240" w:lineRule="auto"/>
              <w:ind w:left="0" w:firstLine="0"/>
            </w:pPr>
            <w:r w:rsidRPr="001A4919">
              <w:t>Bobiri Forest Reserve</w:t>
            </w:r>
          </w:p>
          <w:p w14:paraId="69E78434" w14:textId="77777777" w:rsidR="00CA26C6" w:rsidRPr="001A4919" w:rsidRDefault="00CA26C6" w:rsidP="005432A0">
            <w:pPr>
              <w:spacing w:after="0" w:line="240" w:lineRule="auto"/>
              <w:ind w:left="0" w:firstLine="0"/>
            </w:pPr>
          </w:p>
          <w:p w14:paraId="71C7C1B6" w14:textId="77777777" w:rsidR="00CA26C6" w:rsidRPr="001A4919" w:rsidRDefault="00CA26C6" w:rsidP="005432A0">
            <w:pPr>
              <w:spacing w:after="0" w:line="240" w:lineRule="auto"/>
              <w:ind w:left="0" w:firstLine="0"/>
            </w:pPr>
          </w:p>
          <w:p w14:paraId="175F68DE" w14:textId="77777777" w:rsidR="00CA26C6" w:rsidRPr="001A4919" w:rsidRDefault="00CA26C6" w:rsidP="005432A0">
            <w:pPr>
              <w:spacing w:after="0" w:line="240" w:lineRule="auto"/>
              <w:ind w:left="0" w:firstLine="0"/>
            </w:pPr>
          </w:p>
          <w:p w14:paraId="4246C8F7" w14:textId="77777777" w:rsidR="00CA26C6" w:rsidRPr="001A4919" w:rsidRDefault="00CA26C6" w:rsidP="005432A0">
            <w:pPr>
              <w:spacing w:after="0" w:line="240" w:lineRule="auto"/>
              <w:ind w:left="0" w:firstLine="0"/>
            </w:pPr>
          </w:p>
          <w:p w14:paraId="30988E0A" w14:textId="77777777" w:rsidR="00CA26C6" w:rsidRPr="001A4919" w:rsidRDefault="00CA26C6" w:rsidP="005432A0">
            <w:pPr>
              <w:spacing w:after="0" w:line="240" w:lineRule="auto"/>
              <w:ind w:left="0" w:firstLine="0"/>
            </w:pPr>
          </w:p>
          <w:p w14:paraId="678DD518" w14:textId="77777777" w:rsidR="00CA26C6" w:rsidRPr="001A4919" w:rsidRDefault="00CA26C6" w:rsidP="005432A0">
            <w:pPr>
              <w:spacing w:after="0" w:line="240" w:lineRule="auto"/>
              <w:ind w:left="0" w:firstLine="0"/>
            </w:pPr>
          </w:p>
          <w:p w14:paraId="4734F427" w14:textId="77777777" w:rsidR="00CA26C6" w:rsidRPr="001A4919" w:rsidRDefault="00CA26C6" w:rsidP="005432A0">
            <w:pPr>
              <w:spacing w:after="0" w:line="240" w:lineRule="auto"/>
              <w:ind w:left="0" w:firstLine="0"/>
            </w:pPr>
          </w:p>
          <w:p w14:paraId="55874E5D" w14:textId="77777777" w:rsidR="00ED6F64" w:rsidRPr="001A4919" w:rsidRDefault="00ED6F64" w:rsidP="005432A0">
            <w:pPr>
              <w:spacing w:after="0" w:line="240" w:lineRule="auto"/>
              <w:ind w:left="0" w:firstLine="0"/>
            </w:pPr>
          </w:p>
          <w:p w14:paraId="42D62997" w14:textId="77777777" w:rsidR="00CA26C6" w:rsidRPr="001A4919" w:rsidRDefault="00CA26C6" w:rsidP="005432A0">
            <w:pPr>
              <w:spacing w:after="0" w:line="240" w:lineRule="auto"/>
              <w:ind w:left="0" w:firstLine="0"/>
            </w:pPr>
            <w:r w:rsidRPr="001A4919">
              <w:t>Southern Scarp Forest Reserve</w:t>
            </w:r>
          </w:p>
          <w:p w14:paraId="2D065D99" w14:textId="77777777" w:rsidR="00CA26C6" w:rsidRPr="001A4919" w:rsidRDefault="00CA26C6" w:rsidP="005432A0">
            <w:pPr>
              <w:spacing w:after="0" w:line="240" w:lineRule="auto"/>
              <w:ind w:left="0" w:firstLine="0"/>
            </w:pPr>
          </w:p>
          <w:p w14:paraId="684184F4" w14:textId="77777777" w:rsidR="00CA26C6" w:rsidRPr="001A4919" w:rsidRDefault="00CA26C6" w:rsidP="005432A0">
            <w:pPr>
              <w:spacing w:after="0" w:line="240" w:lineRule="auto"/>
              <w:ind w:left="0" w:firstLine="0"/>
            </w:pPr>
          </w:p>
          <w:p w14:paraId="349684B2" w14:textId="77777777" w:rsidR="00CA26C6" w:rsidRPr="001A4919" w:rsidRDefault="00CA26C6" w:rsidP="005432A0">
            <w:pPr>
              <w:spacing w:after="0" w:line="240" w:lineRule="auto"/>
              <w:ind w:left="0" w:firstLine="0"/>
            </w:pPr>
          </w:p>
          <w:p w14:paraId="0D6D6467" w14:textId="77777777" w:rsidR="00CA26C6" w:rsidRPr="001A4919" w:rsidRDefault="00CA26C6" w:rsidP="005432A0">
            <w:pPr>
              <w:spacing w:after="0" w:line="240" w:lineRule="auto"/>
              <w:ind w:left="0" w:firstLine="0"/>
            </w:pPr>
          </w:p>
          <w:p w14:paraId="38B17EB0" w14:textId="77777777" w:rsidR="00CA26C6" w:rsidRPr="001A4919" w:rsidRDefault="00CA26C6" w:rsidP="005432A0">
            <w:pPr>
              <w:spacing w:after="0" w:line="240" w:lineRule="auto"/>
              <w:ind w:left="0" w:firstLine="0"/>
            </w:pPr>
          </w:p>
          <w:p w14:paraId="0C55F36B" w14:textId="77777777" w:rsidR="00CA26C6" w:rsidRPr="001A4919" w:rsidRDefault="00CA26C6" w:rsidP="005432A0">
            <w:pPr>
              <w:spacing w:after="0" w:line="240" w:lineRule="auto"/>
              <w:ind w:left="0" w:firstLine="0"/>
            </w:pPr>
          </w:p>
          <w:p w14:paraId="5867FC4D" w14:textId="77777777" w:rsidR="00CA26C6" w:rsidRPr="001A4919" w:rsidRDefault="00CA26C6" w:rsidP="005432A0">
            <w:pPr>
              <w:spacing w:after="0" w:line="240" w:lineRule="auto"/>
              <w:ind w:left="0" w:firstLine="0"/>
            </w:pPr>
          </w:p>
          <w:p w14:paraId="28470B2A" w14:textId="77777777" w:rsidR="00CA26C6" w:rsidRPr="001A4919" w:rsidRDefault="00CA26C6" w:rsidP="005432A0">
            <w:pPr>
              <w:spacing w:after="0" w:line="240" w:lineRule="auto"/>
              <w:ind w:left="0" w:firstLine="0"/>
            </w:pPr>
          </w:p>
          <w:p w14:paraId="48840108" w14:textId="77777777" w:rsidR="00CA26C6" w:rsidRPr="001A4919" w:rsidRDefault="00CA26C6" w:rsidP="005432A0">
            <w:pPr>
              <w:spacing w:after="0" w:line="240" w:lineRule="auto"/>
              <w:ind w:left="0" w:firstLine="0"/>
            </w:pPr>
          </w:p>
          <w:p w14:paraId="0B286148" w14:textId="77777777" w:rsidR="00CA26C6" w:rsidRPr="001A4919" w:rsidRDefault="00CA26C6" w:rsidP="005432A0">
            <w:pPr>
              <w:spacing w:after="0" w:line="240" w:lineRule="auto"/>
              <w:ind w:left="0" w:firstLine="0"/>
            </w:pPr>
          </w:p>
          <w:p w14:paraId="2728C4AD" w14:textId="77777777" w:rsidR="00F919D0" w:rsidRPr="001A4919" w:rsidRDefault="00F919D0" w:rsidP="005432A0">
            <w:pPr>
              <w:spacing w:after="0" w:line="240" w:lineRule="auto"/>
              <w:ind w:left="0" w:firstLine="0"/>
            </w:pPr>
          </w:p>
          <w:p w14:paraId="620DD931" w14:textId="77777777" w:rsidR="00CA26C6" w:rsidRPr="001A4919" w:rsidRDefault="00CA26C6" w:rsidP="005432A0">
            <w:pPr>
              <w:spacing w:after="0" w:line="240" w:lineRule="auto"/>
              <w:ind w:left="0" w:firstLine="0"/>
            </w:pPr>
            <w:r w:rsidRPr="001A4919">
              <w:t xml:space="preserve">Total </w:t>
            </w:r>
          </w:p>
          <w:p w14:paraId="48521D6B" w14:textId="77777777" w:rsidR="00CA26C6" w:rsidRPr="001A4919" w:rsidRDefault="00CA26C6" w:rsidP="005432A0">
            <w:pPr>
              <w:spacing w:after="0" w:line="240" w:lineRule="auto"/>
              <w:ind w:left="0" w:firstLine="0"/>
            </w:pPr>
          </w:p>
        </w:tc>
        <w:tc>
          <w:tcPr>
            <w:tcW w:w="1776" w:type="pct"/>
            <w:tcBorders>
              <w:top w:val="single" w:sz="4" w:space="0" w:color="auto"/>
              <w:bottom w:val="single" w:sz="4" w:space="0" w:color="auto"/>
            </w:tcBorders>
          </w:tcPr>
          <w:p w14:paraId="113F6BF0" w14:textId="77777777" w:rsidR="00CA26C6" w:rsidRPr="001A4919" w:rsidRDefault="00CA26C6" w:rsidP="005432A0">
            <w:pPr>
              <w:spacing w:after="0" w:line="240" w:lineRule="auto"/>
              <w:ind w:left="0" w:firstLine="0"/>
            </w:pPr>
            <w:proofErr w:type="spellStart"/>
            <w:r w:rsidRPr="001A4919">
              <w:t>Krofrom</w:t>
            </w:r>
            <w:proofErr w:type="spellEnd"/>
          </w:p>
          <w:p w14:paraId="491C9667" w14:textId="77777777" w:rsidR="00CA26C6" w:rsidRPr="001A4919" w:rsidRDefault="00CA26C6" w:rsidP="005432A0">
            <w:pPr>
              <w:spacing w:after="0" w:line="240" w:lineRule="auto"/>
              <w:ind w:left="0" w:firstLine="0"/>
            </w:pPr>
          </w:p>
          <w:p w14:paraId="68C2BA71" w14:textId="77777777" w:rsidR="00CA26C6" w:rsidRPr="001A4919" w:rsidRDefault="00CA26C6" w:rsidP="005432A0">
            <w:pPr>
              <w:spacing w:after="0" w:line="240" w:lineRule="auto"/>
              <w:ind w:left="0" w:firstLine="0"/>
            </w:pPr>
            <w:proofErr w:type="spellStart"/>
            <w:r w:rsidRPr="001A4919">
              <w:t>Kubease</w:t>
            </w:r>
            <w:proofErr w:type="spellEnd"/>
          </w:p>
          <w:p w14:paraId="117776C4" w14:textId="77777777" w:rsidR="00CA26C6" w:rsidRPr="001A4919" w:rsidRDefault="00CA26C6" w:rsidP="005432A0">
            <w:pPr>
              <w:spacing w:after="0" w:line="240" w:lineRule="auto"/>
              <w:ind w:left="0" w:firstLine="0"/>
            </w:pPr>
          </w:p>
          <w:p w14:paraId="2F13FE64" w14:textId="77777777" w:rsidR="00CA26C6" w:rsidRPr="001A4919" w:rsidRDefault="00CA26C6" w:rsidP="005432A0">
            <w:pPr>
              <w:spacing w:after="0" w:line="240" w:lineRule="auto"/>
              <w:ind w:left="0" w:firstLine="0"/>
            </w:pPr>
            <w:proofErr w:type="spellStart"/>
            <w:r w:rsidRPr="001A4919">
              <w:t>Nobewam</w:t>
            </w:r>
            <w:proofErr w:type="spellEnd"/>
          </w:p>
          <w:p w14:paraId="2D131D38" w14:textId="77777777" w:rsidR="00CA26C6" w:rsidRPr="001A4919" w:rsidRDefault="00CA26C6" w:rsidP="005432A0">
            <w:pPr>
              <w:spacing w:after="0" w:line="240" w:lineRule="auto"/>
              <w:ind w:left="0" w:firstLine="0"/>
            </w:pPr>
          </w:p>
          <w:p w14:paraId="5154AD7B" w14:textId="77777777" w:rsidR="00ED6F64" w:rsidRPr="001A4919" w:rsidRDefault="00CA26C6" w:rsidP="005432A0">
            <w:pPr>
              <w:spacing w:after="0" w:line="240" w:lineRule="auto"/>
              <w:ind w:left="0" w:firstLine="0"/>
            </w:pPr>
            <w:proofErr w:type="spellStart"/>
            <w:r w:rsidRPr="001A4919">
              <w:t>Dua</w:t>
            </w:r>
            <w:r w:rsidR="00ED6F64" w:rsidRPr="001A4919">
              <w:t>m</w:t>
            </w:r>
            <w:r w:rsidRPr="001A4919">
              <w:t>pompo</w:t>
            </w:r>
            <w:proofErr w:type="spellEnd"/>
          </w:p>
          <w:p w14:paraId="3890341B" w14:textId="77777777" w:rsidR="00ED6F64" w:rsidRPr="001A4919" w:rsidRDefault="00ED6F64" w:rsidP="005432A0">
            <w:pPr>
              <w:spacing w:after="0" w:line="240" w:lineRule="auto"/>
              <w:ind w:left="0" w:firstLine="0"/>
            </w:pPr>
          </w:p>
          <w:p w14:paraId="0F2BC348" w14:textId="77777777" w:rsidR="00ED6F64" w:rsidRPr="001A4919" w:rsidRDefault="00ED6F64" w:rsidP="005432A0">
            <w:pPr>
              <w:spacing w:after="0" w:line="240" w:lineRule="auto"/>
              <w:ind w:left="0" w:firstLine="0"/>
            </w:pPr>
            <w:r w:rsidRPr="001A4919">
              <w:t>New Koforidua</w:t>
            </w:r>
          </w:p>
          <w:p w14:paraId="1CEF61F9" w14:textId="77777777" w:rsidR="00CA26C6" w:rsidRPr="00A17D73" w:rsidRDefault="00CA26C6" w:rsidP="005432A0">
            <w:pPr>
              <w:spacing w:after="0" w:line="240" w:lineRule="auto"/>
              <w:ind w:left="0" w:firstLine="0"/>
              <w:rPr>
                <w:lang w:val="fr-FR"/>
              </w:rPr>
            </w:pPr>
            <w:proofErr w:type="spellStart"/>
            <w:r w:rsidRPr="00A17D73">
              <w:rPr>
                <w:lang w:val="fr-FR"/>
              </w:rPr>
              <w:t>Apesika</w:t>
            </w:r>
            <w:proofErr w:type="spellEnd"/>
          </w:p>
          <w:p w14:paraId="268E4581" w14:textId="77777777" w:rsidR="00CA26C6" w:rsidRPr="00A17D73" w:rsidRDefault="00CA26C6" w:rsidP="005432A0">
            <w:pPr>
              <w:spacing w:after="0" w:line="240" w:lineRule="auto"/>
              <w:ind w:left="0" w:firstLine="0"/>
              <w:rPr>
                <w:lang w:val="fr-FR"/>
              </w:rPr>
            </w:pPr>
          </w:p>
          <w:p w14:paraId="3B0D3A9C" w14:textId="77777777" w:rsidR="00CA26C6" w:rsidRPr="00A17D73" w:rsidRDefault="00CA26C6" w:rsidP="005432A0">
            <w:pPr>
              <w:spacing w:after="0" w:line="240" w:lineRule="auto"/>
              <w:ind w:left="0" w:firstLine="0"/>
              <w:rPr>
                <w:lang w:val="fr-FR"/>
              </w:rPr>
            </w:pPr>
            <w:proofErr w:type="spellStart"/>
            <w:r w:rsidRPr="00A17D73">
              <w:rPr>
                <w:lang w:val="fr-FR"/>
              </w:rPr>
              <w:t>Monsie</w:t>
            </w:r>
            <w:proofErr w:type="spellEnd"/>
          </w:p>
          <w:p w14:paraId="058E36DC" w14:textId="77777777" w:rsidR="00CA26C6" w:rsidRPr="00A17D73" w:rsidRDefault="00CA26C6" w:rsidP="005432A0">
            <w:pPr>
              <w:spacing w:after="0" w:line="240" w:lineRule="auto"/>
              <w:ind w:left="0" w:firstLine="0"/>
              <w:rPr>
                <w:lang w:val="fr-FR"/>
              </w:rPr>
            </w:pPr>
          </w:p>
          <w:p w14:paraId="3BDB54A3" w14:textId="77777777" w:rsidR="00CA26C6" w:rsidRPr="00A17D73" w:rsidRDefault="00CA26C6" w:rsidP="005432A0">
            <w:pPr>
              <w:spacing w:after="0" w:line="240" w:lineRule="auto"/>
              <w:ind w:left="0" w:firstLine="0"/>
              <w:rPr>
                <w:lang w:val="fr-FR"/>
              </w:rPr>
            </w:pPr>
            <w:proofErr w:type="spellStart"/>
            <w:r w:rsidRPr="00A17D73">
              <w:rPr>
                <w:lang w:val="fr-FR"/>
              </w:rPr>
              <w:t>Aduhima</w:t>
            </w:r>
            <w:proofErr w:type="spellEnd"/>
            <w:r w:rsidRPr="00A17D73">
              <w:rPr>
                <w:lang w:val="fr-FR"/>
              </w:rPr>
              <w:t xml:space="preserve"> </w:t>
            </w:r>
          </w:p>
          <w:p w14:paraId="684ACC53" w14:textId="77777777" w:rsidR="00CA26C6" w:rsidRPr="00A17D73" w:rsidRDefault="00CA26C6" w:rsidP="005432A0">
            <w:pPr>
              <w:spacing w:after="0" w:line="240" w:lineRule="auto"/>
              <w:ind w:left="0" w:firstLine="0"/>
              <w:rPr>
                <w:lang w:val="fr-FR"/>
              </w:rPr>
            </w:pPr>
          </w:p>
          <w:p w14:paraId="188D8790" w14:textId="77777777" w:rsidR="00CA26C6" w:rsidRPr="00A17D73" w:rsidRDefault="00CA26C6" w:rsidP="005432A0">
            <w:pPr>
              <w:spacing w:after="0" w:line="240" w:lineRule="auto"/>
              <w:ind w:left="0" w:firstLine="0"/>
              <w:rPr>
                <w:lang w:val="fr-FR"/>
              </w:rPr>
            </w:pPr>
            <w:r w:rsidRPr="00A17D73">
              <w:rPr>
                <w:lang w:val="fr-FR"/>
              </w:rPr>
              <w:t xml:space="preserve">New </w:t>
            </w:r>
            <w:proofErr w:type="spellStart"/>
            <w:r w:rsidRPr="00A17D73">
              <w:rPr>
                <w:lang w:val="fr-FR"/>
              </w:rPr>
              <w:t>Jejeti</w:t>
            </w:r>
            <w:proofErr w:type="spellEnd"/>
          </w:p>
          <w:p w14:paraId="08965903" w14:textId="77777777" w:rsidR="00CA26C6" w:rsidRPr="00A17D73" w:rsidRDefault="00CA26C6" w:rsidP="005432A0">
            <w:pPr>
              <w:spacing w:after="0" w:line="240" w:lineRule="auto"/>
              <w:ind w:left="0" w:firstLine="0"/>
              <w:rPr>
                <w:lang w:val="fr-FR"/>
              </w:rPr>
            </w:pPr>
          </w:p>
          <w:p w14:paraId="0AE17653" w14:textId="77777777" w:rsidR="00CA26C6" w:rsidRPr="00A17D73" w:rsidRDefault="00CA26C6" w:rsidP="005432A0">
            <w:pPr>
              <w:spacing w:after="0" w:line="240" w:lineRule="auto"/>
              <w:ind w:left="0" w:firstLine="0"/>
              <w:rPr>
                <w:lang w:val="fr-FR"/>
              </w:rPr>
            </w:pPr>
            <w:proofErr w:type="spellStart"/>
            <w:r w:rsidRPr="00A17D73">
              <w:rPr>
                <w:lang w:val="fr-FR"/>
              </w:rPr>
              <w:t>Osubin</w:t>
            </w:r>
            <w:proofErr w:type="spellEnd"/>
          </w:p>
          <w:p w14:paraId="06850467" w14:textId="77777777" w:rsidR="00CA26C6" w:rsidRPr="00A17D73" w:rsidRDefault="00CA26C6" w:rsidP="005432A0">
            <w:pPr>
              <w:spacing w:after="0" w:line="240" w:lineRule="auto"/>
              <w:ind w:left="0" w:firstLine="0"/>
              <w:rPr>
                <w:lang w:val="fr-FR"/>
              </w:rPr>
            </w:pPr>
          </w:p>
          <w:p w14:paraId="3806AA60" w14:textId="77777777" w:rsidR="00CA26C6" w:rsidRPr="001A4919" w:rsidRDefault="00CA26C6" w:rsidP="005432A0">
            <w:pPr>
              <w:spacing w:after="0" w:line="240" w:lineRule="auto"/>
              <w:ind w:left="0" w:firstLine="0"/>
            </w:pPr>
            <w:proofErr w:type="spellStart"/>
            <w:r w:rsidRPr="001A4919">
              <w:t>Summinakesse</w:t>
            </w:r>
            <w:proofErr w:type="spellEnd"/>
          </w:p>
        </w:tc>
        <w:tc>
          <w:tcPr>
            <w:tcW w:w="1433" w:type="pct"/>
            <w:tcBorders>
              <w:top w:val="single" w:sz="4" w:space="0" w:color="auto"/>
              <w:bottom w:val="single" w:sz="4" w:space="0" w:color="auto"/>
            </w:tcBorders>
          </w:tcPr>
          <w:p w14:paraId="72C2FF3C" w14:textId="77777777" w:rsidR="00CA26C6" w:rsidRPr="001A4919" w:rsidRDefault="00ED6F64" w:rsidP="005432A0">
            <w:pPr>
              <w:spacing w:after="0" w:line="240" w:lineRule="auto"/>
              <w:ind w:left="0" w:firstLine="0"/>
            </w:pPr>
            <w:r w:rsidRPr="001A4919">
              <w:t>35</w:t>
            </w:r>
          </w:p>
          <w:p w14:paraId="3DC6A33F" w14:textId="77777777" w:rsidR="00CA26C6" w:rsidRPr="001A4919" w:rsidRDefault="00CA26C6" w:rsidP="005432A0">
            <w:pPr>
              <w:spacing w:after="0" w:line="240" w:lineRule="auto"/>
              <w:ind w:left="0" w:firstLine="0"/>
            </w:pPr>
          </w:p>
          <w:p w14:paraId="08718ADF" w14:textId="77777777" w:rsidR="00CA26C6" w:rsidRPr="001A4919" w:rsidRDefault="00ED6F64" w:rsidP="005432A0">
            <w:pPr>
              <w:spacing w:after="0" w:line="240" w:lineRule="auto"/>
              <w:ind w:left="0" w:firstLine="0"/>
            </w:pPr>
            <w:r w:rsidRPr="001A4919">
              <w:t>34</w:t>
            </w:r>
          </w:p>
          <w:p w14:paraId="06E93E78" w14:textId="77777777" w:rsidR="00CA26C6" w:rsidRPr="001A4919" w:rsidRDefault="00CA26C6" w:rsidP="005432A0">
            <w:pPr>
              <w:spacing w:after="0" w:line="240" w:lineRule="auto"/>
              <w:ind w:left="0" w:firstLine="0"/>
            </w:pPr>
          </w:p>
          <w:p w14:paraId="3D0E3093" w14:textId="77777777" w:rsidR="00CA26C6" w:rsidRPr="001A4919" w:rsidRDefault="00ED6F64" w:rsidP="005432A0">
            <w:pPr>
              <w:spacing w:after="0" w:line="240" w:lineRule="auto"/>
              <w:ind w:left="0" w:firstLine="0"/>
            </w:pPr>
            <w:r w:rsidRPr="001A4919">
              <w:t>34</w:t>
            </w:r>
          </w:p>
          <w:p w14:paraId="646A4CF8" w14:textId="77777777" w:rsidR="00CA26C6" w:rsidRPr="001A4919" w:rsidRDefault="00CA26C6" w:rsidP="005432A0">
            <w:pPr>
              <w:spacing w:after="0" w:line="240" w:lineRule="auto"/>
              <w:ind w:left="0" w:firstLine="0"/>
            </w:pPr>
          </w:p>
          <w:p w14:paraId="5D17B091" w14:textId="77777777" w:rsidR="00CA26C6" w:rsidRPr="001A4919" w:rsidRDefault="00ED6F64" w:rsidP="005432A0">
            <w:pPr>
              <w:spacing w:after="0" w:line="240" w:lineRule="auto"/>
              <w:ind w:left="0" w:firstLine="0"/>
            </w:pPr>
            <w:r w:rsidRPr="001A4919">
              <w:t>35</w:t>
            </w:r>
          </w:p>
          <w:p w14:paraId="70DD88C8" w14:textId="77777777" w:rsidR="00CA26C6" w:rsidRPr="001A4919" w:rsidRDefault="00CA26C6" w:rsidP="005432A0">
            <w:pPr>
              <w:spacing w:after="0" w:line="240" w:lineRule="auto"/>
              <w:ind w:left="0" w:firstLine="0"/>
            </w:pPr>
          </w:p>
          <w:p w14:paraId="7DD56640" w14:textId="77777777" w:rsidR="00ED6F64" w:rsidRPr="001A4919" w:rsidRDefault="00ED6F64" w:rsidP="005432A0">
            <w:pPr>
              <w:spacing w:after="0" w:line="240" w:lineRule="auto"/>
              <w:ind w:left="0" w:firstLine="0"/>
            </w:pPr>
            <w:r w:rsidRPr="001A4919">
              <w:t>35</w:t>
            </w:r>
          </w:p>
          <w:p w14:paraId="7EC0A05B" w14:textId="77777777" w:rsidR="00CA26C6" w:rsidRPr="001A4919" w:rsidRDefault="00CA26C6" w:rsidP="005432A0">
            <w:pPr>
              <w:spacing w:after="0" w:line="240" w:lineRule="auto"/>
              <w:ind w:left="0" w:firstLine="0"/>
            </w:pPr>
            <w:r w:rsidRPr="001A4919">
              <w:t>44</w:t>
            </w:r>
          </w:p>
          <w:p w14:paraId="3ED4ADAF" w14:textId="77777777" w:rsidR="00CA26C6" w:rsidRPr="001A4919" w:rsidRDefault="00CA26C6" w:rsidP="005432A0">
            <w:pPr>
              <w:spacing w:after="0" w:line="240" w:lineRule="auto"/>
              <w:ind w:left="0" w:firstLine="0"/>
            </w:pPr>
          </w:p>
          <w:p w14:paraId="0017D856" w14:textId="77777777" w:rsidR="00CA26C6" w:rsidRPr="001A4919" w:rsidRDefault="00CA26C6" w:rsidP="005432A0">
            <w:pPr>
              <w:spacing w:after="0" w:line="240" w:lineRule="auto"/>
              <w:ind w:left="0" w:firstLine="0"/>
            </w:pPr>
            <w:r w:rsidRPr="001A4919">
              <w:t>44</w:t>
            </w:r>
          </w:p>
          <w:p w14:paraId="2DD312D7" w14:textId="77777777" w:rsidR="00CA26C6" w:rsidRPr="001A4919" w:rsidRDefault="00CA26C6" w:rsidP="005432A0">
            <w:pPr>
              <w:spacing w:after="0" w:line="240" w:lineRule="auto"/>
              <w:ind w:left="0" w:firstLine="0"/>
            </w:pPr>
          </w:p>
          <w:p w14:paraId="15869368" w14:textId="77777777" w:rsidR="00CA26C6" w:rsidRPr="001A4919" w:rsidRDefault="00CA26C6" w:rsidP="005432A0">
            <w:pPr>
              <w:spacing w:after="0" w:line="240" w:lineRule="auto"/>
              <w:ind w:left="0" w:firstLine="0"/>
            </w:pPr>
            <w:r w:rsidRPr="001A4919">
              <w:t>4</w:t>
            </w:r>
            <w:r w:rsidR="00ED6F64" w:rsidRPr="001A4919">
              <w:t>2</w:t>
            </w:r>
          </w:p>
          <w:p w14:paraId="66D1C0F7" w14:textId="77777777" w:rsidR="00CA26C6" w:rsidRPr="001A4919" w:rsidRDefault="00CA26C6" w:rsidP="005432A0">
            <w:pPr>
              <w:spacing w:after="0" w:line="240" w:lineRule="auto"/>
              <w:ind w:left="0" w:firstLine="0"/>
            </w:pPr>
          </w:p>
          <w:p w14:paraId="17E4A8D0" w14:textId="77777777" w:rsidR="00CA26C6" w:rsidRPr="001A4919" w:rsidRDefault="00CA26C6" w:rsidP="005432A0">
            <w:pPr>
              <w:spacing w:after="0" w:line="240" w:lineRule="auto"/>
              <w:ind w:left="0" w:firstLine="0"/>
            </w:pPr>
            <w:r w:rsidRPr="001A4919">
              <w:t>44</w:t>
            </w:r>
          </w:p>
          <w:p w14:paraId="3A2CE850" w14:textId="77777777" w:rsidR="00CA26C6" w:rsidRPr="001A4919" w:rsidRDefault="00CA26C6" w:rsidP="005432A0">
            <w:pPr>
              <w:spacing w:after="0" w:line="240" w:lineRule="auto"/>
              <w:ind w:left="0" w:firstLine="0"/>
            </w:pPr>
          </w:p>
          <w:p w14:paraId="67D91A1B" w14:textId="77777777" w:rsidR="00CA26C6" w:rsidRPr="001A4919" w:rsidRDefault="00CA26C6" w:rsidP="005432A0">
            <w:pPr>
              <w:spacing w:after="0" w:line="240" w:lineRule="auto"/>
              <w:ind w:left="0" w:firstLine="0"/>
            </w:pPr>
            <w:r w:rsidRPr="001A4919">
              <w:t>44</w:t>
            </w:r>
          </w:p>
          <w:p w14:paraId="0ECB5DDF" w14:textId="77777777" w:rsidR="00CA26C6" w:rsidRPr="001A4919" w:rsidRDefault="00CA26C6" w:rsidP="005432A0">
            <w:pPr>
              <w:spacing w:after="0" w:line="240" w:lineRule="auto"/>
              <w:ind w:left="0" w:firstLine="0"/>
            </w:pPr>
          </w:p>
          <w:p w14:paraId="2ADCE23E" w14:textId="77777777" w:rsidR="00CA26C6" w:rsidRPr="001A4919" w:rsidRDefault="00CA26C6" w:rsidP="005432A0">
            <w:pPr>
              <w:spacing w:after="0" w:line="240" w:lineRule="auto"/>
              <w:ind w:left="0" w:firstLine="0"/>
            </w:pPr>
            <w:r w:rsidRPr="001A4919">
              <w:t>4</w:t>
            </w:r>
            <w:r w:rsidR="00ED6F64" w:rsidRPr="001A4919">
              <w:t>0</w:t>
            </w:r>
          </w:p>
          <w:p w14:paraId="76E04122" w14:textId="77777777" w:rsidR="00CA26C6" w:rsidRPr="001A4919" w:rsidRDefault="00CA26C6" w:rsidP="005432A0">
            <w:pPr>
              <w:spacing w:after="0" w:line="240" w:lineRule="auto"/>
              <w:ind w:left="0" w:firstLine="0"/>
            </w:pPr>
          </w:p>
          <w:p w14:paraId="142FA2AD" w14:textId="09D5A86B" w:rsidR="00CA26C6" w:rsidRPr="001A4919" w:rsidRDefault="00CA26C6" w:rsidP="005432A0">
            <w:pPr>
              <w:spacing w:after="0" w:line="240" w:lineRule="auto"/>
              <w:ind w:left="0" w:firstLine="0"/>
            </w:pPr>
            <w:r w:rsidRPr="001A4919">
              <w:t>4</w:t>
            </w:r>
            <w:r w:rsidR="00ED6F64" w:rsidRPr="001A4919">
              <w:t>31</w:t>
            </w:r>
          </w:p>
          <w:p w14:paraId="02807AED" w14:textId="77777777" w:rsidR="00CA26C6" w:rsidRPr="001A4919" w:rsidRDefault="00CA26C6" w:rsidP="005432A0">
            <w:pPr>
              <w:spacing w:after="0" w:line="240" w:lineRule="auto"/>
              <w:ind w:left="0" w:firstLine="0"/>
            </w:pPr>
          </w:p>
          <w:p w14:paraId="15F892CB" w14:textId="77777777" w:rsidR="00CA26C6" w:rsidRPr="001A4919" w:rsidRDefault="00CA26C6" w:rsidP="005432A0">
            <w:pPr>
              <w:spacing w:after="0" w:line="240" w:lineRule="auto"/>
              <w:ind w:left="0" w:firstLine="0"/>
            </w:pPr>
          </w:p>
        </w:tc>
      </w:tr>
    </w:tbl>
    <w:p w14:paraId="130C0FD9" w14:textId="3DB32273" w:rsidR="00CA26C6" w:rsidRDefault="009D4A0A" w:rsidP="00772DAC">
      <w:pPr>
        <w:ind w:left="0" w:firstLine="0"/>
        <w:rPr>
          <w:rFonts w:cs="Times New Roman"/>
          <w:szCs w:val="24"/>
        </w:rPr>
      </w:pPr>
      <w:r>
        <w:rPr>
          <w:rFonts w:cs="Times New Roman"/>
          <w:szCs w:val="24"/>
        </w:rPr>
        <w:t>Source: Field</w:t>
      </w:r>
      <w:r w:rsidR="00F07AAE">
        <w:rPr>
          <w:rFonts w:cs="Times New Roman"/>
          <w:szCs w:val="24"/>
        </w:rPr>
        <w:t>work</w:t>
      </w:r>
      <w:r>
        <w:rPr>
          <w:rFonts w:cs="Times New Roman"/>
          <w:szCs w:val="24"/>
        </w:rPr>
        <w:t xml:space="preserve"> (202</w:t>
      </w:r>
      <w:r w:rsidR="00ED6F64">
        <w:rPr>
          <w:rFonts w:cs="Times New Roman"/>
          <w:szCs w:val="24"/>
        </w:rPr>
        <w:t>4</w:t>
      </w:r>
      <w:r>
        <w:rPr>
          <w:rFonts w:cs="Times New Roman"/>
          <w:szCs w:val="24"/>
        </w:rPr>
        <w:t>)</w:t>
      </w:r>
    </w:p>
    <w:p w14:paraId="181C3DE4" w14:textId="4E1075F8" w:rsidR="00847E9A" w:rsidRDefault="00847E9A" w:rsidP="00847E9A">
      <w:pPr>
        <w:pStyle w:val="Heading2"/>
        <w:ind w:left="0"/>
      </w:pPr>
      <w:bookmarkStart w:id="298" w:name="_Toc202197652"/>
      <w:r>
        <w:t>Fieldwork</w:t>
      </w:r>
      <w:bookmarkEnd w:id="298"/>
      <w:r w:rsidR="001A4919">
        <w:tab/>
      </w:r>
      <w:bookmarkStart w:id="299" w:name="_Hlk141530802"/>
      <w:bookmarkEnd w:id="282"/>
    </w:p>
    <w:p w14:paraId="31D3122A" w14:textId="1CB8E622" w:rsidR="00391088" w:rsidRDefault="00624F32" w:rsidP="00847E9A">
      <w:pPr>
        <w:spacing w:after="0"/>
        <w:ind w:left="0"/>
      </w:pPr>
      <w:r>
        <w:t xml:space="preserve">The </w:t>
      </w:r>
      <w:r w:rsidR="00391088">
        <w:t>third</w:t>
      </w:r>
      <w:r>
        <w:t xml:space="preserve"> stage involved selecting participants, i.e., community members </w:t>
      </w:r>
      <w:r w:rsidR="0072636C">
        <w:t xml:space="preserve">were 18 years and above and </w:t>
      </w:r>
      <w:r w:rsidR="00F87A4E">
        <w:t xml:space="preserve">who depended on the reserve for their livelihood, </w:t>
      </w:r>
      <w:r>
        <w:t xml:space="preserve">for the study. Convenience sampling was employed in this study. </w:t>
      </w:r>
      <w:r w:rsidRPr="00F615EA">
        <w:t>Bhardwaj</w:t>
      </w:r>
      <w:r>
        <w:t xml:space="preserve"> (2019) defined convenience sampling as a method of </w:t>
      </w:r>
      <w:r>
        <w:rPr>
          <w:rStyle w:val="markedcontent"/>
        </w:rPr>
        <w:t xml:space="preserve">selecting units for a sample based on convenient accessibility. </w:t>
      </w:r>
      <w:r w:rsidRPr="00F615EA">
        <w:t>Bhardwaj</w:t>
      </w:r>
      <w:r>
        <w:t xml:space="preserve"> (2019) </w:t>
      </w:r>
      <w:r>
        <w:rPr>
          <w:rFonts w:eastAsia="Times New Roman" w:cs="Times New Roman"/>
          <w:szCs w:val="24"/>
          <w:lang w:eastAsia="en-GB"/>
        </w:rPr>
        <w:t xml:space="preserve">and </w:t>
      </w:r>
      <w:r w:rsidRPr="005A2DFE">
        <w:rPr>
          <w:rFonts w:eastAsia="Times New Roman" w:cs="Times New Roman"/>
          <w:szCs w:val="24"/>
          <w:lang w:eastAsia="en-GB"/>
        </w:rPr>
        <w:t>Gall</w:t>
      </w:r>
      <w:r>
        <w:rPr>
          <w:rFonts w:eastAsia="Times New Roman" w:cs="Times New Roman"/>
          <w:szCs w:val="24"/>
          <w:lang w:eastAsia="en-GB"/>
        </w:rPr>
        <w:t xml:space="preserve"> et al. </w:t>
      </w:r>
      <w:r w:rsidRPr="005A2DFE">
        <w:rPr>
          <w:rFonts w:eastAsia="Times New Roman" w:cs="Times New Roman"/>
          <w:szCs w:val="24"/>
          <w:lang w:eastAsia="en-GB"/>
        </w:rPr>
        <w:t>(2007</w:t>
      </w:r>
      <w:r>
        <w:rPr>
          <w:rFonts w:eastAsia="Times New Roman" w:cs="Times New Roman"/>
          <w:szCs w:val="24"/>
          <w:lang w:eastAsia="en-GB"/>
        </w:rPr>
        <w:t xml:space="preserve">) maintained that </w:t>
      </w:r>
      <w:r>
        <w:t xml:space="preserve">convenience sampling is relatively inexpensive and easy </w:t>
      </w:r>
      <w:r>
        <w:lastRenderedPageBreak/>
        <w:t xml:space="preserve">because the researcher does not need time and resources to develop and implement a complex sampling strategy. Convenience samples can be collected quickly and efficiently to access populations that are difficult or impossible to sample using other methods. At the same time, convenience sampling could also be </w:t>
      </w:r>
      <w:r w:rsidR="00847E9A">
        <w:t>a good method of</w:t>
      </w:r>
      <w:r>
        <w:t xml:space="preserve"> hypothesis generation. </w:t>
      </w:r>
    </w:p>
    <w:p w14:paraId="0FD51D7E" w14:textId="6F4E81B6" w:rsidR="00847E9A" w:rsidRDefault="00624F32" w:rsidP="00847E9A">
      <w:pPr>
        <w:spacing w:after="0"/>
        <w:ind w:left="0"/>
      </w:pPr>
      <w:r>
        <w:t xml:space="preserve">Conversely, </w:t>
      </w:r>
      <w:r w:rsidRPr="005A2DFE">
        <w:rPr>
          <w:rFonts w:eastAsia="Times New Roman" w:cs="Times New Roman"/>
          <w:szCs w:val="24"/>
          <w:lang w:eastAsia="en-GB"/>
        </w:rPr>
        <w:t>Bornstein</w:t>
      </w:r>
      <w:r>
        <w:rPr>
          <w:rFonts w:eastAsia="Times New Roman" w:cs="Times New Roman"/>
          <w:szCs w:val="24"/>
          <w:lang w:eastAsia="en-GB"/>
        </w:rPr>
        <w:t xml:space="preserve"> and</w:t>
      </w:r>
      <w:r w:rsidRPr="005A2DFE">
        <w:rPr>
          <w:rFonts w:eastAsia="Times New Roman" w:cs="Times New Roman"/>
          <w:szCs w:val="24"/>
          <w:lang w:eastAsia="en-GB"/>
        </w:rPr>
        <w:t xml:space="preserve"> Putnick (2005)</w:t>
      </w:r>
      <w:r>
        <w:t xml:space="preserve"> admit that convenience samples are prone to sample bias as they may not be representative of the population. To overcome the shortcomings of convenience sampling, this study followed the recommendations of </w:t>
      </w:r>
      <w:r w:rsidRPr="006750C0">
        <w:rPr>
          <w:rFonts w:eastAsia="Times New Roman" w:cs="Times New Roman"/>
          <w:szCs w:val="24"/>
          <w:lang w:eastAsia="en-GB"/>
        </w:rPr>
        <w:t>Babbie (2011)</w:t>
      </w:r>
      <w:r>
        <w:rPr>
          <w:rFonts w:eastAsia="Times New Roman" w:cs="Times New Roman"/>
          <w:szCs w:val="24"/>
          <w:lang w:eastAsia="en-GB"/>
        </w:rPr>
        <w:t xml:space="preserve"> and </w:t>
      </w:r>
      <w:r w:rsidRPr="006750C0">
        <w:rPr>
          <w:rFonts w:eastAsia="Times New Roman" w:cs="Times New Roman"/>
          <w:szCs w:val="24"/>
          <w:lang w:eastAsia="en-GB"/>
        </w:rPr>
        <w:t>Cooper</w:t>
      </w:r>
      <w:r>
        <w:rPr>
          <w:rFonts w:eastAsia="Times New Roman" w:cs="Times New Roman"/>
          <w:szCs w:val="24"/>
          <w:lang w:eastAsia="en-GB"/>
        </w:rPr>
        <w:t xml:space="preserve"> </w:t>
      </w:r>
      <w:r w:rsidR="006B5FFA">
        <w:rPr>
          <w:rFonts w:eastAsia="Times New Roman" w:cs="Times New Roman"/>
          <w:szCs w:val="24"/>
          <w:lang w:eastAsia="en-GB"/>
        </w:rPr>
        <w:t xml:space="preserve">and </w:t>
      </w:r>
      <w:r w:rsidR="006B5FFA" w:rsidRPr="006750C0">
        <w:rPr>
          <w:rFonts w:eastAsia="Times New Roman" w:cs="Times New Roman"/>
          <w:szCs w:val="24"/>
          <w:lang w:eastAsia="en-GB"/>
        </w:rPr>
        <w:t>Schindler</w:t>
      </w:r>
      <w:r>
        <w:rPr>
          <w:rFonts w:eastAsia="Times New Roman" w:cs="Times New Roman"/>
          <w:szCs w:val="24"/>
          <w:lang w:eastAsia="en-GB"/>
        </w:rPr>
        <w:t xml:space="preserve"> (2014). The authors suggested using a large sample size </w:t>
      </w:r>
      <w:r w:rsidR="00F87A4E">
        <w:rPr>
          <w:rFonts w:eastAsia="Times New Roman" w:cs="Times New Roman"/>
          <w:szCs w:val="24"/>
          <w:lang w:eastAsia="en-GB"/>
        </w:rPr>
        <w:t>to</w:t>
      </w:r>
      <w:r>
        <w:rPr>
          <w:rFonts w:eastAsia="Times New Roman" w:cs="Times New Roman"/>
          <w:szCs w:val="24"/>
          <w:lang w:eastAsia="en-GB"/>
        </w:rPr>
        <w:t xml:space="preserve"> help </w:t>
      </w:r>
      <w:r>
        <w:t xml:space="preserve">reduce the impact of sample and response bias. This could also make the results more generalisable to larger populations. </w:t>
      </w:r>
    </w:p>
    <w:p w14:paraId="3A5203BA" w14:textId="33709687" w:rsidR="00624F32" w:rsidRPr="00ED6F64" w:rsidRDefault="00847E9A" w:rsidP="00C34F3A">
      <w:pPr>
        <w:spacing w:after="0"/>
        <w:ind w:left="0"/>
      </w:pPr>
      <w:r>
        <w:t xml:space="preserve">During the data collection, the team always engaged the taxi drivers who conveyed them to the selected towns regarding the traditional authorities, opinion leaders and the nature of the communities to ensure proper community entry practices. The team further engaged the drivers to drive the team through the community to gain an insight into the nature of the settlement and the landscape of the community. </w:t>
      </w:r>
      <w:r w:rsidR="00EE2F84">
        <w:t xml:space="preserve">Before each data collection session, the communities were divided into quadrants to guide the selection of respondents. </w:t>
      </w:r>
      <w:r>
        <w:t>This was important to ensure the spread of the sample</w:t>
      </w:r>
      <w:r w:rsidR="00A920A7">
        <w:t xml:space="preserve"> and satisfy the assumption of fair representation and generalisation of results</w:t>
      </w:r>
      <w:r>
        <w:t xml:space="preserve">, as argued by </w:t>
      </w:r>
      <w:r w:rsidRPr="006750C0">
        <w:rPr>
          <w:rFonts w:eastAsia="Times New Roman" w:cs="Times New Roman"/>
          <w:szCs w:val="24"/>
          <w:lang w:eastAsia="en-GB"/>
        </w:rPr>
        <w:t>Babbie (2011)</w:t>
      </w:r>
      <w:r>
        <w:rPr>
          <w:rFonts w:eastAsia="Times New Roman" w:cs="Times New Roman"/>
          <w:szCs w:val="24"/>
          <w:lang w:eastAsia="en-GB"/>
        </w:rPr>
        <w:t xml:space="preserve"> and </w:t>
      </w:r>
      <w:r w:rsidRPr="006750C0">
        <w:rPr>
          <w:rFonts w:eastAsia="Times New Roman" w:cs="Times New Roman"/>
          <w:szCs w:val="24"/>
          <w:lang w:eastAsia="en-GB"/>
        </w:rPr>
        <w:t>Cooper</w:t>
      </w:r>
      <w:r>
        <w:rPr>
          <w:rFonts w:eastAsia="Times New Roman" w:cs="Times New Roman"/>
          <w:szCs w:val="24"/>
          <w:lang w:eastAsia="en-GB"/>
        </w:rPr>
        <w:t xml:space="preserve"> and </w:t>
      </w:r>
      <w:r w:rsidRPr="006750C0">
        <w:rPr>
          <w:rFonts w:eastAsia="Times New Roman" w:cs="Times New Roman"/>
          <w:szCs w:val="24"/>
          <w:lang w:eastAsia="en-GB"/>
        </w:rPr>
        <w:t>Schindler</w:t>
      </w:r>
      <w:r>
        <w:rPr>
          <w:rFonts w:eastAsia="Times New Roman" w:cs="Times New Roman"/>
          <w:szCs w:val="24"/>
          <w:lang w:eastAsia="en-GB"/>
        </w:rPr>
        <w:t xml:space="preserve"> (2014). Afterwards, the data collection team administered the interview schedule across the </w:t>
      </w:r>
      <w:r w:rsidR="00A920A7">
        <w:rPr>
          <w:rFonts w:eastAsia="Times New Roman" w:cs="Times New Roman"/>
          <w:szCs w:val="24"/>
          <w:lang w:eastAsia="en-GB"/>
        </w:rPr>
        <w:t>quadrants</w:t>
      </w:r>
      <w:r>
        <w:rPr>
          <w:rFonts w:eastAsia="Times New Roman" w:cs="Times New Roman"/>
          <w:szCs w:val="24"/>
          <w:lang w:eastAsia="en-GB"/>
        </w:rPr>
        <w:t xml:space="preserve">. This procedure was repeated in every community selected for this study. </w:t>
      </w:r>
      <w:r w:rsidR="00624F32">
        <w:t>Overall, the study sampled 58 participants for the qualitative section and 431 for the quantitative section.</w:t>
      </w:r>
    </w:p>
    <w:p w14:paraId="1812FCA8" w14:textId="77777777" w:rsidR="00624F32" w:rsidRDefault="00624F32" w:rsidP="00624F32">
      <w:pPr>
        <w:pStyle w:val="Heading2"/>
        <w:ind w:left="0"/>
      </w:pPr>
      <w:bookmarkStart w:id="300" w:name="_Toc202197653"/>
      <w:bookmarkStart w:id="301" w:name="_Hlk195273549"/>
      <w:r>
        <w:lastRenderedPageBreak/>
        <w:t>Sources of Data</w:t>
      </w:r>
      <w:bookmarkEnd w:id="300"/>
    </w:p>
    <w:p w14:paraId="2B736D68" w14:textId="54DA242F" w:rsidR="00624F32" w:rsidRDefault="00624F32" w:rsidP="008F7D23">
      <w:pPr>
        <w:spacing w:after="0"/>
        <w:ind w:left="0" w:firstLine="0"/>
      </w:pPr>
      <w:r>
        <w:tab/>
        <w:t>This study used both primary and secondary data sources. Primary data were obtained from community members, forestry officials, district assembly persons</w:t>
      </w:r>
      <w:r w:rsidR="00F87A4E">
        <w:t xml:space="preserve"> </w:t>
      </w:r>
      <w:r>
        <w:t>and traditional opinion leaders in the study area. The secondary data, on the other hand, was sourced from documents from the district forestry offices, statistical services, the internet and other published documents.</w:t>
      </w:r>
    </w:p>
    <w:p w14:paraId="0639075A" w14:textId="77777777" w:rsidR="00624F32" w:rsidRDefault="00624F32" w:rsidP="00624F32">
      <w:pPr>
        <w:pStyle w:val="Heading2"/>
        <w:ind w:left="0"/>
      </w:pPr>
      <w:bookmarkStart w:id="302" w:name="_Toc202197654"/>
      <w:bookmarkStart w:id="303" w:name="_Hlk195273683"/>
      <w:bookmarkEnd w:id="301"/>
      <w:r>
        <w:t>Data Collection Methods</w:t>
      </w:r>
      <w:bookmarkEnd w:id="302"/>
    </w:p>
    <w:p w14:paraId="54DBAFA2" w14:textId="617DF972" w:rsidR="00624F32" w:rsidRDefault="00624F32" w:rsidP="00624F32">
      <w:pPr>
        <w:spacing w:after="0"/>
        <w:ind w:left="0" w:firstLine="0"/>
      </w:pPr>
      <w:r>
        <w:tab/>
        <w:t>The study employed quantitative and qualitative data collection methods in interviews, focus-group discussions</w:t>
      </w:r>
      <w:r w:rsidR="009C172F">
        <w:t>, observation</w:t>
      </w:r>
      <w:r w:rsidR="00731164">
        <w:t xml:space="preserve"> and questionnaire administration</w:t>
      </w:r>
      <w:r>
        <w:t>.</w:t>
      </w:r>
      <w:bookmarkEnd w:id="303"/>
      <w:r>
        <w:t xml:space="preserve"> </w:t>
      </w:r>
      <w:bookmarkStart w:id="304" w:name="_Hlk195273728"/>
      <w:r w:rsidRPr="00497BAD">
        <w:t>In line with Bloomberg and Volpe's (2008) perspective, interviewing has emerged as a crucial instrument for data acquisition, enabling researchers to grasp the world through the lens of subjects or respondents.</w:t>
      </w:r>
      <w:bookmarkEnd w:id="304"/>
      <w:r w:rsidRPr="00497BAD">
        <w:t xml:space="preserve"> This methodology unfolds the significance of individual experiences and reveals their worlds. </w:t>
      </w:r>
      <w:bookmarkStart w:id="305" w:name="_Hlk195273751"/>
      <w:r>
        <w:t>A combination of in-depth interviews</w:t>
      </w:r>
      <w:r w:rsidR="009C172F">
        <w:t>,</w:t>
      </w:r>
      <w:r>
        <w:t xml:space="preserve"> focus group discussions </w:t>
      </w:r>
      <w:r w:rsidR="009C172F">
        <w:t>and observation w</w:t>
      </w:r>
      <w:r w:rsidR="00CA24BA">
        <w:t>as</w:t>
      </w:r>
      <w:r>
        <w:t xml:space="preserve"> employed to gather information about local</w:t>
      </w:r>
      <w:r w:rsidR="00CA24BA">
        <w:t xml:space="preserve"> institutions</w:t>
      </w:r>
      <w:r>
        <w:t xml:space="preserve"> that regulate stakeholder participation</w:t>
      </w:r>
      <w:r w:rsidR="00891F65">
        <w:t xml:space="preserve"> and the </w:t>
      </w:r>
      <w:r w:rsidR="00375C2C">
        <w:t xml:space="preserve">perceived </w:t>
      </w:r>
      <w:r w:rsidR="00891F65">
        <w:t xml:space="preserve">sustainability of the </w:t>
      </w:r>
      <w:r w:rsidR="00CA24BA">
        <w:t xml:space="preserve">reserve’s </w:t>
      </w:r>
      <w:r w:rsidR="00891F65">
        <w:t>management</w:t>
      </w:r>
      <w:r w:rsidRPr="00497BAD">
        <w:t xml:space="preserve">. </w:t>
      </w:r>
    </w:p>
    <w:bookmarkEnd w:id="305"/>
    <w:p w14:paraId="0AEDAC93" w14:textId="0B695DA6" w:rsidR="00624F32" w:rsidRDefault="00624F32" w:rsidP="00C34F3A">
      <w:pPr>
        <w:spacing w:after="0"/>
        <w:ind w:left="0" w:firstLine="0"/>
        <w:rPr>
          <w:rFonts w:cs="Times New Roman"/>
          <w:szCs w:val="24"/>
        </w:rPr>
      </w:pPr>
      <w:r>
        <w:rPr>
          <w:rFonts w:cs="Times New Roman"/>
          <w:szCs w:val="24"/>
        </w:rPr>
        <w:tab/>
      </w:r>
      <w:bookmarkStart w:id="306" w:name="_Hlk195273835"/>
      <w:r w:rsidRPr="003C020F">
        <w:rPr>
          <w:rFonts w:cs="Times New Roman"/>
          <w:szCs w:val="24"/>
        </w:rPr>
        <w:t xml:space="preserve">The </w:t>
      </w:r>
      <w:r>
        <w:rPr>
          <w:rFonts w:cs="Times New Roman"/>
          <w:szCs w:val="24"/>
        </w:rPr>
        <w:t xml:space="preserve">study also employed questionnaire administration as a </w:t>
      </w:r>
      <w:r w:rsidRPr="003C020F">
        <w:rPr>
          <w:rFonts w:cs="Times New Roman"/>
          <w:szCs w:val="24"/>
        </w:rPr>
        <w:t>quantitative data collection method</w:t>
      </w:r>
      <w:r>
        <w:rPr>
          <w:rFonts w:cs="Times New Roman"/>
          <w:szCs w:val="24"/>
        </w:rPr>
        <w:t xml:space="preserve"> to obtain primary data from community members aged 18 years and above</w:t>
      </w:r>
      <w:r w:rsidR="00D220C2">
        <w:rPr>
          <w:rFonts w:cs="Times New Roman"/>
          <w:szCs w:val="24"/>
        </w:rPr>
        <w:t xml:space="preserve"> whose livelihoods were tied to the reserves</w:t>
      </w:r>
      <w:bookmarkEnd w:id="306"/>
      <w:r w:rsidR="00375C2C">
        <w:rPr>
          <w:rFonts w:cs="Times New Roman"/>
          <w:szCs w:val="24"/>
        </w:rPr>
        <w:t xml:space="preserve"> on their level of participation and the factors that enhanced their participation in the management of the reserves</w:t>
      </w:r>
      <w:r w:rsidRPr="003C020F">
        <w:rPr>
          <w:rFonts w:cs="Times New Roman"/>
          <w:szCs w:val="24"/>
        </w:rPr>
        <w:t>.</w:t>
      </w:r>
      <w:r>
        <w:rPr>
          <w:rFonts w:cs="Times New Roman"/>
          <w:szCs w:val="24"/>
        </w:rPr>
        <w:t xml:space="preserve"> </w:t>
      </w:r>
      <w:bookmarkStart w:id="307" w:name="_Hlk195273948"/>
      <w:r>
        <w:rPr>
          <w:rFonts w:cs="Times New Roman"/>
          <w:szCs w:val="24"/>
        </w:rPr>
        <w:t xml:space="preserve">According to </w:t>
      </w:r>
      <w:r w:rsidRPr="006F4F74">
        <w:rPr>
          <w:rFonts w:cs="Times New Roman"/>
          <w:szCs w:val="24"/>
        </w:rPr>
        <w:t>Kumar</w:t>
      </w:r>
      <w:r w:rsidR="00EF06B9">
        <w:rPr>
          <w:rFonts w:cs="Times New Roman"/>
          <w:szCs w:val="24"/>
        </w:rPr>
        <w:t xml:space="preserve"> and Welke</w:t>
      </w:r>
      <w:r>
        <w:rPr>
          <w:rFonts w:cs="Times New Roman"/>
          <w:szCs w:val="24"/>
        </w:rPr>
        <w:t xml:space="preserve"> </w:t>
      </w:r>
      <w:r w:rsidRPr="006F4F74">
        <w:rPr>
          <w:rFonts w:cs="Times New Roman"/>
          <w:szCs w:val="24"/>
        </w:rPr>
        <w:t>(1992)</w:t>
      </w:r>
      <w:r>
        <w:rPr>
          <w:rFonts w:cs="Times New Roman"/>
          <w:szCs w:val="24"/>
        </w:rPr>
        <w:t xml:space="preserve">, a </w:t>
      </w:r>
      <w:r w:rsidRPr="006F4F74">
        <w:rPr>
          <w:rFonts w:cs="Times New Roman"/>
          <w:szCs w:val="24"/>
        </w:rPr>
        <w:t>questionnaire is a written document listing questions</w:t>
      </w:r>
      <w:r>
        <w:rPr>
          <w:rFonts w:cs="Times New Roman"/>
          <w:szCs w:val="24"/>
        </w:rPr>
        <w:t xml:space="preserve"> about</w:t>
      </w:r>
      <w:r w:rsidRPr="006F4F74">
        <w:rPr>
          <w:rFonts w:cs="Times New Roman"/>
          <w:szCs w:val="24"/>
        </w:rPr>
        <w:t xml:space="preserve"> the problem under study to which the investigator requires answers.</w:t>
      </w:r>
    </w:p>
    <w:bookmarkEnd w:id="307"/>
    <w:p w14:paraId="5B024B42" w14:textId="77777777" w:rsidR="00624F32" w:rsidRDefault="00624F32" w:rsidP="00624F32">
      <w:pPr>
        <w:pStyle w:val="BodyText"/>
        <w:spacing w:after="0"/>
        <w:ind w:left="0" w:firstLine="0"/>
      </w:pPr>
      <w:r>
        <w:t>Stakeholder analysis</w:t>
      </w:r>
    </w:p>
    <w:p w14:paraId="6EC542CB" w14:textId="3338E195" w:rsidR="00624F32" w:rsidRDefault="00624F32" w:rsidP="00624F32">
      <w:pPr>
        <w:spacing w:after="0"/>
        <w:ind w:left="0" w:firstLine="0"/>
      </w:pPr>
      <w:r>
        <w:lastRenderedPageBreak/>
        <w:tab/>
      </w:r>
      <w:r w:rsidRPr="008F6751">
        <w:t xml:space="preserve">As a component of the </w:t>
      </w:r>
      <w:r>
        <w:t>first objective</w:t>
      </w:r>
      <w:r w:rsidRPr="008F6751">
        <w:t>, the research conduct</w:t>
      </w:r>
      <w:r>
        <w:t>ed</w:t>
      </w:r>
      <w:r w:rsidRPr="008F6751">
        <w:t xml:space="preserve"> stakeholder</w:t>
      </w:r>
      <w:r>
        <w:t xml:space="preserve"> analysis</w:t>
      </w:r>
      <w:r w:rsidR="006B2067">
        <w:t xml:space="preserve"> for the FSD, traditional authorities, D. A. and the community members/forest user groups in the study areas</w:t>
      </w:r>
      <w:r w:rsidR="00A429F9">
        <w:t>.</w:t>
      </w:r>
      <w:r w:rsidRPr="008F6751">
        <w:t xml:space="preserve"> </w:t>
      </w:r>
      <w:r>
        <w:t>Stakeholder analysis, as expounded by Golder (2005), constitutes an integral part of situational analysis because of its pivotal role in the preliminary identification of significant stakeholders. This process entails identifying individuals or entities of importance and influence, thereby elucidating avenues through which they can be actively integrated into the program. Golder underscores that this analytical framework not only aids in formulating strategic initiatives but also furnishes insights crucial for risk assessment.</w:t>
      </w:r>
    </w:p>
    <w:p w14:paraId="20A04D27" w14:textId="19697216" w:rsidR="00624F32" w:rsidRDefault="00624F32" w:rsidP="00624F32">
      <w:pPr>
        <w:ind w:left="0" w:firstLine="0"/>
      </w:pPr>
      <w:r>
        <w:tab/>
      </w:r>
      <w:r w:rsidRPr="00D535AE">
        <w:t xml:space="preserve">Kothari </w:t>
      </w:r>
      <w:r>
        <w:t>et al. (</w:t>
      </w:r>
      <w:r w:rsidRPr="00D535AE">
        <w:t>1998</w:t>
      </w:r>
      <w:r>
        <w:t>)</w:t>
      </w:r>
      <w:r w:rsidRPr="00D535AE">
        <w:t xml:space="preserve"> asserted that t</w:t>
      </w:r>
      <w:r>
        <w:t>wo distinct categories of stakeholders concerning forests exist</w:t>
      </w:r>
      <w:r w:rsidRPr="00D535AE">
        <w:t>. The primary forest stakeholders are individuals whose livelihoods are intricately linked to the forest ecosystem, making them dependent. By contrast, secondary forest stakeholders are those who do not rely on the forest for their sustenance; instead, they possess alternative sources of livelihood.</w:t>
      </w:r>
      <w:r>
        <w:t xml:space="preserve"> In this light, this study engage</w:t>
      </w:r>
      <w:r w:rsidR="00A429F9">
        <w:t>d</w:t>
      </w:r>
      <w:r>
        <w:t xml:space="preserve"> primary stakeholders in the Bobiri and Southern Scarp Forest Reserves. </w:t>
      </w:r>
    </w:p>
    <w:p w14:paraId="40BC8ED6" w14:textId="77777777" w:rsidR="00624F32" w:rsidRDefault="00624F32" w:rsidP="00624F32">
      <w:pPr>
        <w:pStyle w:val="Heading2"/>
        <w:ind w:left="0"/>
      </w:pPr>
      <w:bookmarkStart w:id="308" w:name="_Toc202197655"/>
      <w:bookmarkStart w:id="309" w:name="_Hlk195273991"/>
      <w:r>
        <w:t>Data Collection Tools</w:t>
      </w:r>
      <w:bookmarkEnd w:id="308"/>
    </w:p>
    <w:p w14:paraId="1CC06E07" w14:textId="0764D30B" w:rsidR="00624F32" w:rsidRDefault="00624F32" w:rsidP="00624F32">
      <w:pPr>
        <w:ind w:left="0" w:firstLine="0"/>
      </w:pPr>
      <w:r>
        <w:tab/>
      </w:r>
      <w:r w:rsidR="00D034D4">
        <w:t>A</w:t>
      </w:r>
      <w:r>
        <w:t>n interview guide and focus group discussion guide were used for the qualitative approach</w:t>
      </w:r>
      <w:r w:rsidR="00D034D4">
        <w:t xml:space="preserve"> whereas an interview schedule was the data collection tool for the quantitative approach.</w:t>
      </w:r>
    </w:p>
    <w:p w14:paraId="1D49C48F" w14:textId="77777777" w:rsidR="00624F32" w:rsidRPr="008B66D4" w:rsidRDefault="00624F32" w:rsidP="00624F32">
      <w:pPr>
        <w:pStyle w:val="Heading2"/>
        <w:ind w:left="0"/>
      </w:pPr>
      <w:bookmarkStart w:id="310" w:name="_Toc202197656"/>
      <w:bookmarkEnd w:id="309"/>
      <w:r w:rsidRPr="008B66D4">
        <w:t>Interview Guide</w:t>
      </w:r>
      <w:bookmarkEnd w:id="310"/>
    </w:p>
    <w:p w14:paraId="32065666" w14:textId="1C3B67F1" w:rsidR="00624F32" w:rsidRDefault="00624F32" w:rsidP="00624F32">
      <w:pPr>
        <w:spacing w:after="0"/>
        <w:ind w:left="0" w:firstLine="0"/>
      </w:pPr>
      <w:bookmarkStart w:id="311" w:name="_Hlk143100538"/>
      <w:r>
        <w:tab/>
        <w:t>The interview guide was a qualitative data collection tool for this study. The interview guide comprised t</w:t>
      </w:r>
      <w:r w:rsidR="00D034D4">
        <w:t>wo</w:t>
      </w:r>
      <w:r>
        <w:t xml:space="preserve"> sections</w:t>
      </w:r>
      <w:bookmarkEnd w:id="311"/>
      <w:r>
        <w:t xml:space="preserve">. The first section </w:t>
      </w:r>
      <w:bookmarkStart w:id="312" w:name="_Hlk143100581"/>
      <w:r>
        <w:t>gathered data on local</w:t>
      </w:r>
      <w:r w:rsidR="00CA24BA">
        <w:t xml:space="preserve"> institutions</w:t>
      </w:r>
      <w:r>
        <w:t xml:space="preserve"> for stakeholder participation </w:t>
      </w:r>
      <w:bookmarkEnd w:id="312"/>
      <w:r>
        <w:t xml:space="preserve">in the management </w:t>
      </w:r>
      <w:r w:rsidR="00CA24BA">
        <w:t xml:space="preserve">of the </w:t>
      </w:r>
      <w:r w:rsidR="00CA24BA">
        <w:lastRenderedPageBreak/>
        <w:t>reserves</w:t>
      </w:r>
      <w:r>
        <w:t xml:space="preserve">. </w:t>
      </w:r>
      <w:bookmarkStart w:id="313" w:name="_Hlk143100605"/>
      <w:r w:rsidR="00891F65">
        <w:t xml:space="preserve">The second segment constituted </w:t>
      </w:r>
      <w:r w:rsidR="00D034D4">
        <w:t xml:space="preserve">the </w:t>
      </w:r>
      <w:r w:rsidR="00375C2C">
        <w:t xml:space="preserve">perceived </w:t>
      </w:r>
      <w:r w:rsidR="00D034D4">
        <w:t xml:space="preserve">sustainability of the </w:t>
      </w:r>
      <w:r w:rsidR="0007210C">
        <w:t xml:space="preserve">reserves </w:t>
      </w:r>
      <w:r w:rsidR="00D034D4">
        <w:t xml:space="preserve">management </w:t>
      </w:r>
      <w:r w:rsidR="0007210C">
        <w:t>and their associated challenges</w:t>
      </w:r>
      <w:r>
        <w:t xml:space="preserve">. </w:t>
      </w:r>
      <w:r w:rsidR="00D034D4">
        <w:t xml:space="preserve">This interview guide was used to gather data from key informants from FSD, district assembly </w:t>
      </w:r>
      <w:r w:rsidR="00CA24BA">
        <w:t xml:space="preserve">representatives </w:t>
      </w:r>
      <w:r w:rsidR="00D034D4">
        <w:t xml:space="preserve">and traditional authority. </w:t>
      </w:r>
    </w:p>
    <w:bookmarkEnd w:id="313"/>
    <w:p w14:paraId="382D6697" w14:textId="77777777" w:rsidR="00624F32" w:rsidRDefault="00624F32" w:rsidP="00AC301D">
      <w:pPr>
        <w:spacing w:after="0"/>
        <w:ind w:left="0"/>
      </w:pPr>
      <w:r>
        <w:t>In the study of stakeholder participation in forest management, an interview guide was essential for gathering data from a diverse group of stakeholders, including district assembly officials, forest managers, community members and user groups. The interview guide explored stakeholder perceptions, attitudes, and experiences related to forest management and their opinions on critical issues, such as resource use, environmental protection, and community involvement.</w:t>
      </w:r>
    </w:p>
    <w:p w14:paraId="40C57909" w14:textId="77777777" w:rsidR="00624F32" w:rsidRPr="008B66D4" w:rsidRDefault="00624F32" w:rsidP="00624F32">
      <w:pPr>
        <w:pStyle w:val="Heading2"/>
        <w:ind w:left="0"/>
      </w:pPr>
      <w:bookmarkStart w:id="314" w:name="_Toc202197657"/>
      <w:r w:rsidRPr="008B66D4">
        <w:t>Focus Group Discussion Guide</w:t>
      </w:r>
      <w:bookmarkEnd w:id="314"/>
    </w:p>
    <w:p w14:paraId="72C1215D" w14:textId="17422B10" w:rsidR="00624F32" w:rsidRDefault="00624F32" w:rsidP="00624F32">
      <w:pPr>
        <w:ind w:left="0" w:firstLine="0"/>
      </w:pPr>
      <w:r>
        <w:tab/>
        <w:t>The focus group discussion guide (FGDG) was an additional qualitative data collection tool for th</w:t>
      </w:r>
      <w:r w:rsidR="001C7E78">
        <w:t>is</w:t>
      </w:r>
      <w:r>
        <w:t xml:space="preserve"> study. The FGDG consisted of t</w:t>
      </w:r>
      <w:r w:rsidR="00D034D4">
        <w:t>wo</w:t>
      </w:r>
      <w:r>
        <w:t xml:space="preserve"> sections. The first section dealt with issues relating to the </w:t>
      </w:r>
      <w:r w:rsidR="0007210C">
        <w:t>local institutions</w:t>
      </w:r>
      <w:r>
        <w:t xml:space="preserve"> for stakeholder participation in the Bobiri and Southern Scarp Forest Reserves. The second part sought responses to the </w:t>
      </w:r>
      <w:r w:rsidR="00375C2C">
        <w:t xml:space="preserve">perceived </w:t>
      </w:r>
      <w:r w:rsidR="00D034D4">
        <w:t xml:space="preserve">sustainability of the </w:t>
      </w:r>
      <w:r w:rsidR="0007210C">
        <w:t xml:space="preserve">reserves </w:t>
      </w:r>
      <w:r w:rsidR="00D034D4">
        <w:t xml:space="preserve">management </w:t>
      </w:r>
      <w:r w:rsidR="0007210C">
        <w:t>and their</w:t>
      </w:r>
      <w:r w:rsidR="00D034D4">
        <w:t xml:space="preserve"> </w:t>
      </w:r>
      <w:r>
        <w:t>challenges</w:t>
      </w:r>
      <w:r w:rsidR="00D034D4">
        <w:t>. The FGDG was used to solicit information from the forest user groups</w:t>
      </w:r>
      <w:r w:rsidR="0007210C">
        <w:t xml:space="preserve"> comprised of cocoa farmers</w:t>
      </w:r>
      <w:r w:rsidR="00D034D4">
        <w:t>.</w:t>
      </w:r>
      <w:r>
        <w:t xml:space="preserve"> </w:t>
      </w:r>
      <w:r w:rsidR="00D034D4">
        <w:t>T</w:t>
      </w:r>
      <w:r>
        <w:t>he focus group discussion guide facilitated a participatory process that encouraged stakeholders to share their views on the management process. This helped to build trust and mutual understanding among stakeholders, which is essential for effective participation in forest management.</w:t>
      </w:r>
      <w:r w:rsidR="00000CFA">
        <w:t xml:space="preserve"> </w:t>
      </w:r>
      <w:r w:rsidR="00004B9F">
        <w:t xml:space="preserve">The composition of the focus group discussion is presented in Table </w:t>
      </w:r>
      <w:r w:rsidR="00A414D9">
        <w:t>3</w:t>
      </w:r>
      <w:r w:rsidR="00004B9F">
        <w:t>.</w:t>
      </w:r>
    </w:p>
    <w:p w14:paraId="1ECEE2A9" w14:textId="1D76357E" w:rsidR="00004B9F" w:rsidRPr="009E54BB" w:rsidRDefault="00004B9F" w:rsidP="00C34F3A">
      <w:pPr>
        <w:pStyle w:val="LT"/>
      </w:pPr>
      <w:bookmarkStart w:id="315" w:name="_Toc197335667"/>
      <w:r w:rsidRPr="009E54BB">
        <w:lastRenderedPageBreak/>
        <w:t>Table</w:t>
      </w:r>
      <w:r w:rsidR="00A97DC1" w:rsidRPr="009E54BB">
        <w:t xml:space="preserve"> </w:t>
      </w:r>
      <w:r w:rsidR="00A414D9">
        <w:t>3</w:t>
      </w:r>
      <w:r w:rsidRPr="009E54BB">
        <w:t>: Number and composition of focus group discussants in the study area</w:t>
      </w:r>
      <w:r w:rsidR="00A33EE0">
        <w:t>s</w:t>
      </w:r>
      <w:bookmarkEnd w:id="315"/>
    </w:p>
    <w:tbl>
      <w:tblPr>
        <w:tblStyle w:val="TableGrid"/>
        <w:tblW w:w="5032"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3"/>
        <w:gridCol w:w="1538"/>
        <w:gridCol w:w="1582"/>
        <w:gridCol w:w="1522"/>
      </w:tblGrid>
      <w:tr w:rsidR="00FB7174" w14:paraId="759BD928" w14:textId="77777777" w:rsidTr="00C34F3A">
        <w:tc>
          <w:tcPr>
            <w:tcW w:w="1960" w:type="pct"/>
            <w:tcBorders>
              <w:top w:val="single" w:sz="4" w:space="0" w:color="auto"/>
              <w:bottom w:val="single" w:sz="4" w:space="0" w:color="auto"/>
            </w:tcBorders>
          </w:tcPr>
          <w:p w14:paraId="01DA3568" w14:textId="314E87CE" w:rsidR="00004B9F" w:rsidRDefault="00FB7174" w:rsidP="00A97DC1">
            <w:pPr>
              <w:spacing w:line="276" w:lineRule="auto"/>
              <w:ind w:left="0" w:firstLine="0"/>
            </w:pPr>
            <w:r>
              <w:t>D</w:t>
            </w:r>
            <w:r w:rsidR="00004B9F">
              <w:t>ata collection method</w:t>
            </w:r>
          </w:p>
        </w:tc>
        <w:tc>
          <w:tcPr>
            <w:tcW w:w="1007" w:type="pct"/>
            <w:tcBorders>
              <w:top w:val="single" w:sz="4" w:space="0" w:color="auto"/>
              <w:bottom w:val="single" w:sz="4" w:space="0" w:color="auto"/>
            </w:tcBorders>
          </w:tcPr>
          <w:p w14:paraId="2B3F7940" w14:textId="77777777" w:rsidR="00004B9F" w:rsidRDefault="00004B9F" w:rsidP="00A97DC1">
            <w:pPr>
              <w:spacing w:line="276" w:lineRule="auto"/>
              <w:ind w:left="0" w:firstLine="0"/>
            </w:pPr>
            <w:r>
              <w:t xml:space="preserve">Study Area </w:t>
            </w:r>
          </w:p>
        </w:tc>
        <w:tc>
          <w:tcPr>
            <w:tcW w:w="1036" w:type="pct"/>
            <w:tcBorders>
              <w:top w:val="single" w:sz="4" w:space="0" w:color="auto"/>
              <w:bottom w:val="single" w:sz="4" w:space="0" w:color="auto"/>
            </w:tcBorders>
          </w:tcPr>
          <w:p w14:paraId="3D1B5502" w14:textId="77777777" w:rsidR="00004B9F" w:rsidRDefault="00004B9F" w:rsidP="00A97DC1">
            <w:pPr>
              <w:spacing w:line="276" w:lineRule="auto"/>
              <w:ind w:left="0" w:firstLine="0"/>
            </w:pPr>
            <w:r>
              <w:t xml:space="preserve">Composition </w:t>
            </w:r>
          </w:p>
        </w:tc>
        <w:tc>
          <w:tcPr>
            <w:tcW w:w="997" w:type="pct"/>
            <w:tcBorders>
              <w:top w:val="single" w:sz="4" w:space="0" w:color="auto"/>
              <w:bottom w:val="single" w:sz="4" w:space="0" w:color="auto"/>
            </w:tcBorders>
          </w:tcPr>
          <w:p w14:paraId="5C990684" w14:textId="5FF1488F" w:rsidR="00004B9F" w:rsidRDefault="00004B9F" w:rsidP="00C34F3A">
            <w:pPr>
              <w:spacing w:line="276" w:lineRule="auto"/>
              <w:ind w:left="0" w:firstLine="0"/>
              <w:jc w:val="left"/>
            </w:pPr>
            <w:r>
              <w:t>Number</w:t>
            </w:r>
            <w:r w:rsidR="00753A34">
              <w:t xml:space="preserve"> </w:t>
            </w:r>
            <w:r>
              <w:t xml:space="preserve">of </w:t>
            </w:r>
            <w:r w:rsidR="00753A34">
              <w:t>D</w:t>
            </w:r>
            <w:r>
              <w:t>iscussants</w:t>
            </w:r>
          </w:p>
        </w:tc>
      </w:tr>
      <w:tr w:rsidR="00FB7174" w14:paraId="3DAFCD56" w14:textId="77777777" w:rsidTr="00C34F3A">
        <w:tc>
          <w:tcPr>
            <w:tcW w:w="1960" w:type="pct"/>
            <w:tcBorders>
              <w:top w:val="single" w:sz="4" w:space="0" w:color="auto"/>
            </w:tcBorders>
          </w:tcPr>
          <w:p w14:paraId="76E6C040" w14:textId="77777777" w:rsidR="00004B9F" w:rsidRDefault="00004B9F" w:rsidP="00A97DC1">
            <w:pPr>
              <w:spacing w:line="276" w:lineRule="auto"/>
              <w:ind w:left="0" w:firstLine="0"/>
            </w:pPr>
            <w:r>
              <w:t>Focus group discussion 1</w:t>
            </w:r>
          </w:p>
        </w:tc>
        <w:tc>
          <w:tcPr>
            <w:tcW w:w="1007" w:type="pct"/>
            <w:tcBorders>
              <w:top w:val="single" w:sz="4" w:space="0" w:color="auto"/>
            </w:tcBorders>
          </w:tcPr>
          <w:p w14:paraId="0D6A46AC" w14:textId="77777777" w:rsidR="00004B9F" w:rsidRDefault="00004B9F" w:rsidP="00A97DC1">
            <w:pPr>
              <w:spacing w:line="276" w:lineRule="auto"/>
              <w:ind w:left="0" w:firstLine="0"/>
            </w:pPr>
            <w:r>
              <w:t>Bobiri</w:t>
            </w:r>
          </w:p>
        </w:tc>
        <w:tc>
          <w:tcPr>
            <w:tcW w:w="1036" w:type="pct"/>
            <w:tcBorders>
              <w:top w:val="single" w:sz="4" w:space="0" w:color="auto"/>
            </w:tcBorders>
          </w:tcPr>
          <w:p w14:paraId="4125EBDB" w14:textId="77777777" w:rsidR="00004B9F" w:rsidRDefault="00004B9F" w:rsidP="00A97DC1">
            <w:pPr>
              <w:spacing w:line="276" w:lineRule="auto"/>
              <w:ind w:left="0" w:firstLine="0"/>
            </w:pPr>
            <w:r>
              <w:t>Cocoa farmers</w:t>
            </w:r>
          </w:p>
        </w:tc>
        <w:tc>
          <w:tcPr>
            <w:tcW w:w="997" w:type="pct"/>
            <w:tcBorders>
              <w:top w:val="single" w:sz="4" w:space="0" w:color="auto"/>
            </w:tcBorders>
          </w:tcPr>
          <w:p w14:paraId="66D61350" w14:textId="77777777" w:rsidR="00004B9F" w:rsidRDefault="00004B9F" w:rsidP="00A97DC1">
            <w:pPr>
              <w:spacing w:line="276" w:lineRule="auto"/>
              <w:ind w:left="0" w:firstLine="0"/>
            </w:pPr>
            <w:r>
              <w:t>7</w:t>
            </w:r>
          </w:p>
        </w:tc>
      </w:tr>
      <w:tr w:rsidR="00FB7174" w14:paraId="04D5FE55" w14:textId="77777777" w:rsidTr="00C34F3A">
        <w:tc>
          <w:tcPr>
            <w:tcW w:w="1960" w:type="pct"/>
          </w:tcPr>
          <w:p w14:paraId="1C653DF4" w14:textId="77777777" w:rsidR="00004B9F" w:rsidRDefault="00004B9F" w:rsidP="00A97DC1">
            <w:pPr>
              <w:spacing w:line="276" w:lineRule="auto"/>
              <w:ind w:left="0" w:firstLine="0"/>
            </w:pPr>
            <w:r>
              <w:t>Focus group discussion 2</w:t>
            </w:r>
          </w:p>
        </w:tc>
        <w:tc>
          <w:tcPr>
            <w:tcW w:w="1007" w:type="pct"/>
          </w:tcPr>
          <w:p w14:paraId="730667B8" w14:textId="77777777" w:rsidR="00004B9F" w:rsidRDefault="00004B9F" w:rsidP="00A97DC1">
            <w:pPr>
              <w:spacing w:line="276" w:lineRule="auto"/>
              <w:ind w:left="0" w:firstLine="0"/>
            </w:pPr>
            <w:r>
              <w:t>Bobiri</w:t>
            </w:r>
          </w:p>
        </w:tc>
        <w:tc>
          <w:tcPr>
            <w:tcW w:w="1036" w:type="pct"/>
          </w:tcPr>
          <w:p w14:paraId="57C5F2E1" w14:textId="77777777" w:rsidR="00004B9F" w:rsidRDefault="00004B9F" w:rsidP="00A97DC1">
            <w:pPr>
              <w:spacing w:line="276" w:lineRule="auto"/>
              <w:ind w:left="0" w:firstLine="0"/>
            </w:pPr>
            <w:r>
              <w:t>Cocoa farmers</w:t>
            </w:r>
          </w:p>
        </w:tc>
        <w:tc>
          <w:tcPr>
            <w:tcW w:w="997" w:type="pct"/>
          </w:tcPr>
          <w:p w14:paraId="60039773" w14:textId="77777777" w:rsidR="00004B9F" w:rsidRDefault="00004B9F" w:rsidP="00A97DC1">
            <w:pPr>
              <w:spacing w:line="276" w:lineRule="auto"/>
              <w:ind w:left="0" w:firstLine="0"/>
            </w:pPr>
            <w:r>
              <w:t>6</w:t>
            </w:r>
          </w:p>
        </w:tc>
      </w:tr>
      <w:tr w:rsidR="00FB7174" w14:paraId="5E9D9328" w14:textId="77777777" w:rsidTr="00C34F3A">
        <w:tc>
          <w:tcPr>
            <w:tcW w:w="1960" w:type="pct"/>
          </w:tcPr>
          <w:p w14:paraId="208AB768" w14:textId="77777777" w:rsidR="00004B9F" w:rsidRDefault="00004B9F" w:rsidP="00A97DC1">
            <w:pPr>
              <w:spacing w:line="276" w:lineRule="auto"/>
              <w:ind w:left="0" w:firstLine="0"/>
            </w:pPr>
            <w:r>
              <w:t>Focus group discussion 3</w:t>
            </w:r>
          </w:p>
        </w:tc>
        <w:tc>
          <w:tcPr>
            <w:tcW w:w="1007" w:type="pct"/>
          </w:tcPr>
          <w:p w14:paraId="04AAD0EC" w14:textId="77777777" w:rsidR="00004B9F" w:rsidRDefault="00004B9F" w:rsidP="00A97DC1">
            <w:pPr>
              <w:spacing w:line="276" w:lineRule="auto"/>
              <w:ind w:left="0" w:firstLine="0"/>
            </w:pPr>
            <w:r>
              <w:t>Southern Scarp</w:t>
            </w:r>
          </w:p>
        </w:tc>
        <w:tc>
          <w:tcPr>
            <w:tcW w:w="1036" w:type="pct"/>
          </w:tcPr>
          <w:p w14:paraId="281DB3CB" w14:textId="77777777" w:rsidR="00004B9F" w:rsidRDefault="00004B9F" w:rsidP="00A97DC1">
            <w:pPr>
              <w:spacing w:line="276" w:lineRule="auto"/>
              <w:ind w:left="0" w:firstLine="0"/>
            </w:pPr>
            <w:r>
              <w:t>Cocoa farmers</w:t>
            </w:r>
          </w:p>
        </w:tc>
        <w:tc>
          <w:tcPr>
            <w:tcW w:w="997" w:type="pct"/>
          </w:tcPr>
          <w:p w14:paraId="16874638" w14:textId="77777777" w:rsidR="00004B9F" w:rsidRDefault="00004B9F" w:rsidP="00A97DC1">
            <w:pPr>
              <w:spacing w:line="276" w:lineRule="auto"/>
              <w:ind w:left="0" w:firstLine="0"/>
            </w:pPr>
            <w:r>
              <w:t>7</w:t>
            </w:r>
          </w:p>
        </w:tc>
      </w:tr>
      <w:tr w:rsidR="00FB7174" w14:paraId="414D95C4" w14:textId="77777777" w:rsidTr="00C34F3A">
        <w:tc>
          <w:tcPr>
            <w:tcW w:w="1960" w:type="pct"/>
          </w:tcPr>
          <w:p w14:paraId="5E2343F0" w14:textId="393A1EDE" w:rsidR="00004B9F" w:rsidRDefault="007D2BB7" w:rsidP="00A97DC1">
            <w:pPr>
              <w:spacing w:line="276" w:lineRule="auto"/>
              <w:ind w:left="0" w:firstLine="0"/>
            </w:pPr>
            <w:r>
              <w:t>F</w:t>
            </w:r>
            <w:r w:rsidR="00004B9F">
              <w:t>ocus group discussion 4</w:t>
            </w:r>
          </w:p>
        </w:tc>
        <w:tc>
          <w:tcPr>
            <w:tcW w:w="1007" w:type="pct"/>
          </w:tcPr>
          <w:p w14:paraId="09F2494C" w14:textId="77777777" w:rsidR="00004B9F" w:rsidRDefault="00004B9F" w:rsidP="00A97DC1">
            <w:pPr>
              <w:spacing w:line="276" w:lineRule="auto"/>
              <w:ind w:left="0" w:firstLine="0"/>
            </w:pPr>
            <w:r>
              <w:t>Southern Scarp</w:t>
            </w:r>
          </w:p>
        </w:tc>
        <w:tc>
          <w:tcPr>
            <w:tcW w:w="1036" w:type="pct"/>
          </w:tcPr>
          <w:p w14:paraId="2EF2ACCC" w14:textId="77777777" w:rsidR="00004B9F" w:rsidRDefault="00004B9F" w:rsidP="00A97DC1">
            <w:pPr>
              <w:spacing w:line="276" w:lineRule="auto"/>
              <w:ind w:left="0" w:firstLine="0"/>
            </w:pPr>
            <w:r>
              <w:t>Cocoa farmers</w:t>
            </w:r>
          </w:p>
        </w:tc>
        <w:tc>
          <w:tcPr>
            <w:tcW w:w="997" w:type="pct"/>
          </w:tcPr>
          <w:p w14:paraId="2EDBCCD3" w14:textId="77777777" w:rsidR="00004B9F" w:rsidRDefault="00004B9F" w:rsidP="00A97DC1">
            <w:pPr>
              <w:spacing w:line="276" w:lineRule="auto"/>
              <w:ind w:left="0" w:firstLine="0"/>
            </w:pPr>
            <w:r>
              <w:t>8</w:t>
            </w:r>
          </w:p>
        </w:tc>
      </w:tr>
    </w:tbl>
    <w:p w14:paraId="5877553F" w14:textId="77777777" w:rsidR="00004B9F" w:rsidRDefault="00004B9F" w:rsidP="007D2BB7">
      <w:pPr>
        <w:ind w:left="0" w:firstLine="0"/>
      </w:pPr>
      <w:r>
        <w:t>Source: Fieldwork (2024)</w:t>
      </w:r>
    </w:p>
    <w:p w14:paraId="1ACE92E3" w14:textId="060EFC84" w:rsidR="007E4B21" w:rsidRDefault="007E4B21" w:rsidP="00624F32">
      <w:pPr>
        <w:pStyle w:val="Heading2"/>
        <w:ind w:left="0"/>
      </w:pPr>
      <w:bookmarkStart w:id="316" w:name="_Toc202197658"/>
      <w:r>
        <w:t>Observation Guide</w:t>
      </w:r>
      <w:bookmarkEnd w:id="316"/>
    </w:p>
    <w:p w14:paraId="1ED36EF0" w14:textId="719D89DE" w:rsidR="007E4B21" w:rsidRPr="007E4B21" w:rsidRDefault="00092079" w:rsidP="008F7D23">
      <w:pPr>
        <w:spacing w:after="0"/>
        <w:ind w:left="0" w:firstLine="0"/>
      </w:pPr>
      <w:r>
        <w:tab/>
        <w:t xml:space="preserve">The observation guide was adopted to aid the qualitative section of the study. The guide was used to observe tangible benefits as well as some indicators of the sustainability of the management process. </w:t>
      </w:r>
    </w:p>
    <w:p w14:paraId="7629D77B" w14:textId="01D31B65" w:rsidR="00624F32" w:rsidRDefault="00624F32" w:rsidP="00624F32">
      <w:pPr>
        <w:pStyle w:val="Heading2"/>
        <w:ind w:left="0"/>
      </w:pPr>
      <w:bookmarkStart w:id="317" w:name="_Toc202197659"/>
      <w:r>
        <w:t>Interview Schedule</w:t>
      </w:r>
      <w:bookmarkEnd w:id="317"/>
    </w:p>
    <w:p w14:paraId="3E3C7CB3" w14:textId="5F6588E7" w:rsidR="00624F32" w:rsidRDefault="00624F32" w:rsidP="00624F32">
      <w:pPr>
        <w:spacing w:after="0"/>
        <w:ind w:left="0"/>
      </w:pPr>
      <w:r>
        <w:t>Bryman (2016) described an interview schedule as a guide or protocol for an interview that includes a set of questions and prompts to be asked by respondents. In addition, Kvale and Brinkmann (2009) maintained that an interview schedule should be designed to ensure that the questions are relevant, clear, and easy to understand. Therefore, an interview schedule c</w:t>
      </w:r>
      <w:r w:rsidR="00375C2C">
        <w:t>ould</w:t>
      </w:r>
      <w:r>
        <w:t xml:space="preserve"> be considered a structured set of questions used to guide a conversation between an interviewer and a respondent. </w:t>
      </w:r>
    </w:p>
    <w:p w14:paraId="3DB23DC4" w14:textId="4BD8F272" w:rsidR="00D034D4" w:rsidRPr="00D034D4" w:rsidRDefault="00D034D4" w:rsidP="00D034D4">
      <w:pPr>
        <w:pStyle w:val="BodyText"/>
        <w:ind w:left="0" w:firstLine="0"/>
      </w:pPr>
      <w:r>
        <w:tab/>
        <w:t xml:space="preserve">The interview schedule was employed to obtain data from community </w:t>
      </w:r>
      <w:r w:rsidR="00BA193F">
        <w:t>members,</w:t>
      </w:r>
      <w:r>
        <w:t xml:space="preserve"> and it comprised five sections. The first section constituted </w:t>
      </w:r>
      <w:r w:rsidR="0007210C">
        <w:t xml:space="preserve">the </w:t>
      </w:r>
      <w:r>
        <w:t>socio-demographics of the participants. The section was concerned with loca</w:t>
      </w:r>
      <w:r w:rsidR="0007210C">
        <w:t>l institutions</w:t>
      </w:r>
      <w:r>
        <w:t xml:space="preserve"> </w:t>
      </w:r>
      <w:r w:rsidR="00375C2C">
        <w:t xml:space="preserve">for stakeholder participation in the management of the reserves </w:t>
      </w:r>
      <w:r>
        <w:t xml:space="preserve">while the third section sought answers to the </w:t>
      </w:r>
      <w:r w:rsidR="00375C2C">
        <w:t xml:space="preserve">perceived </w:t>
      </w:r>
      <w:r>
        <w:t xml:space="preserve">sustainability and </w:t>
      </w:r>
      <w:r>
        <w:lastRenderedPageBreak/>
        <w:t>challenges inherent in the management of the res</w:t>
      </w:r>
      <w:r w:rsidR="0007210C">
        <w:t>erves</w:t>
      </w:r>
      <w:r>
        <w:t xml:space="preserve">. The fourth and </w:t>
      </w:r>
      <w:proofErr w:type="spellStart"/>
      <w:r w:rsidR="00747C28">
        <w:t>fith</w:t>
      </w:r>
      <w:proofErr w:type="spellEnd"/>
      <w:r>
        <w:t xml:space="preserve"> sections of the schedule comprised questions related to the level of community participation and the factors enhancing the level of </w:t>
      </w:r>
      <w:r w:rsidR="00375C2C">
        <w:t xml:space="preserve">community </w:t>
      </w:r>
      <w:r>
        <w:t>participation in the management of the reserves.</w:t>
      </w:r>
    </w:p>
    <w:p w14:paraId="3188B1F9" w14:textId="7762A3B6" w:rsidR="00624F32" w:rsidRDefault="00624F32" w:rsidP="00AC301D">
      <w:pPr>
        <w:spacing w:after="0"/>
        <w:ind w:left="0"/>
      </w:pPr>
      <w:r>
        <w:t xml:space="preserve">In the context of stakeholder participation in forest management, </w:t>
      </w:r>
      <w:r w:rsidR="00405555">
        <w:t>the</w:t>
      </w:r>
      <w:r>
        <w:t xml:space="preserve"> interview schedule </w:t>
      </w:r>
      <w:r w:rsidR="00405555">
        <w:t xml:space="preserve">was </w:t>
      </w:r>
      <w:r>
        <w:t>an essential tool for gathering information on stakeholders’ views, experiences, and perceptions. Forest management involves multiple stakeholders, including government agencies, local communities, NGOs, and private sector actors. Collaboration among stakeholders is essential for effective forest management. However, understanding the dynamics of stakeholder participation requires an in-depth understanding of the perceptions, experiences, and perspectives of the stakeholders involved.</w:t>
      </w:r>
    </w:p>
    <w:p w14:paraId="64207A37" w14:textId="77777777" w:rsidR="00624F32" w:rsidRDefault="00624F32" w:rsidP="00624F32">
      <w:pPr>
        <w:pStyle w:val="Heading2"/>
        <w:ind w:left="0"/>
      </w:pPr>
      <w:bookmarkStart w:id="318" w:name="_Toc202197660"/>
      <w:bookmarkStart w:id="319" w:name="_Hlk195274213"/>
      <w:r>
        <w:t>Data Processing and Analysis</w:t>
      </w:r>
      <w:bookmarkEnd w:id="318"/>
    </w:p>
    <w:p w14:paraId="7A49F78E" w14:textId="02AAEF3C" w:rsidR="00DB4890" w:rsidRDefault="00624F32" w:rsidP="00DB4890">
      <w:pPr>
        <w:spacing w:after="0"/>
        <w:ind w:left="0" w:firstLine="0"/>
      </w:pPr>
      <w:r>
        <w:tab/>
      </w:r>
      <w:bookmarkStart w:id="320" w:name="_Hlk195274175"/>
      <w:r>
        <w:t xml:space="preserve">The obtained data </w:t>
      </w:r>
      <w:r w:rsidR="006067CD">
        <w:t>were</w:t>
      </w:r>
      <w:r>
        <w:t xml:space="preserve"> both qualitative </w:t>
      </w:r>
      <w:r w:rsidR="00D034D4">
        <w:t xml:space="preserve">and quantitative </w:t>
      </w:r>
      <w:r>
        <w:t xml:space="preserve">which required qualitative </w:t>
      </w:r>
      <w:r w:rsidR="00D034D4">
        <w:t xml:space="preserve">and quantitative </w:t>
      </w:r>
      <w:r>
        <w:t>analyses. Objectives one</w:t>
      </w:r>
      <w:r w:rsidR="00D034D4">
        <w:t xml:space="preserve"> and two</w:t>
      </w:r>
      <w:r w:rsidR="006A2E7A">
        <w:t xml:space="preserve">, which sought to examine </w:t>
      </w:r>
      <w:r w:rsidR="006A2E7A">
        <w:rPr>
          <w:rFonts w:cs="Times New Roman"/>
          <w:szCs w:val="24"/>
        </w:rPr>
        <w:t xml:space="preserve">the local institutions for stakeholder participation in the management processes at the Bobiri and Southern Scarp Forest reserves and </w:t>
      </w:r>
      <w:r w:rsidR="00847B4C" w:rsidRPr="00191A6B">
        <w:rPr>
          <w:rFonts w:cs="Times New Roman"/>
          <w:szCs w:val="24"/>
        </w:rPr>
        <w:t xml:space="preserve">the </w:t>
      </w:r>
      <w:r w:rsidR="00847B4C">
        <w:rPr>
          <w:rFonts w:cs="Times New Roman"/>
          <w:szCs w:val="24"/>
        </w:rPr>
        <w:t xml:space="preserve">sustainability and </w:t>
      </w:r>
      <w:r w:rsidR="00847B4C" w:rsidRPr="00191A6B">
        <w:rPr>
          <w:rFonts w:cs="Times New Roman"/>
          <w:szCs w:val="24"/>
        </w:rPr>
        <w:t xml:space="preserve">challenges inherent in the </w:t>
      </w:r>
      <w:r w:rsidR="00847B4C">
        <w:rPr>
          <w:rFonts w:cs="Times New Roman"/>
          <w:szCs w:val="24"/>
        </w:rPr>
        <w:t>management of the reserves respectively</w:t>
      </w:r>
      <w:r w:rsidR="00433C4F">
        <w:t xml:space="preserve"> </w:t>
      </w:r>
      <w:r>
        <w:t xml:space="preserve">were analysed using </w:t>
      </w:r>
      <w:r w:rsidR="00D034D4">
        <w:t>document review</w:t>
      </w:r>
      <w:r>
        <w:t xml:space="preserve">, </w:t>
      </w:r>
      <w:r w:rsidR="006067CD">
        <w:t>analytic induction</w:t>
      </w:r>
      <w:r>
        <w:t>, and stakeholder analyses</w:t>
      </w:r>
      <w:r w:rsidR="001238C7">
        <w:t>.</w:t>
      </w:r>
      <w:r w:rsidR="00DB4890">
        <w:t xml:space="preserve"> </w:t>
      </w:r>
      <w:r w:rsidR="001238C7">
        <w:t>D</w:t>
      </w:r>
      <w:r>
        <w:t xml:space="preserve">escriptive statistics, participation index, cross-tabulation, and multinomial logistic regression were applied to objectives </w:t>
      </w:r>
      <w:r w:rsidR="00D034D4">
        <w:t>three</w:t>
      </w:r>
      <w:r w:rsidR="00433C4F">
        <w:t xml:space="preserve"> and f</w:t>
      </w:r>
      <w:r w:rsidR="00D034D4">
        <w:t>our</w:t>
      </w:r>
      <w:r w:rsidR="00847B4C">
        <w:t xml:space="preserve"> which </w:t>
      </w:r>
      <w:r w:rsidR="00DB4890">
        <w:t xml:space="preserve">were </w:t>
      </w:r>
      <w:r w:rsidR="00847B4C">
        <w:t>set to assess the level of community participation in the management of the reserve and analyse the factors enhancing community participation in the management</w:t>
      </w:r>
      <w:r>
        <w:t xml:space="preserve">. </w:t>
      </w:r>
    </w:p>
    <w:bookmarkEnd w:id="319"/>
    <w:bookmarkEnd w:id="320"/>
    <w:p w14:paraId="271A949A" w14:textId="72A892F5" w:rsidR="00D034D4" w:rsidRDefault="00624F32" w:rsidP="005B3C76">
      <w:pPr>
        <w:spacing w:after="0"/>
        <w:ind w:left="0"/>
      </w:pPr>
      <w:r>
        <w:t xml:space="preserve">In the context of </w:t>
      </w:r>
      <w:r w:rsidR="000F4FD1">
        <w:t>document review</w:t>
      </w:r>
      <w:r>
        <w:t xml:space="preserve">, the study analysed the Forestry Development Master Plan (2016-2036) and the </w:t>
      </w:r>
      <w:r w:rsidR="00D034D4">
        <w:t xml:space="preserve">Revised Guidelines for Social </w:t>
      </w:r>
      <w:r w:rsidR="00847B4C">
        <w:lastRenderedPageBreak/>
        <w:t>Responsibility</w:t>
      </w:r>
      <w:r w:rsidR="00D034D4">
        <w:t xml:space="preserve"> Allowance (</w:t>
      </w:r>
      <w:r w:rsidR="007C53E3">
        <w:t>RGSRA</w:t>
      </w:r>
      <w:r w:rsidR="00D034D4">
        <w:t>)</w:t>
      </w:r>
      <w:r>
        <w:t xml:space="preserve"> </w:t>
      </w:r>
      <w:r w:rsidR="007F030A">
        <w:t xml:space="preserve">Policy </w:t>
      </w:r>
      <w:r>
        <w:t xml:space="preserve">(2016). The FDMP (2016-2036) outlines the </w:t>
      </w:r>
      <w:r w:rsidR="00D034D4">
        <w:t xml:space="preserve">forestry </w:t>
      </w:r>
      <w:r>
        <w:t xml:space="preserve">development objectives and associated critical interventional strategies for achieving them. Some </w:t>
      </w:r>
      <w:r w:rsidR="00D034D4">
        <w:t xml:space="preserve">of the </w:t>
      </w:r>
      <w:r>
        <w:t xml:space="preserve">development objectives are classified as short-term continuation programs, i.e., between 2016 - 2020; medium-term structural transformation programs, i.e., between 2021 - 2030 and long-term consolidation programs, i.e., 2031 to 2036. </w:t>
      </w:r>
    </w:p>
    <w:p w14:paraId="4CFD8B3D" w14:textId="3B405A40" w:rsidR="00624F32" w:rsidRDefault="005B3C76" w:rsidP="005B3C76">
      <w:pPr>
        <w:spacing w:after="0"/>
        <w:ind w:left="0"/>
      </w:pPr>
      <w:r>
        <w:t xml:space="preserve">The </w:t>
      </w:r>
      <w:r w:rsidR="007C53E3">
        <w:t>RGSRA</w:t>
      </w:r>
      <w:r>
        <w:t xml:space="preserve"> Policy (2016) </w:t>
      </w:r>
      <w:r w:rsidR="00D034D4">
        <w:t xml:space="preserve">on the other hand, </w:t>
      </w:r>
      <w:r>
        <w:t xml:space="preserve">identifies the various stakeholders in the forestry sector who are involved in the processes regarding the </w:t>
      </w:r>
      <w:r w:rsidR="00DB4890">
        <w:t xml:space="preserve">determination of the </w:t>
      </w:r>
      <w:r>
        <w:t>stumpage fee. The policy further outlines their respective roles</w:t>
      </w:r>
      <w:r w:rsidR="00C529D4">
        <w:t xml:space="preserve"> at every stage of the decision</w:t>
      </w:r>
      <w:r w:rsidR="000F4FD1">
        <w:t>-</w:t>
      </w:r>
      <w:r w:rsidR="00C529D4">
        <w:t>making process</w:t>
      </w:r>
      <w:r w:rsidR="00DB4890">
        <w:t xml:space="preserve"> to build their capacity to contribute to the sustainable management of forests aside from ensuring transparency in the process.</w:t>
      </w:r>
    </w:p>
    <w:p w14:paraId="7377AC3A" w14:textId="540DCBDA" w:rsidR="00DB4890" w:rsidRPr="00DB4890" w:rsidRDefault="00DB4890" w:rsidP="00DB4890">
      <w:pPr>
        <w:ind w:left="0"/>
      </w:pPr>
      <w:r w:rsidRPr="00E5418B">
        <w:rPr>
          <w:rFonts w:cs="Times New Roman"/>
          <w:szCs w:val="24"/>
        </w:rPr>
        <w:t>Th</w:t>
      </w:r>
      <w:r>
        <w:rPr>
          <w:rFonts w:cs="Times New Roman"/>
          <w:szCs w:val="24"/>
        </w:rPr>
        <w:t>is study</w:t>
      </w:r>
      <w:r w:rsidRPr="00E5418B">
        <w:rPr>
          <w:rFonts w:cs="Times New Roman"/>
          <w:szCs w:val="24"/>
        </w:rPr>
        <w:t xml:space="preserve"> conducted a power analysis </w:t>
      </w:r>
      <w:r>
        <w:rPr>
          <w:rFonts w:cs="Times New Roman"/>
          <w:szCs w:val="24"/>
        </w:rPr>
        <w:t xml:space="preserve">among the stakeholders in the Bobiri and Southern Scarp Forest Reserve </w:t>
      </w:r>
      <w:r w:rsidRPr="00E5418B">
        <w:rPr>
          <w:rFonts w:cs="Times New Roman"/>
          <w:szCs w:val="24"/>
        </w:rPr>
        <w:t xml:space="preserve">using </w:t>
      </w:r>
      <w:proofErr w:type="spellStart"/>
      <w:r w:rsidRPr="00E5418B">
        <w:rPr>
          <w:rFonts w:cs="Times New Roman"/>
          <w:szCs w:val="24"/>
        </w:rPr>
        <w:t>Gaventa's</w:t>
      </w:r>
      <w:proofErr w:type="spellEnd"/>
      <w:r w:rsidRPr="00E5418B">
        <w:rPr>
          <w:rFonts w:cs="Times New Roman"/>
          <w:szCs w:val="24"/>
        </w:rPr>
        <w:t xml:space="preserve"> (2006) power-cube model as a framework. Based on this approach, the study examined the dimensions of space, level, and forms of power. The dimension of space encompasse</w:t>
      </w:r>
      <w:r>
        <w:rPr>
          <w:rFonts w:cs="Times New Roman"/>
          <w:szCs w:val="24"/>
        </w:rPr>
        <w:t>d</w:t>
      </w:r>
      <w:r w:rsidRPr="00E5418B">
        <w:rPr>
          <w:rFonts w:cs="Times New Roman"/>
          <w:szCs w:val="24"/>
        </w:rPr>
        <w:t xml:space="preserve"> three potential arenas for participation and action: closed spaces, invited spaces, and claimed spaces. </w:t>
      </w:r>
      <w:r>
        <w:t xml:space="preserve">Levels of power denoted the various layers of power ranging from the global to the household strata while the forms of power manifested through visible, hidden and invisible forms of power. </w:t>
      </w:r>
    </w:p>
    <w:p w14:paraId="33544BD6" w14:textId="77777777" w:rsidR="00D034D4" w:rsidRDefault="00624F32" w:rsidP="00D034D4">
      <w:pPr>
        <w:spacing w:after="0"/>
        <w:ind w:left="0" w:firstLine="0"/>
      </w:pPr>
      <w:r>
        <w:tab/>
      </w:r>
      <w:bookmarkStart w:id="321" w:name="_Hlk167267264"/>
      <w:r w:rsidRPr="002A33B7">
        <w:t xml:space="preserve">Qualitative data analysis was performed following </w:t>
      </w:r>
      <w:r>
        <w:t xml:space="preserve">the procedure described by </w:t>
      </w:r>
      <w:proofErr w:type="spellStart"/>
      <w:r>
        <w:t>Doso</w:t>
      </w:r>
      <w:proofErr w:type="spellEnd"/>
      <w:r>
        <w:t xml:space="preserve"> Jnr et al. (2015)</w:t>
      </w:r>
      <w:r w:rsidRPr="002A33B7">
        <w:t>.</w:t>
      </w:r>
      <w:r>
        <w:t xml:space="preserve"> </w:t>
      </w:r>
      <w:r w:rsidRPr="002A33B7">
        <w:t xml:space="preserve">The first </w:t>
      </w:r>
      <w:r>
        <w:t xml:space="preserve">and second objectives were analysed using </w:t>
      </w:r>
      <w:r w:rsidR="000F4FD1">
        <w:t>document review</w:t>
      </w:r>
      <w:r>
        <w:t xml:space="preserve">, </w:t>
      </w:r>
      <w:r w:rsidR="000F4FD1">
        <w:t>analytic induction</w:t>
      </w:r>
      <w:r>
        <w:t xml:space="preserve">, and stakeholder analysis. </w:t>
      </w:r>
      <w:r w:rsidR="000F4FD1">
        <w:t>Document review</w:t>
      </w:r>
      <w:r>
        <w:t xml:space="preserve"> was</w:t>
      </w:r>
      <w:r w:rsidRPr="002A33B7">
        <w:t xml:space="preserve"> based extensively on secondary data from the Forest Development Master Plan passed in 2016</w:t>
      </w:r>
      <w:r>
        <w:t xml:space="preserve">, the Social Responsibility Agreement </w:t>
      </w:r>
      <w:r>
        <w:lastRenderedPageBreak/>
        <w:t xml:space="preserve">policy revised in 2016, </w:t>
      </w:r>
      <w:r w:rsidRPr="002A33B7">
        <w:t>ministry reports</w:t>
      </w:r>
      <w:r>
        <w:t xml:space="preserve">, relevant documents obtained from the Forestry Commission, </w:t>
      </w:r>
      <w:r w:rsidRPr="002A33B7">
        <w:t xml:space="preserve">dissertations, and newspaper accounts. </w:t>
      </w:r>
      <w:r>
        <w:t xml:space="preserve">In addition, the </w:t>
      </w:r>
      <w:r w:rsidR="007047CD">
        <w:t>analytic induction</w:t>
      </w:r>
      <w:r>
        <w:t xml:space="preserve"> and stakeholder analysis were based on the primary data obtained from the participants. </w:t>
      </w:r>
    </w:p>
    <w:p w14:paraId="35D37548" w14:textId="0AB280C1" w:rsidR="00624F32" w:rsidRDefault="00624F32" w:rsidP="00D034D4">
      <w:pPr>
        <w:spacing w:after="0"/>
        <w:ind w:left="0"/>
      </w:pPr>
      <w:r>
        <w:t xml:space="preserve">The qualitative data analysis unfolded in three distinct phases: preparation, organisation, and reporting. In the preparation phase, a comprehensive understanding of the data was pursued by reviewing pertinent secondary documents and transcribing the field data. Each data source underwent meticulous scrutiny to determine the nuances of the issues examined. Following Polit and Beck's (2004) recommendation, this thorough comprehension was aimed at facilitating the identification of themes </w:t>
      </w:r>
      <w:r w:rsidR="00030F31">
        <w:t xml:space="preserve">such as local policies, participation, commitment, and power among others </w:t>
      </w:r>
      <w:r>
        <w:t>within the data.</w:t>
      </w:r>
    </w:p>
    <w:p w14:paraId="0C4727FF" w14:textId="50199E20" w:rsidR="00624F32" w:rsidRDefault="00624F32" w:rsidP="00624F32">
      <w:pPr>
        <w:spacing w:after="0"/>
        <w:ind w:left="0" w:firstLine="0"/>
      </w:pPr>
      <w:r>
        <w:tab/>
        <w:t xml:space="preserve">Transitioning to the organisation phase, an open coding approach was initiated to pinpoint categories arising from the data. This coding process entailed meticulous re-examination of documents, transcribed data, and formulating summary notes. Sections relevant to the research objectives were endowed with distinct identities, manifesting as sentences and paragraphs, or sections encapsulating pertinent thoughts, ideas, and themes </w:t>
      </w:r>
      <w:r w:rsidR="00030F31">
        <w:t xml:space="preserve">as mentioned earlier which </w:t>
      </w:r>
      <w:r>
        <w:t>aligned with the objectives of this study. This identification process was imperative for streamlined verification.</w:t>
      </w:r>
    </w:p>
    <w:p w14:paraId="20D61723" w14:textId="1C3D76E3" w:rsidR="00624F32" w:rsidRDefault="00624F32" w:rsidP="00624F32">
      <w:pPr>
        <w:spacing w:after="0"/>
        <w:ind w:left="0" w:firstLine="0"/>
      </w:pPr>
      <w:r>
        <w:tab/>
        <w:t>The summary notes underwent multiple readings and cross-referencing with their respective objectives, explicitly focusing on the noted sections to interpret the meanings and themes derived from the data accurately. Newly emerging themes</w:t>
      </w:r>
      <w:r w:rsidR="00712F65">
        <w:t xml:space="preserve"> in the form of types of power, level of engagement and types </w:t>
      </w:r>
      <w:r w:rsidR="00712F65">
        <w:lastRenderedPageBreak/>
        <w:t>of spaces present at the study area</w:t>
      </w:r>
      <w:r>
        <w:t xml:space="preserve"> were duly acknowledged in the verification process, synonymous with axial coding. All identified themes underwent systematic categorisation, involving grouping similar and interconnected themes into sub-categories</w:t>
      </w:r>
      <w:r w:rsidR="00712F65">
        <w:t xml:space="preserve"> to make </w:t>
      </w:r>
      <w:r w:rsidR="00F07AAE">
        <w:t xml:space="preserve">a </w:t>
      </w:r>
      <w:r w:rsidR="00712F65">
        <w:t>complete understanding of the data</w:t>
      </w:r>
      <w:r>
        <w:t>. Following Cavanagh's (1997) guidance, this sub-categorisation aimed to enhance the description of the phenomenon represented by the themes.</w:t>
      </w:r>
    </w:p>
    <w:p w14:paraId="168FFF7B" w14:textId="5241DB9F" w:rsidR="00160C64" w:rsidRDefault="00624F32" w:rsidP="00160C64">
      <w:pPr>
        <w:ind w:left="0" w:firstLine="0"/>
      </w:pPr>
      <w:r>
        <w:tab/>
        <w:t>The sub-categories were subsequently organised into broader categories aligned with the objectives of the study. Throughout the verification and categorisation processes, the objectives of the study</w:t>
      </w:r>
      <w:r w:rsidR="002205FC">
        <w:t>, local rules for stakeholder participation, sustainability and challenges in the reserves management, level of community participation and factors enhancing participation,</w:t>
      </w:r>
      <w:r>
        <w:t xml:space="preserve"> were consistently revisited to maintain a focus on the research topic and prevent distraction by other issues in the summary notes. The identified themes were then interlinked to elucidate the issues and meanings associated with the phenomena the study sought to describe.</w:t>
      </w:r>
      <w:r w:rsidR="00160C64">
        <w:t xml:space="preserve"> </w:t>
      </w:r>
      <w:r w:rsidRPr="00B04CF5">
        <w:t xml:space="preserve">The reporting phase entailed a comprehensive description of </w:t>
      </w:r>
      <w:r>
        <w:t>the data analysis process and outcome</w:t>
      </w:r>
      <w:r w:rsidRPr="00B04CF5">
        <w:t>s. The ensuing sections systematically presented and deliberated upon the results in alignment with the study's predefined objectives.</w:t>
      </w:r>
      <w:r>
        <w:t xml:space="preserve"> </w:t>
      </w:r>
    </w:p>
    <w:bookmarkEnd w:id="321"/>
    <w:p w14:paraId="1E91B4B2" w14:textId="0EB02534" w:rsidR="00624F32" w:rsidRPr="00716F2A" w:rsidRDefault="00624F32" w:rsidP="00160C64">
      <w:pPr>
        <w:ind w:left="0"/>
      </w:pPr>
      <w:r>
        <w:t xml:space="preserve">The quantitative data, on the other hand, was edited, coded, and imputed into the IBM Statistical Product and Service Solutions (SPSS) version 26 and cleaned before analyses were undertaken. These analyses involved statistical techniques such as descriptive statistics, participation index, and multinomial logistic regression. </w:t>
      </w:r>
      <w:bookmarkStart w:id="322" w:name="_Hlk164725470"/>
      <w:r>
        <w:t>Assessing the community’s level of participation was based on weighted scores from a set of questions on levels of Access, Awareness, Control and Benefit from the management process.</w:t>
      </w:r>
    </w:p>
    <w:p w14:paraId="56CDC2A4" w14:textId="14E5D0AD" w:rsidR="00ED2B41" w:rsidRDefault="00DF2BA5" w:rsidP="00160C64">
      <w:pPr>
        <w:spacing w:after="0"/>
        <w:ind w:left="0"/>
      </w:pPr>
      <w:r>
        <w:lastRenderedPageBreak/>
        <w:t xml:space="preserve"> The questions for the</w:t>
      </w:r>
      <w:r w:rsidR="00C529D4">
        <w:t xml:space="preserve"> categories of</w:t>
      </w:r>
      <w:r>
        <w:t xml:space="preserve"> </w:t>
      </w:r>
      <w:r w:rsidR="00405FED">
        <w:t>Access, Awareness, Control and Benefit levels</w:t>
      </w:r>
      <w:r>
        <w:t xml:space="preserve"> </w:t>
      </w:r>
      <w:r w:rsidR="00E37320">
        <w:t>are</w:t>
      </w:r>
      <w:r>
        <w:t xml:space="preserve"> provided in Appendi</w:t>
      </w:r>
      <w:r w:rsidR="00405FED">
        <w:t xml:space="preserve">ces </w:t>
      </w:r>
      <w:r w:rsidR="00EE6D49">
        <w:t>C</w:t>
      </w:r>
      <w:r w:rsidR="00405FED">
        <w:t>—e</w:t>
      </w:r>
      <w:r w:rsidR="00ED2B41">
        <w:t>ach of the four categories contain</w:t>
      </w:r>
      <w:r w:rsidR="00E37320">
        <w:t>ed</w:t>
      </w:r>
      <w:r w:rsidR="00ED2B41">
        <w:t xml:space="preserve"> eight </w:t>
      </w:r>
      <w:r w:rsidR="00405FED">
        <w:t>significant</w:t>
      </w:r>
      <w:r w:rsidR="00ED2B41">
        <w:t xml:space="preserve"> questions. A participant who answer</w:t>
      </w:r>
      <w:r w:rsidR="00E37320">
        <w:t>ed</w:t>
      </w:r>
      <w:r w:rsidR="00ED2B41">
        <w:t xml:space="preserve"> ‘yes’ to all eight questions in a category w</w:t>
      </w:r>
      <w:r w:rsidR="00E37320">
        <w:t>as</w:t>
      </w:r>
      <w:r w:rsidR="00ED2B41">
        <w:t xml:space="preserve"> assigned </w:t>
      </w:r>
      <w:r w:rsidR="00E37320">
        <w:t xml:space="preserve">a weight of </w:t>
      </w:r>
      <w:r w:rsidR="00ED2B41">
        <w:t>25 marks. Therefore,</w:t>
      </w:r>
      <w:r w:rsidR="009874B9">
        <w:t xml:space="preserve"> </w:t>
      </w:r>
      <w:r w:rsidR="00ED2B41">
        <w:t xml:space="preserve">the highest score a participant </w:t>
      </w:r>
      <w:r w:rsidR="00E37320">
        <w:t>could</w:t>
      </w:r>
      <w:r w:rsidR="00ED2B41">
        <w:t xml:space="preserve"> obtain on the index </w:t>
      </w:r>
      <w:r w:rsidR="00E37320">
        <w:t>was</w:t>
      </w:r>
      <w:r w:rsidR="00ED2B41">
        <w:t xml:space="preserve"> 100</w:t>
      </w:r>
      <w:r w:rsidR="00405FED">
        <w:t>,</w:t>
      </w:r>
      <w:r w:rsidR="00ED2B41">
        <w:t xml:space="preserve"> while the lowest score w</w:t>
      </w:r>
      <w:r w:rsidR="00E37320">
        <w:t>ould</w:t>
      </w:r>
      <w:r w:rsidR="00ED2B41">
        <w:t xml:space="preserve"> be zero. The </w:t>
      </w:r>
      <w:r w:rsidR="00405FED">
        <w:t>following formula guide</w:t>
      </w:r>
      <w:r w:rsidR="00C529D4">
        <w:t>d</w:t>
      </w:r>
      <w:r w:rsidR="00405FED">
        <w:t xml:space="preserve"> the conversion</w:t>
      </w:r>
      <w:r w:rsidR="00ED2B41">
        <w:t>:</w:t>
      </w:r>
    </w:p>
    <w:p w14:paraId="2EB0ED56" w14:textId="77777777" w:rsidR="00853384" w:rsidRDefault="00853384" w:rsidP="00772DAC">
      <w:pPr>
        <w:ind w:left="0" w:firstLine="0"/>
      </w:pPr>
      <w:r>
        <w:rPr>
          <w:noProof/>
          <w:lang w:val="en-US"/>
        </w:rPr>
        <w:drawing>
          <wp:inline distT="0" distB="0" distL="0" distR="0" wp14:anchorId="439E0AD6" wp14:editId="21129407">
            <wp:extent cx="1181100" cy="390525"/>
            <wp:effectExtent l="0" t="0" r="0" b="9525"/>
            <wp:docPr id="371747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81100" cy="390525"/>
                    </a:xfrm>
                    <a:prstGeom prst="rect">
                      <a:avLst/>
                    </a:prstGeom>
                    <a:noFill/>
                    <a:ln>
                      <a:noFill/>
                    </a:ln>
                  </pic:spPr>
                </pic:pic>
              </a:graphicData>
            </a:graphic>
          </wp:inline>
        </w:drawing>
      </w:r>
    </w:p>
    <w:p w14:paraId="548DDB53" w14:textId="77777777" w:rsidR="00663819" w:rsidRDefault="00663819" w:rsidP="006A3E36">
      <w:pPr>
        <w:spacing w:after="0"/>
        <w:ind w:left="0" w:firstLine="0"/>
      </w:pPr>
      <w:r>
        <w:t>Note:</w:t>
      </w:r>
      <w:r w:rsidR="00853384">
        <w:t xml:space="preserve"> P. I: Participation Index</w:t>
      </w:r>
    </w:p>
    <w:p w14:paraId="6123EC3F" w14:textId="5B7BF871" w:rsidR="00663819" w:rsidRDefault="00663819" w:rsidP="006A3E36">
      <w:pPr>
        <w:pStyle w:val="BodyText"/>
        <w:spacing w:after="0"/>
        <w:ind w:left="0" w:firstLine="0"/>
      </w:pPr>
      <w:bookmarkStart w:id="323" w:name="_Hlk145062209"/>
      <w:r>
        <w:t xml:space="preserve">Σ (F.X): </w:t>
      </w:r>
      <w:r w:rsidR="00853384">
        <w:t>Summation of s</w:t>
      </w:r>
      <w:r>
        <w:t>core</w:t>
      </w:r>
      <w:r w:rsidR="00853384">
        <w:t>s</w:t>
      </w:r>
      <w:r>
        <w:t xml:space="preserve"> for </w:t>
      </w:r>
      <w:r w:rsidR="00C529D4">
        <w:t xml:space="preserve">all four </w:t>
      </w:r>
      <w:r>
        <w:t>categori</w:t>
      </w:r>
      <w:r w:rsidR="00C529D4">
        <w:t>es</w:t>
      </w:r>
    </w:p>
    <w:bookmarkEnd w:id="323"/>
    <w:p w14:paraId="3A2B18B6" w14:textId="7C54E161" w:rsidR="002848FD" w:rsidRDefault="006A3E36" w:rsidP="006A3E36">
      <w:pPr>
        <w:pStyle w:val="BodyText"/>
        <w:spacing w:after="0"/>
        <w:ind w:left="0" w:firstLine="0"/>
      </w:pPr>
      <w:r>
        <w:tab/>
      </w:r>
      <w:r w:rsidR="002B3476">
        <w:t>The results</w:t>
      </w:r>
      <w:r w:rsidR="00E37320">
        <w:t xml:space="preserve"> were</w:t>
      </w:r>
      <w:r w:rsidR="002B3476">
        <w:t xml:space="preserve"> converted and confirmed </w:t>
      </w:r>
      <w:r w:rsidR="00D24B3E">
        <w:t>on</w:t>
      </w:r>
      <w:r w:rsidR="002B3476">
        <w:t xml:space="preserve"> </w:t>
      </w:r>
      <w:r w:rsidR="00ED2B41">
        <w:t xml:space="preserve">the </w:t>
      </w:r>
      <w:r w:rsidR="002B3476">
        <w:t xml:space="preserve">level of </w:t>
      </w:r>
      <w:r w:rsidR="00ED2B41">
        <w:t xml:space="preserve">citizen </w:t>
      </w:r>
      <w:r w:rsidR="002B3476">
        <w:t xml:space="preserve">participation (ladder participation). Conversion per-variable values </w:t>
      </w:r>
      <w:r w:rsidR="00ED2B41">
        <w:t>are</w:t>
      </w:r>
      <w:r w:rsidR="002B3476">
        <w:t xml:space="preserve"> presented in </w:t>
      </w:r>
      <w:r w:rsidR="00A77149">
        <w:t>T</w:t>
      </w:r>
      <w:r w:rsidR="002B3476">
        <w:t>able</w:t>
      </w:r>
      <w:r w:rsidR="00F07AAE">
        <w:t xml:space="preserve"> </w:t>
      </w:r>
      <w:r w:rsidR="006B5689">
        <w:t>4</w:t>
      </w:r>
      <w:r w:rsidR="002B3476">
        <w:t>.</w:t>
      </w:r>
    </w:p>
    <w:p w14:paraId="61DA6ABE" w14:textId="24121323" w:rsidR="002848FD" w:rsidRDefault="002848FD" w:rsidP="00C34F3A">
      <w:pPr>
        <w:pStyle w:val="LT"/>
      </w:pPr>
      <w:bookmarkStart w:id="324" w:name="_Toc197335668"/>
      <w:r>
        <w:t xml:space="preserve">Table </w:t>
      </w:r>
      <w:r w:rsidR="006B5689">
        <w:t>4</w:t>
      </w:r>
      <w:r>
        <w:t xml:space="preserve">: </w:t>
      </w:r>
      <w:r w:rsidRPr="002848FD">
        <w:t>Ladder Participation (Arnstein</w:t>
      </w:r>
      <w:r w:rsidR="007A738B">
        <w:t>, 1969</w:t>
      </w:r>
      <w:r w:rsidRPr="002848FD">
        <w:t>)</w:t>
      </w:r>
      <w:bookmarkEnd w:id="324"/>
    </w:p>
    <w:tbl>
      <w:tblPr>
        <w:tblpPr w:leftFromText="180" w:rightFromText="180" w:vertAnchor="text" w:horzAnchor="margin" w:tblpY="80"/>
        <w:tblOverlap w:val="never"/>
        <w:tblW w:w="6814" w:type="dxa"/>
        <w:tblLook w:val="04A0" w:firstRow="1" w:lastRow="0" w:firstColumn="1" w:lastColumn="0" w:noHBand="0" w:noVBand="1"/>
      </w:tblPr>
      <w:tblGrid>
        <w:gridCol w:w="2712"/>
        <w:gridCol w:w="4102"/>
      </w:tblGrid>
      <w:tr w:rsidR="006A3E36" w:rsidRPr="007A738B" w14:paraId="3AB629EC" w14:textId="77777777" w:rsidTr="006A3E36">
        <w:trPr>
          <w:trHeight w:val="331"/>
        </w:trPr>
        <w:tc>
          <w:tcPr>
            <w:tcW w:w="0" w:type="auto"/>
            <w:tcBorders>
              <w:top w:val="single" w:sz="4" w:space="0" w:color="auto"/>
              <w:bottom w:val="single" w:sz="4" w:space="0" w:color="auto"/>
            </w:tcBorders>
          </w:tcPr>
          <w:p w14:paraId="133DEFEA" w14:textId="77777777" w:rsidR="006A3E36" w:rsidRPr="007A738B" w:rsidRDefault="006A3E36" w:rsidP="006A3E36">
            <w:pPr>
              <w:pStyle w:val="BodyText"/>
              <w:spacing w:line="240" w:lineRule="auto"/>
              <w:ind w:left="0" w:firstLine="0"/>
              <w:rPr>
                <w:szCs w:val="20"/>
              </w:rPr>
            </w:pPr>
            <w:r w:rsidRPr="007A738B">
              <w:rPr>
                <w:sz w:val="22"/>
                <w:szCs w:val="20"/>
              </w:rPr>
              <w:t>Scores</w:t>
            </w:r>
          </w:p>
        </w:tc>
        <w:tc>
          <w:tcPr>
            <w:tcW w:w="0" w:type="auto"/>
            <w:tcBorders>
              <w:top w:val="single" w:sz="4" w:space="0" w:color="auto"/>
              <w:bottom w:val="single" w:sz="4" w:space="0" w:color="auto"/>
            </w:tcBorders>
          </w:tcPr>
          <w:p w14:paraId="4A29A545" w14:textId="77777777" w:rsidR="006A3E36" w:rsidRPr="007A738B" w:rsidRDefault="006A3E36" w:rsidP="006A3E36">
            <w:pPr>
              <w:pStyle w:val="BodyText"/>
              <w:spacing w:line="240" w:lineRule="auto"/>
              <w:ind w:left="0" w:firstLine="0"/>
              <w:rPr>
                <w:szCs w:val="20"/>
              </w:rPr>
            </w:pPr>
            <w:r w:rsidRPr="007A738B">
              <w:rPr>
                <w:sz w:val="22"/>
                <w:szCs w:val="20"/>
              </w:rPr>
              <w:t xml:space="preserve">Ladder Participation </w:t>
            </w:r>
          </w:p>
        </w:tc>
      </w:tr>
      <w:tr w:rsidR="006A3E36" w:rsidRPr="007A738B" w14:paraId="0CE45997" w14:textId="77777777" w:rsidTr="006A3E36">
        <w:trPr>
          <w:trHeight w:val="648"/>
        </w:trPr>
        <w:tc>
          <w:tcPr>
            <w:tcW w:w="0" w:type="auto"/>
            <w:tcBorders>
              <w:top w:val="single" w:sz="4" w:space="0" w:color="auto"/>
            </w:tcBorders>
          </w:tcPr>
          <w:p w14:paraId="7973251D" w14:textId="77777777" w:rsidR="006A3E36" w:rsidRPr="007A738B" w:rsidRDefault="006A3E36" w:rsidP="00AD618E">
            <w:pPr>
              <w:pStyle w:val="BodyText"/>
              <w:spacing w:after="0" w:line="240" w:lineRule="auto"/>
              <w:ind w:left="0" w:firstLine="0"/>
              <w:rPr>
                <w:szCs w:val="20"/>
              </w:rPr>
            </w:pPr>
            <w:r>
              <w:rPr>
                <w:sz w:val="22"/>
                <w:szCs w:val="20"/>
              </w:rPr>
              <w:t>87.56</w:t>
            </w:r>
            <w:r w:rsidRPr="007A738B">
              <w:rPr>
                <w:sz w:val="22"/>
                <w:szCs w:val="20"/>
              </w:rPr>
              <w:t>-</w:t>
            </w:r>
            <w:r>
              <w:rPr>
                <w:sz w:val="22"/>
                <w:szCs w:val="20"/>
              </w:rPr>
              <w:t>100</w:t>
            </w:r>
            <w:r w:rsidRPr="007A738B">
              <w:rPr>
                <w:sz w:val="22"/>
                <w:szCs w:val="20"/>
              </w:rPr>
              <w:t xml:space="preserve"> </w:t>
            </w:r>
          </w:p>
          <w:p w14:paraId="5163B655" w14:textId="77777777" w:rsidR="006A3E36" w:rsidRPr="007A738B" w:rsidRDefault="006A3E36" w:rsidP="00AD618E">
            <w:pPr>
              <w:pStyle w:val="BodyText"/>
              <w:spacing w:after="0" w:line="240" w:lineRule="auto"/>
              <w:ind w:left="0" w:firstLine="0"/>
              <w:rPr>
                <w:szCs w:val="20"/>
              </w:rPr>
            </w:pPr>
          </w:p>
        </w:tc>
        <w:tc>
          <w:tcPr>
            <w:tcW w:w="0" w:type="auto"/>
            <w:tcBorders>
              <w:top w:val="single" w:sz="4" w:space="0" w:color="auto"/>
            </w:tcBorders>
          </w:tcPr>
          <w:p w14:paraId="7956AAD3" w14:textId="77777777" w:rsidR="006A3E36" w:rsidRPr="007A738B" w:rsidRDefault="006A3E36" w:rsidP="00AD618E">
            <w:pPr>
              <w:pStyle w:val="BodyText"/>
              <w:spacing w:after="0" w:line="240" w:lineRule="auto"/>
              <w:ind w:left="0" w:firstLine="0"/>
              <w:rPr>
                <w:szCs w:val="20"/>
              </w:rPr>
            </w:pPr>
            <w:r w:rsidRPr="007A738B">
              <w:rPr>
                <w:sz w:val="22"/>
                <w:szCs w:val="20"/>
              </w:rPr>
              <w:t>Citizen Control</w:t>
            </w:r>
          </w:p>
        </w:tc>
      </w:tr>
      <w:tr w:rsidR="006A3E36" w:rsidRPr="007A738B" w14:paraId="1E46841B" w14:textId="77777777" w:rsidTr="00C34F3A">
        <w:trPr>
          <w:trHeight w:val="119"/>
        </w:trPr>
        <w:tc>
          <w:tcPr>
            <w:tcW w:w="0" w:type="auto"/>
          </w:tcPr>
          <w:p w14:paraId="2F4DAFED" w14:textId="77777777" w:rsidR="006A3E36" w:rsidRPr="007A738B" w:rsidRDefault="006A3E36" w:rsidP="00AD618E">
            <w:pPr>
              <w:pStyle w:val="BodyText"/>
              <w:spacing w:after="0" w:line="240" w:lineRule="auto"/>
              <w:ind w:left="0" w:firstLine="0"/>
              <w:rPr>
                <w:szCs w:val="20"/>
              </w:rPr>
            </w:pPr>
            <w:r>
              <w:rPr>
                <w:sz w:val="22"/>
                <w:szCs w:val="20"/>
              </w:rPr>
              <w:t>75.05-87.55</w:t>
            </w:r>
          </w:p>
        </w:tc>
        <w:tc>
          <w:tcPr>
            <w:tcW w:w="0" w:type="auto"/>
          </w:tcPr>
          <w:p w14:paraId="5262E82B" w14:textId="77777777" w:rsidR="006A3E36" w:rsidRPr="007A738B" w:rsidRDefault="006A3E36" w:rsidP="00AD618E">
            <w:pPr>
              <w:pStyle w:val="BodyText"/>
              <w:spacing w:after="0" w:line="240" w:lineRule="auto"/>
              <w:ind w:left="0" w:firstLine="0"/>
              <w:rPr>
                <w:szCs w:val="20"/>
              </w:rPr>
            </w:pPr>
            <w:r w:rsidRPr="007A738B">
              <w:rPr>
                <w:sz w:val="22"/>
                <w:szCs w:val="20"/>
              </w:rPr>
              <w:t>Delegated Power</w:t>
            </w:r>
          </w:p>
          <w:p w14:paraId="3771A7FE" w14:textId="77777777" w:rsidR="006A3E36" w:rsidRPr="007A738B" w:rsidRDefault="006A3E36" w:rsidP="00AD618E">
            <w:pPr>
              <w:pStyle w:val="BodyText"/>
              <w:spacing w:after="0" w:line="240" w:lineRule="auto"/>
              <w:ind w:left="0" w:firstLine="0"/>
              <w:rPr>
                <w:szCs w:val="20"/>
              </w:rPr>
            </w:pPr>
          </w:p>
        </w:tc>
      </w:tr>
      <w:tr w:rsidR="006A3E36" w:rsidRPr="007A738B" w14:paraId="4773BD9D" w14:textId="77777777" w:rsidTr="006A3E36">
        <w:trPr>
          <w:trHeight w:val="664"/>
        </w:trPr>
        <w:tc>
          <w:tcPr>
            <w:tcW w:w="0" w:type="auto"/>
          </w:tcPr>
          <w:p w14:paraId="1246C891" w14:textId="77777777" w:rsidR="006A3E36" w:rsidRPr="007A738B" w:rsidRDefault="006A3E36" w:rsidP="00AD618E">
            <w:pPr>
              <w:pStyle w:val="BodyText"/>
              <w:spacing w:after="0" w:line="240" w:lineRule="auto"/>
              <w:ind w:left="0" w:firstLine="0"/>
              <w:rPr>
                <w:szCs w:val="20"/>
              </w:rPr>
            </w:pPr>
            <w:r>
              <w:rPr>
                <w:sz w:val="22"/>
                <w:szCs w:val="20"/>
              </w:rPr>
              <w:t>62.54</w:t>
            </w:r>
            <w:r w:rsidRPr="007A738B">
              <w:rPr>
                <w:sz w:val="22"/>
                <w:szCs w:val="20"/>
              </w:rPr>
              <w:t>-</w:t>
            </w:r>
            <w:r>
              <w:rPr>
                <w:sz w:val="22"/>
                <w:szCs w:val="20"/>
              </w:rPr>
              <w:t>75.04</w:t>
            </w:r>
          </w:p>
        </w:tc>
        <w:tc>
          <w:tcPr>
            <w:tcW w:w="0" w:type="auto"/>
          </w:tcPr>
          <w:p w14:paraId="40892477" w14:textId="77777777" w:rsidR="006A3E36" w:rsidRPr="007A738B" w:rsidRDefault="006A3E36" w:rsidP="00AD618E">
            <w:pPr>
              <w:pStyle w:val="BodyText"/>
              <w:spacing w:after="0" w:line="240" w:lineRule="auto"/>
              <w:ind w:left="0" w:firstLine="0"/>
              <w:rPr>
                <w:szCs w:val="20"/>
              </w:rPr>
            </w:pPr>
            <w:r w:rsidRPr="007A738B">
              <w:rPr>
                <w:sz w:val="22"/>
                <w:szCs w:val="20"/>
              </w:rPr>
              <w:t>Partnership</w:t>
            </w:r>
          </w:p>
          <w:p w14:paraId="6848AF23" w14:textId="77777777" w:rsidR="006A3E36" w:rsidRPr="007A738B" w:rsidRDefault="006A3E36" w:rsidP="00AD618E">
            <w:pPr>
              <w:pStyle w:val="BodyText"/>
              <w:spacing w:after="0" w:line="240" w:lineRule="auto"/>
              <w:ind w:left="0" w:firstLine="0"/>
              <w:rPr>
                <w:szCs w:val="20"/>
              </w:rPr>
            </w:pPr>
          </w:p>
        </w:tc>
      </w:tr>
      <w:tr w:rsidR="006A3E36" w:rsidRPr="007A738B" w14:paraId="45F43F8E" w14:textId="77777777" w:rsidTr="006A3E36">
        <w:trPr>
          <w:trHeight w:val="664"/>
        </w:trPr>
        <w:tc>
          <w:tcPr>
            <w:tcW w:w="0" w:type="auto"/>
          </w:tcPr>
          <w:p w14:paraId="3E3DF917" w14:textId="77777777" w:rsidR="006A3E36" w:rsidRPr="007A738B" w:rsidRDefault="006A3E36" w:rsidP="00AD618E">
            <w:pPr>
              <w:pStyle w:val="BodyText"/>
              <w:spacing w:after="0" w:line="240" w:lineRule="auto"/>
              <w:ind w:left="0" w:firstLine="0"/>
              <w:rPr>
                <w:szCs w:val="20"/>
              </w:rPr>
            </w:pPr>
            <w:r>
              <w:rPr>
                <w:sz w:val="22"/>
                <w:szCs w:val="20"/>
              </w:rPr>
              <w:t>50.03</w:t>
            </w:r>
            <w:r w:rsidRPr="007A738B">
              <w:rPr>
                <w:sz w:val="22"/>
                <w:szCs w:val="20"/>
              </w:rPr>
              <w:t>-</w:t>
            </w:r>
            <w:r>
              <w:rPr>
                <w:sz w:val="22"/>
                <w:szCs w:val="20"/>
              </w:rPr>
              <w:t xml:space="preserve"> 62.53</w:t>
            </w:r>
          </w:p>
        </w:tc>
        <w:tc>
          <w:tcPr>
            <w:tcW w:w="0" w:type="auto"/>
          </w:tcPr>
          <w:p w14:paraId="6A89C503" w14:textId="77777777" w:rsidR="006A3E36" w:rsidRPr="007A738B" w:rsidRDefault="006A3E36" w:rsidP="00AD618E">
            <w:pPr>
              <w:pStyle w:val="BodyText"/>
              <w:spacing w:after="0" w:line="240" w:lineRule="auto"/>
              <w:ind w:left="0" w:firstLine="0"/>
              <w:rPr>
                <w:szCs w:val="20"/>
              </w:rPr>
            </w:pPr>
            <w:r w:rsidRPr="007A738B">
              <w:rPr>
                <w:sz w:val="22"/>
                <w:szCs w:val="20"/>
              </w:rPr>
              <w:t>Placation</w:t>
            </w:r>
          </w:p>
          <w:p w14:paraId="4258063E" w14:textId="77777777" w:rsidR="006A3E36" w:rsidRPr="007A738B" w:rsidRDefault="006A3E36" w:rsidP="00AD618E">
            <w:pPr>
              <w:pStyle w:val="BodyText"/>
              <w:spacing w:after="0" w:line="240" w:lineRule="auto"/>
              <w:ind w:left="0" w:firstLine="0"/>
              <w:rPr>
                <w:szCs w:val="20"/>
              </w:rPr>
            </w:pPr>
          </w:p>
        </w:tc>
      </w:tr>
      <w:tr w:rsidR="006A3E36" w:rsidRPr="007A738B" w14:paraId="3C5BCE02" w14:textId="77777777" w:rsidTr="006A3E36">
        <w:trPr>
          <w:trHeight w:val="664"/>
        </w:trPr>
        <w:tc>
          <w:tcPr>
            <w:tcW w:w="0" w:type="auto"/>
          </w:tcPr>
          <w:p w14:paraId="46370BEB" w14:textId="77777777" w:rsidR="006A3E36" w:rsidRPr="007A738B" w:rsidRDefault="006A3E36" w:rsidP="00AD618E">
            <w:pPr>
              <w:pStyle w:val="BodyText"/>
              <w:spacing w:after="0" w:line="240" w:lineRule="auto"/>
              <w:ind w:left="0" w:firstLine="0"/>
              <w:rPr>
                <w:szCs w:val="20"/>
              </w:rPr>
            </w:pPr>
            <w:r>
              <w:rPr>
                <w:sz w:val="22"/>
                <w:szCs w:val="20"/>
              </w:rPr>
              <w:t>37.52</w:t>
            </w:r>
            <w:r w:rsidRPr="007A738B">
              <w:rPr>
                <w:sz w:val="22"/>
                <w:szCs w:val="20"/>
              </w:rPr>
              <w:t>-</w:t>
            </w:r>
            <w:r>
              <w:rPr>
                <w:sz w:val="22"/>
                <w:szCs w:val="20"/>
              </w:rPr>
              <w:t>50.02</w:t>
            </w:r>
          </w:p>
        </w:tc>
        <w:tc>
          <w:tcPr>
            <w:tcW w:w="0" w:type="auto"/>
          </w:tcPr>
          <w:p w14:paraId="48D10E56" w14:textId="77777777" w:rsidR="006A3E36" w:rsidRPr="007A738B" w:rsidRDefault="006A3E36" w:rsidP="00AD618E">
            <w:pPr>
              <w:pStyle w:val="BodyText"/>
              <w:spacing w:after="0" w:line="240" w:lineRule="auto"/>
              <w:ind w:left="0" w:firstLine="0"/>
              <w:rPr>
                <w:szCs w:val="20"/>
              </w:rPr>
            </w:pPr>
            <w:r w:rsidRPr="007A738B">
              <w:rPr>
                <w:sz w:val="22"/>
                <w:szCs w:val="20"/>
              </w:rPr>
              <w:t>Consultation</w:t>
            </w:r>
          </w:p>
          <w:p w14:paraId="171FDC86" w14:textId="77777777" w:rsidR="006A3E36" w:rsidRPr="007A738B" w:rsidRDefault="006A3E36" w:rsidP="00AD618E">
            <w:pPr>
              <w:pStyle w:val="BodyText"/>
              <w:spacing w:after="0" w:line="240" w:lineRule="auto"/>
              <w:ind w:left="0" w:firstLine="0"/>
              <w:rPr>
                <w:szCs w:val="20"/>
              </w:rPr>
            </w:pPr>
          </w:p>
        </w:tc>
      </w:tr>
      <w:tr w:rsidR="006A3E36" w:rsidRPr="007A738B" w14:paraId="77871655" w14:textId="77777777" w:rsidTr="006A3E36">
        <w:trPr>
          <w:trHeight w:val="331"/>
        </w:trPr>
        <w:tc>
          <w:tcPr>
            <w:tcW w:w="0" w:type="auto"/>
          </w:tcPr>
          <w:p w14:paraId="28FAE796" w14:textId="77777777" w:rsidR="006A3E36" w:rsidRPr="007A738B" w:rsidRDefault="006A3E36" w:rsidP="00AD618E">
            <w:pPr>
              <w:pStyle w:val="BodyText"/>
              <w:spacing w:after="0" w:line="240" w:lineRule="auto"/>
              <w:ind w:left="0" w:firstLine="0"/>
              <w:rPr>
                <w:szCs w:val="20"/>
              </w:rPr>
            </w:pPr>
            <w:r>
              <w:rPr>
                <w:sz w:val="22"/>
                <w:szCs w:val="20"/>
              </w:rPr>
              <w:t>25.1</w:t>
            </w:r>
            <w:r w:rsidRPr="007A738B">
              <w:rPr>
                <w:sz w:val="22"/>
                <w:szCs w:val="20"/>
              </w:rPr>
              <w:t>-</w:t>
            </w:r>
            <w:r>
              <w:rPr>
                <w:sz w:val="22"/>
                <w:szCs w:val="20"/>
              </w:rPr>
              <w:t>37.51</w:t>
            </w:r>
          </w:p>
        </w:tc>
        <w:tc>
          <w:tcPr>
            <w:tcW w:w="0" w:type="auto"/>
          </w:tcPr>
          <w:p w14:paraId="3C933C8F" w14:textId="77777777" w:rsidR="006A3E36" w:rsidRPr="007A738B" w:rsidRDefault="006A3E36" w:rsidP="00AD618E">
            <w:pPr>
              <w:pStyle w:val="BodyText"/>
              <w:spacing w:after="0" w:line="240" w:lineRule="auto"/>
              <w:ind w:left="0" w:firstLine="0"/>
              <w:rPr>
                <w:szCs w:val="20"/>
              </w:rPr>
            </w:pPr>
            <w:r w:rsidRPr="007A738B">
              <w:rPr>
                <w:sz w:val="22"/>
                <w:szCs w:val="20"/>
              </w:rPr>
              <w:t>Informing</w:t>
            </w:r>
          </w:p>
        </w:tc>
      </w:tr>
      <w:tr w:rsidR="006A3E36" w:rsidRPr="007A738B" w14:paraId="3E2E5728" w14:textId="77777777" w:rsidTr="006A3E36">
        <w:trPr>
          <w:trHeight w:val="664"/>
        </w:trPr>
        <w:tc>
          <w:tcPr>
            <w:tcW w:w="0" w:type="auto"/>
          </w:tcPr>
          <w:p w14:paraId="1470B9A9" w14:textId="77777777" w:rsidR="006A3E36" w:rsidRPr="007A738B" w:rsidRDefault="006A3E36" w:rsidP="00AD618E">
            <w:pPr>
              <w:pStyle w:val="BodyText"/>
              <w:spacing w:after="0" w:line="240" w:lineRule="auto"/>
              <w:ind w:left="0" w:firstLine="0"/>
              <w:rPr>
                <w:szCs w:val="20"/>
              </w:rPr>
            </w:pPr>
            <w:r>
              <w:rPr>
                <w:sz w:val="22"/>
                <w:szCs w:val="20"/>
              </w:rPr>
              <w:t>12.51</w:t>
            </w:r>
            <w:r w:rsidRPr="007A738B">
              <w:rPr>
                <w:sz w:val="22"/>
                <w:szCs w:val="20"/>
              </w:rPr>
              <w:t>-</w:t>
            </w:r>
            <w:r>
              <w:rPr>
                <w:sz w:val="22"/>
                <w:szCs w:val="20"/>
              </w:rPr>
              <w:t>25</w:t>
            </w:r>
            <w:r w:rsidRPr="007A738B">
              <w:rPr>
                <w:sz w:val="22"/>
                <w:szCs w:val="20"/>
              </w:rPr>
              <w:t xml:space="preserve"> </w:t>
            </w:r>
          </w:p>
          <w:p w14:paraId="438F48C2" w14:textId="77777777" w:rsidR="006A3E36" w:rsidRPr="007A738B" w:rsidRDefault="006A3E36" w:rsidP="00AD618E">
            <w:pPr>
              <w:pStyle w:val="BodyText"/>
              <w:spacing w:after="0" w:line="240" w:lineRule="auto"/>
              <w:ind w:left="0" w:firstLine="0"/>
              <w:rPr>
                <w:szCs w:val="20"/>
              </w:rPr>
            </w:pPr>
          </w:p>
        </w:tc>
        <w:tc>
          <w:tcPr>
            <w:tcW w:w="0" w:type="auto"/>
          </w:tcPr>
          <w:p w14:paraId="6AE71570" w14:textId="77777777" w:rsidR="006A3E36" w:rsidRPr="007A738B" w:rsidRDefault="006A3E36" w:rsidP="00AD618E">
            <w:pPr>
              <w:pStyle w:val="BodyText"/>
              <w:spacing w:after="0" w:line="240" w:lineRule="auto"/>
              <w:ind w:left="0" w:firstLine="0"/>
              <w:rPr>
                <w:szCs w:val="20"/>
              </w:rPr>
            </w:pPr>
            <w:r w:rsidRPr="007A738B">
              <w:rPr>
                <w:sz w:val="22"/>
                <w:szCs w:val="20"/>
              </w:rPr>
              <w:t>Therapy</w:t>
            </w:r>
          </w:p>
        </w:tc>
      </w:tr>
      <w:tr w:rsidR="006A3E36" w:rsidRPr="007A738B" w14:paraId="7C7B8440" w14:textId="77777777" w:rsidTr="006A3E36">
        <w:trPr>
          <w:trHeight w:val="316"/>
        </w:trPr>
        <w:tc>
          <w:tcPr>
            <w:tcW w:w="0" w:type="auto"/>
            <w:tcBorders>
              <w:bottom w:val="single" w:sz="4" w:space="0" w:color="auto"/>
            </w:tcBorders>
          </w:tcPr>
          <w:p w14:paraId="12D281E9" w14:textId="77777777" w:rsidR="006A3E36" w:rsidRPr="007A738B" w:rsidRDefault="006A3E36" w:rsidP="00AD618E">
            <w:pPr>
              <w:pStyle w:val="BodyText"/>
              <w:spacing w:after="0" w:line="240" w:lineRule="auto"/>
              <w:ind w:left="0" w:firstLine="0"/>
              <w:rPr>
                <w:szCs w:val="20"/>
              </w:rPr>
            </w:pPr>
            <w:r w:rsidRPr="007A738B">
              <w:rPr>
                <w:sz w:val="22"/>
                <w:szCs w:val="20"/>
              </w:rPr>
              <w:t xml:space="preserve">0 - </w:t>
            </w:r>
            <w:r>
              <w:rPr>
                <w:sz w:val="22"/>
                <w:szCs w:val="20"/>
              </w:rPr>
              <w:t>12</w:t>
            </w:r>
            <w:r w:rsidRPr="007A738B">
              <w:rPr>
                <w:sz w:val="22"/>
                <w:szCs w:val="20"/>
              </w:rPr>
              <w:t>.50</w:t>
            </w:r>
          </w:p>
        </w:tc>
        <w:tc>
          <w:tcPr>
            <w:tcW w:w="0" w:type="auto"/>
            <w:tcBorders>
              <w:bottom w:val="single" w:sz="4" w:space="0" w:color="auto"/>
            </w:tcBorders>
          </w:tcPr>
          <w:p w14:paraId="30CE7C18" w14:textId="77777777" w:rsidR="006A3E36" w:rsidRPr="007A738B" w:rsidRDefault="006A3E36" w:rsidP="00AD618E">
            <w:pPr>
              <w:pStyle w:val="BodyText"/>
              <w:spacing w:after="0" w:line="240" w:lineRule="auto"/>
              <w:ind w:left="0" w:firstLine="0"/>
              <w:rPr>
                <w:szCs w:val="20"/>
              </w:rPr>
            </w:pPr>
            <w:r w:rsidRPr="007A738B">
              <w:rPr>
                <w:sz w:val="22"/>
                <w:szCs w:val="20"/>
              </w:rPr>
              <w:t>Manipulation</w:t>
            </w:r>
          </w:p>
        </w:tc>
      </w:tr>
    </w:tbl>
    <w:p w14:paraId="298D7BCB" w14:textId="77777777" w:rsidR="002848FD" w:rsidRDefault="002848FD" w:rsidP="00772DAC">
      <w:pPr>
        <w:pStyle w:val="BodyText"/>
        <w:ind w:left="0" w:firstLine="0"/>
      </w:pPr>
    </w:p>
    <w:p w14:paraId="33D2EDFE" w14:textId="5CA47FE6" w:rsidR="00AA6D33" w:rsidRDefault="00AA6D33" w:rsidP="00772DAC">
      <w:pPr>
        <w:pStyle w:val="BodyText"/>
        <w:ind w:left="0" w:firstLine="0"/>
      </w:pPr>
      <w:r>
        <w:tab/>
      </w:r>
    </w:p>
    <w:p w14:paraId="4CB31761" w14:textId="77777777" w:rsidR="00430853" w:rsidRDefault="00430853" w:rsidP="00772DAC">
      <w:pPr>
        <w:pStyle w:val="BodyText"/>
        <w:ind w:left="0" w:firstLine="0"/>
      </w:pPr>
    </w:p>
    <w:p w14:paraId="1FEAC451" w14:textId="77777777" w:rsidR="00430853" w:rsidRDefault="00430853" w:rsidP="00772DAC">
      <w:pPr>
        <w:pStyle w:val="BodyText"/>
        <w:ind w:left="0" w:firstLine="0"/>
      </w:pPr>
    </w:p>
    <w:p w14:paraId="43FDAF30" w14:textId="77777777" w:rsidR="00430853" w:rsidRDefault="00430853" w:rsidP="00772DAC">
      <w:pPr>
        <w:pStyle w:val="BodyText"/>
        <w:ind w:left="0" w:firstLine="0"/>
      </w:pPr>
    </w:p>
    <w:p w14:paraId="2AC4400D" w14:textId="77777777" w:rsidR="00430853" w:rsidRDefault="00430853" w:rsidP="00772DAC">
      <w:pPr>
        <w:pStyle w:val="BodyText"/>
        <w:ind w:left="0" w:firstLine="0"/>
      </w:pPr>
    </w:p>
    <w:p w14:paraId="54A2F5B7" w14:textId="77777777" w:rsidR="00430853" w:rsidRDefault="00430853" w:rsidP="00772DAC">
      <w:pPr>
        <w:pStyle w:val="BodyText"/>
        <w:ind w:left="0" w:firstLine="0"/>
      </w:pPr>
    </w:p>
    <w:p w14:paraId="00B2A94F" w14:textId="77777777" w:rsidR="00430853" w:rsidRDefault="00430853" w:rsidP="00772DAC">
      <w:pPr>
        <w:pStyle w:val="BodyText"/>
        <w:ind w:left="0" w:firstLine="0"/>
      </w:pPr>
    </w:p>
    <w:p w14:paraId="12DB0E9C" w14:textId="1EB70FFE" w:rsidR="00430853" w:rsidRDefault="00AA6D33" w:rsidP="00430853">
      <w:pPr>
        <w:pStyle w:val="BodyText"/>
        <w:ind w:left="0" w:firstLine="0"/>
      </w:pPr>
      <w:r>
        <w:t xml:space="preserve">Source: </w:t>
      </w:r>
      <w:r w:rsidR="00AD618E">
        <w:t>Yani</w:t>
      </w:r>
      <w:r>
        <w:t xml:space="preserve"> et al. (20</w:t>
      </w:r>
      <w:r w:rsidR="00AD618E">
        <w:t>17</w:t>
      </w:r>
      <w:r>
        <w:t>)</w:t>
      </w:r>
      <w:r>
        <w:tab/>
      </w:r>
      <w:r w:rsidR="006A3E36">
        <w:tab/>
      </w:r>
      <w:bookmarkEnd w:id="299"/>
    </w:p>
    <w:p w14:paraId="07636911" w14:textId="77777777" w:rsidR="004C0536" w:rsidRDefault="0000114D" w:rsidP="00430853">
      <w:pPr>
        <w:spacing w:after="0"/>
        <w:ind w:left="0"/>
      </w:pPr>
      <w:proofErr w:type="spellStart"/>
      <w:r>
        <w:lastRenderedPageBreak/>
        <w:t>Arsntein's</w:t>
      </w:r>
      <w:proofErr w:type="spellEnd"/>
      <w:r>
        <w:t xml:space="preserve"> (1969) ladder of participation, an 8-point scale for measurement which could be reduced to three categories</w:t>
      </w:r>
      <w:r w:rsidR="00AD618E">
        <w:t>;</w:t>
      </w:r>
      <w:r>
        <w:t xml:space="preserve"> non-participation, tokenism and citizen control, became the dependent variable while </w:t>
      </w:r>
      <w:r w:rsidR="00AD618E">
        <w:t xml:space="preserve">participant </w:t>
      </w:r>
      <w:r>
        <w:t xml:space="preserve">socio-demographic characteristics constituted the independent variables in the study’s hypothesis testing. Descriptive statistics were used to present respondents’ sociodemographic characteristics. </w:t>
      </w:r>
    </w:p>
    <w:p w14:paraId="32D8FC7C" w14:textId="698F335F" w:rsidR="0000114D" w:rsidRPr="00391088" w:rsidRDefault="0000114D" w:rsidP="00430853">
      <w:pPr>
        <w:spacing w:after="0"/>
        <w:ind w:left="0"/>
        <w:rPr>
          <w:rStyle w:val="markedcontent"/>
          <w:rFonts w:cs="Times New Roman"/>
        </w:rPr>
      </w:pPr>
      <w:r>
        <w:t>In addition, t</w:t>
      </w:r>
      <w:r>
        <w:rPr>
          <w:rStyle w:val="markedcontent"/>
        </w:rPr>
        <w:t xml:space="preserve">he study contained categorical variables, such as levels of education, access to forestry training, whether a participant was a leader, and whether a participant belonged to a group. As espoused by White (2004), this study employed a contingency table or cross-tabulation to compare these variables against levels of participation </w:t>
      </w:r>
      <w:r w:rsidR="00AD618E">
        <w:rPr>
          <w:rStyle w:val="markedcontent"/>
        </w:rPr>
        <w:t xml:space="preserve">to understand the dynamics of these variables </w:t>
      </w:r>
      <w:proofErr w:type="gramStart"/>
      <w:r w:rsidR="00AD618E">
        <w:rPr>
          <w:rStyle w:val="markedcontent"/>
        </w:rPr>
        <w:t>and also</w:t>
      </w:r>
      <w:proofErr w:type="gramEnd"/>
      <w:r w:rsidR="00AD618E">
        <w:rPr>
          <w:rStyle w:val="markedcontent"/>
        </w:rPr>
        <w:t xml:space="preserve"> </w:t>
      </w:r>
      <w:r>
        <w:rPr>
          <w:rStyle w:val="markedcontent"/>
        </w:rPr>
        <w:t xml:space="preserve">to reveal the distribution of various participants </w:t>
      </w:r>
      <w:r w:rsidR="00E5573C">
        <w:rPr>
          <w:rStyle w:val="markedcontent"/>
        </w:rPr>
        <w:t xml:space="preserve">in terms of the sociodemographic features </w:t>
      </w:r>
      <w:r>
        <w:rPr>
          <w:rStyle w:val="markedcontent"/>
        </w:rPr>
        <w:t>across the three levels of participation in the reserves.</w:t>
      </w:r>
      <w:bookmarkEnd w:id="322"/>
      <w:r>
        <w:rPr>
          <w:rStyle w:val="markedcontent"/>
        </w:rPr>
        <w:t xml:space="preserve"> </w:t>
      </w:r>
      <w:r w:rsidR="00391088" w:rsidRPr="00391088">
        <w:rPr>
          <w:rFonts w:cs="Times New Roman"/>
        </w:rPr>
        <w:t>The dependent variable for the fourth objective was measured on the ordinal scale, given one or more explanatory variables which could be categorical, ordinal or continuous. Given the polychotomous and ordinal nature of the dependent variable, levels of participation, the suitable model often used to</w:t>
      </w:r>
      <w:r w:rsidR="00391088">
        <w:rPr>
          <w:rFonts w:cs="Times New Roman"/>
        </w:rPr>
        <w:t xml:space="preserve"> </w:t>
      </w:r>
      <w:r w:rsidR="00391088" w:rsidRPr="00391088">
        <w:rPr>
          <w:rFonts w:cs="Times New Roman"/>
        </w:rPr>
        <w:t>preserve information about the ordering of the</w:t>
      </w:r>
      <w:r w:rsidR="00391088">
        <w:rPr>
          <w:rFonts w:cs="Times New Roman"/>
        </w:rPr>
        <w:t xml:space="preserve"> </w:t>
      </w:r>
      <w:r w:rsidR="00391088" w:rsidRPr="00391088">
        <w:rPr>
          <w:rFonts w:cs="Times New Roman"/>
        </w:rPr>
        <w:t xml:space="preserve">categories of the dependent variable is the ordinal logistic regression model. An important assumption that must be met in the use of the ordinal logistic regression is the Test of Parallel lines. The </w:t>
      </w:r>
      <w:r w:rsidR="006B5689" w:rsidRPr="00391088">
        <w:rPr>
          <w:rFonts w:cs="Times New Roman"/>
        </w:rPr>
        <w:t>result</w:t>
      </w:r>
      <w:r w:rsidR="00391088" w:rsidRPr="00391088">
        <w:rPr>
          <w:rFonts w:cs="Times New Roman"/>
        </w:rPr>
        <w:t xml:space="preserve"> of the test is presented in Table</w:t>
      </w:r>
      <w:r w:rsidR="00391088">
        <w:rPr>
          <w:rFonts w:cs="Times New Roman"/>
        </w:rPr>
        <w:t xml:space="preserve"> </w:t>
      </w:r>
      <w:r w:rsidR="006B5689">
        <w:rPr>
          <w:rFonts w:cs="Times New Roman"/>
        </w:rPr>
        <w:t>5</w:t>
      </w:r>
      <w:r w:rsidR="00391088">
        <w:rPr>
          <w:rFonts w:cs="Times New Roman"/>
        </w:rPr>
        <w:t>.</w:t>
      </w:r>
    </w:p>
    <w:p w14:paraId="62F1372B" w14:textId="77777777" w:rsidR="008F7D23" w:rsidRDefault="008F7D23">
      <w:bookmarkStart w:id="325" w:name="_Toc197335669"/>
      <w:r>
        <w:rPr>
          <w:b/>
          <w:bCs/>
        </w:rPr>
        <w:br w:type="page"/>
      </w:r>
    </w:p>
    <w:tbl>
      <w:tblPr>
        <w:tblW w:w="6435" w:type="dxa"/>
        <w:tblInd w:w="-10" w:type="dxa"/>
        <w:tblLayout w:type="fixed"/>
        <w:tblCellMar>
          <w:left w:w="0" w:type="dxa"/>
          <w:right w:w="0" w:type="dxa"/>
        </w:tblCellMar>
        <w:tblLook w:val="0000" w:firstRow="0" w:lastRow="0" w:firstColumn="0" w:lastColumn="0" w:noHBand="0" w:noVBand="0"/>
      </w:tblPr>
      <w:tblGrid>
        <w:gridCol w:w="10"/>
        <w:gridCol w:w="1630"/>
        <w:gridCol w:w="1476"/>
        <w:gridCol w:w="1261"/>
        <w:gridCol w:w="1029"/>
        <w:gridCol w:w="1029"/>
      </w:tblGrid>
      <w:tr w:rsidR="00391088" w:rsidRPr="00A65047" w14:paraId="6F3BEABD" w14:textId="77777777" w:rsidTr="00391088">
        <w:trPr>
          <w:gridBefore w:val="1"/>
          <w:wBefore w:w="10" w:type="dxa"/>
          <w:cantSplit/>
        </w:trPr>
        <w:tc>
          <w:tcPr>
            <w:tcW w:w="6425" w:type="dxa"/>
            <w:gridSpan w:val="5"/>
            <w:tcBorders>
              <w:bottom w:val="single" w:sz="4" w:space="0" w:color="auto"/>
            </w:tcBorders>
            <w:shd w:val="clear" w:color="auto" w:fill="auto"/>
            <w:vAlign w:val="center"/>
          </w:tcPr>
          <w:p w14:paraId="11C28A2F" w14:textId="4C43DFE5" w:rsidR="00391088" w:rsidRPr="00A65047" w:rsidRDefault="00391088" w:rsidP="00C34F3A">
            <w:pPr>
              <w:pStyle w:val="LT"/>
            </w:pPr>
            <w:r w:rsidRPr="00AC5EBC">
              <w:lastRenderedPageBreak/>
              <w:t xml:space="preserve">Table </w:t>
            </w:r>
            <w:r w:rsidR="006B5689">
              <w:t>5</w:t>
            </w:r>
            <w:r>
              <w:t xml:space="preserve">: </w:t>
            </w:r>
            <w:r w:rsidRPr="00A65047">
              <w:t>Test of Parallel Lines</w:t>
            </w:r>
            <w:bookmarkEnd w:id="325"/>
          </w:p>
        </w:tc>
      </w:tr>
      <w:tr w:rsidR="00391088" w:rsidRPr="00A65047" w14:paraId="24A749C3" w14:textId="77777777" w:rsidTr="00391088">
        <w:trPr>
          <w:gridBefore w:val="1"/>
          <w:wBefore w:w="10" w:type="dxa"/>
          <w:cantSplit/>
        </w:trPr>
        <w:tc>
          <w:tcPr>
            <w:tcW w:w="1630" w:type="dxa"/>
            <w:tcBorders>
              <w:top w:val="single" w:sz="4" w:space="0" w:color="auto"/>
              <w:bottom w:val="single" w:sz="4" w:space="0" w:color="auto"/>
            </w:tcBorders>
            <w:shd w:val="clear" w:color="auto" w:fill="auto"/>
            <w:vAlign w:val="bottom"/>
          </w:tcPr>
          <w:p w14:paraId="68A9414E" w14:textId="77777777" w:rsidR="00391088" w:rsidRPr="002808AD" w:rsidRDefault="00391088" w:rsidP="002808AD">
            <w:pPr>
              <w:autoSpaceDE w:val="0"/>
              <w:autoSpaceDN w:val="0"/>
              <w:adjustRightInd w:val="0"/>
              <w:spacing w:after="0" w:line="360" w:lineRule="auto"/>
              <w:ind w:left="60" w:right="60"/>
              <w:rPr>
                <w:rFonts w:cs="Times New Roman"/>
                <w:sz w:val="22"/>
              </w:rPr>
            </w:pPr>
            <w:r w:rsidRPr="002808AD">
              <w:rPr>
                <w:rFonts w:cs="Times New Roman"/>
                <w:sz w:val="22"/>
              </w:rPr>
              <w:t>Model</w:t>
            </w:r>
          </w:p>
        </w:tc>
        <w:tc>
          <w:tcPr>
            <w:tcW w:w="1476" w:type="dxa"/>
            <w:tcBorders>
              <w:top w:val="single" w:sz="4" w:space="0" w:color="auto"/>
              <w:bottom w:val="single" w:sz="4" w:space="0" w:color="auto"/>
            </w:tcBorders>
            <w:shd w:val="clear" w:color="auto" w:fill="auto"/>
            <w:vAlign w:val="bottom"/>
          </w:tcPr>
          <w:p w14:paraId="403B35DC"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-2 Log Likelihood</w:t>
            </w:r>
          </w:p>
        </w:tc>
        <w:tc>
          <w:tcPr>
            <w:tcW w:w="1261" w:type="dxa"/>
            <w:tcBorders>
              <w:top w:val="single" w:sz="4" w:space="0" w:color="auto"/>
              <w:bottom w:val="single" w:sz="4" w:space="0" w:color="auto"/>
            </w:tcBorders>
            <w:shd w:val="clear" w:color="auto" w:fill="auto"/>
            <w:vAlign w:val="bottom"/>
          </w:tcPr>
          <w:p w14:paraId="3A8E21AC"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Chi-Square</w:t>
            </w:r>
          </w:p>
        </w:tc>
        <w:tc>
          <w:tcPr>
            <w:tcW w:w="1029" w:type="dxa"/>
            <w:tcBorders>
              <w:top w:val="single" w:sz="4" w:space="0" w:color="auto"/>
              <w:bottom w:val="single" w:sz="4" w:space="0" w:color="auto"/>
            </w:tcBorders>
            <w:shd w:val="clear" w:color="auto" w:fill="auto"/>
            <w:vAlign w:val="bottom"/>
          </w:tcPr>
          <w:p w14:paraId="79AE9AC6" w14:textId="77777777" w:rsidR="00391088" w:rsidRPr="002808AD" w:rsidRDefault="00391088" w:rsidP="002808AD">
            <w:pPr>
              <w:autoSpaceDE w:val="0"/>
              <w:autoSpaceDN w:val="0"/>
              <w:adjustRightInd w:val="0"/>
              <w:spacing w:after="0" w:line="360" w:lineRule="auto"/>
              <w:ind w:left="60" w:right="60"/>
              <w:jc w:val="center"/>
              <w:rPr>
                <w:rFonts w:cs="Times New Roman"/>
                <w:sz w:val="22"/>
              </w:rPr>
            </w:pPr>
            <w:proofErr w:type="spellStart"/>
            <w:r w:rsidRPr="002808AD">
              <w:rPr>
                <w:rFonts w:cs="Times New Roman"/>
                <w:sz w:val="22"/>
              </w:rPr>
              <w:t>df</w:t>
            </w:r>
            <w:proofErr w:type="spellEnd"/>
          </w:p>
        </w:tc>
        <w:tc>
          <w:tcPr>
            <w:tcW w:w="1029" w:type="dxa"/>
            <w:tcBorders>
              <w:top w:val="single" w:sz="4" w:space="0" w:color="auto"/>
              <w:bottom w:val="single" w:sz="4" w:space="0" w:color="auto"/>
            </w:tcBorders>
            <w:shd w:val="clear" w:color="auto" w:fill="auto"/>
            <w:vAlign w:val="bottom"/>
          </w:tcPr>
          <w:p w14:paraId="3A748F39"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Sig.</w:t>
            </w:r>
          </w:p>
        </w:tc>
      </w:tr>
      <w:tr w:rsidR="00391088" w:rsidRPr="00A65047" w14:paraId="4C1E38A6" w14:textId="77777777" w:rsidTr="00391088">
        <w:trPr>
          <w:gridBefore w:val="1"/>
          <w:wBefore w:w="10" w:type="dxa"/>
          <w:cantSplit/>
        </w:trPr>
        <w:tc>
          <w:tcPr>
            <w:tcW w:w="1630" w:type="dxa"/>
            <w:tcBorders>
              <w:top w:val="single" w:sz="4" w:space="0" w:color="auto"/>
            </w:tcBorders>
            <w:shd w:val="clear" w:color="auto" w:fill="auto"/>
          </w:tcPr>
          <w:p w14:paraId="40C57F54" w14:textId="77777777" w:rsidR="00391088" w:rsidRPr="002808AD" w:rsidRDefault="00391088" w:rsidP="002808AD">
            <w:pPr>
              <w:autoSpaceDE w:val="0"/>
              <w:autoSpaceDN w:val="0"/>
              <w:adjustRightInd w:val="0"/>
              <w:spacing w:after="0" w:line="360" w:lineRule="auto"/>
              <w:ind w:left="0" w:right="60" w:firstLine="0"/>
              <w:rPr>
                <w:rFonts w:cs="Times New Roman"/>
                <w:sz w:val="22"/>
              </w:rPr>
            </w:pPr>
            <w:r w:rsidRPr="002808AD">
              <w:rPr>
                <w:rFonts w:cs="Times New Roman"/>
                <w:sz w:val="22"/>
              </w:rPr>
              <w:t>Null Hypothesis</w:t>
            </w:r>
          </w:p>
        </w:tc>
        <w:tc>
          <w:tcPr>
            <w:tcW w:w="1476" w:type="dxa"/>
            <w:tcBorders>
              <w:top w:val="single" w:sz="4" w:space="0" w:color="auto"/>
            </w:tcBorders>
            <w:shd w:val="clear" w:color="auto" w:fill="auto"/>
          </w:tcPr>
          <w:p w14:paraId="73B289E9"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352.305</w:t>
            </w:r>
          </w:p>
        </w:tc>
        <w:tc>
          <w:tcPr>
            <w:tcW w:w="1261" w:type="dxa"/>
            <w:tcBorders>
              <w:top w:val="single" w:sz="4" w:space="0" w:color="auto"/>
            </w:tcBorders>
            <w:shd w:val="clear" w:color="auto" w:fill="auto"/>
            <w:vAlign w:val="center"/>
          </w:tcPr>
          <w:p w14:paraId="2361AC07" w14:textId="77777777" w:rsidR="00391088" w:rsidRPr="002808AD" w:rsidRDefault="00391088" w:rsidP="002808AD">
            <w:pPr>
              <w:autoSpaceDE w:val="0"/>
              <w:autoSpaceDN w:val="0"/>
              <w:adjustRightInd w:val="0"/>
              <w:spacing w:after="0" w:line="360" w:lineRule="auto"/>
              <w:ind w:left="0" w:firstLine="0"/>
              <w:rPr>
                <w:rFonts w:cs="Times New Roman"/>
                <w:sz w:val="22"/>
              </w:rPr>
            </w:pPr>
          </w:p>
        </w:tc>
        <w:tc>
          <w:tcPr>
            <w:tcW w:w="1029" w:type="dxa"/>
            <w:tcBorders>
              <w:top w:val="single" w:sz="4" w:space="0" w:color="auto"/>
            </w:tcBorders>
            <w:shd w:val="clear" w:color="auto" w:fill="auto"/>
            <w:vAlign w:val="center"/>
          </w:tcPr>
          <w:p w14:paraId="75115019" w14:textId="77777777" w:rsidR="00391088" w:rsidRPr="002808AD" w:rsidRDefault="00391088" w:rsidP="002808AD">
            <w:pPr>
              <w:autoSpaceDE w:val="0"/>
              <w:autoSpaceDN w:val="0"/>
              <w:adjustRightInd w:val="0"/>
              <w:spacing w:after="0" w:line="360" w:lineRule="auto"/>
              <w:rPr>
                <w:rFonts w:cs="Times New Roman"/>
                <w:sz w:val="22"/>
              </w:rPr>
            </w:pPr>
          </w:p>
        </w:tc>
        <w:tc>
          <w:tcPr>
            <w:tcW w:w="1029" w:type="dxa"/>
            <w:tcBorders>
              <w:top w:val="single" w:sz="4" w:space="0" w:color="auto"/>
            </w:tcBorders>
            <w:shd w:val="clear" w:color="auto" w:fill="auto"/>
            <w:vAlign w:val="center"/>
          </w:tcPr>
          <w:p w14:paraId="343ABAD4" w14:textId="77777777" w:rsidR="00391088" w:rsidRPr="002808AD" w:rsidRDefault="00391088" w:rsidP="002808AD">
            <w:pPr>
              <w:autoSpaceDE w:val="0"/>
              <w:autoSpaceDN w:val="0"/>
              <w:adjustRightInd w:val="0"/>
              <w:spacing w:after="0" w:line="360" w:lineRule="auto"/>
              <w:rPr>
                <w:rFonts w:cs="Times New Roman"/>
                <w:sz w:val="22"/>
              </w:rPr>
            </w:pPr>
          </w:p>
        </w:tc>
      </w:tr>
      <w:tr w:rsidR="00391088" w:rsidRPr="00A65047" w14:paraId="08ACCDB3" w14:textId="77777777" w:rsidTr="00391088">
        <w:trPr>
          <w:gridBefore w:val="1"/>
          <w:wBefore w:w="10" w:type="dxa"/>
          <w:cantSplit/>
        </w:trPr>
        <w:tc>
          <w:tcPr>
            <w:tcW w:w="1630" w:type="dxa"/>
            <w:tcBorders>
              <w:bottom w:val="single" w:sz="4" w:space="0" w:color="auto"/>
            </w:tcBorders>
            <w:shd w:val="clear" w:color="auto" w:fill="auto"/>
          </w:tcPr>
          <w:p w14:paraId="3E7005C8" w14:textId="77777777" w:rsidR="00391088" w:rsidRPr="002808AD" w:rsidRDefault="00391088" w:rsidP="002808AD">
            <w:pPr>
              <w:autoSpaceDE w:val="0"/>
              <w:autoSpaceDN w:val="0"/>
              <w:adjustRightInd w:val="0"/>
              <w:spacing w:after="0" w:line="360" w:lineRule="auto"/>
              <w:ind w:left="0" w:right="60" w:firstLine="0"/>
              <w:rPr>
                <w:rFonts w:cs="Times New Roman"/>
                <w:sz w:val="22"/>
              </w:rPr>
            </w:pPr>
            <w:r w:rsidRPr="002808AD">
              <w:rPr>
                <w:rFonts w:cs="Times New Roman"/>
                <w:sz w:val="22"/>
              </w:rPr>
              <w:t>General</w:t>
            </w:r>
          </w:p>
        </w:tc>
        <w:tc>
          <w:tcPr>
            <w:tcW w:w="1476" w:type="dxa"/>
            <w:tcBorders>
              <w:bottom w:val="single" w:sz="4" w:space="0" w:color="auto"/>
            </w:tcBorders>
            <w:shd w:val="clear" w:color="auto" w:fill="auto"/>
          </w:tcPr>
          <w:p w14:paraId="6A9A9C73"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325.903</w:t>
            </w:r>
            <w:r w:rsidRPr="002808AD">
              <w:rPr>
                <w:rFonts w:cs="Times New Roman"/>
                <w:sz w:val="22"/>
                <w:vertAlign w:val="superscript"/>
              </w:rPr>
              <w:t>b</w:t>
            </w:r>
          </w:p>
        </w:tc>
        <w:tc>
          <w:tcPr>
            <w:tcW w:w="1261" w:type="dxa"/>
            <w:tcBorders>
              <w:bottom w:val="single" w:sz="4" w:space="0" w:color="auto"/>
            </w:tcBorders>
            <w:shd w:val="clear" w:color="auto" w:fill="auto"/>
          </w:tcPr>
          <w:p w14:paraId="4870DCF7"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26.403</w:t>
            </w:r>
            <w:r w:rsidRPr="002808AD">
              <w:rPr>
                <w:rFonts w:cs="Times New Roman"/>
                <w:sz w:val="22"/>
                <w:vertAlign w:val="superscript"/>
              </w:rPr>
              <w:t>c</w:t>
            </w:r>
          </w:p>
        </w:tc>
        <w:tc>
          <w:tcPr>
            <w:tcW w:w="1029" w:type="dxa"/>
            <w:tcBorders>
              <w:bottom w:val="single" w:sz="4" w:space="0" w:color="auto"/>
            </w:tcBorders>
            <w:shd w:val="clear" w:color="auto" w:fill="auto"/>
          </w:tcPr>
          <w:p w14:paraId="2CD9CCDE" w14:textId="77777777" w:rsidR="00391088" w:rsidRPr="002808AD" w:rsidRDefault="00391088" w:rsidP="002808AD">
            <w:pPr>
              <w:autoSpaceDE w:val="0"/>
              <w:autoSpaceDN w:val="0"/>
              <w:adjustRightInd w:val="0"/>
              <w:spacing w:after="0" w:line="360" w:lineRule="auto"/>
              <w:ind w:left="60" w:right="60"/>
              <w:jc w:val="right"/>
              <w:rPr>
                <w:rFonts w:cs="Times New Roman"/>
                <w:sz w:val="22"/>
              </w:rPr>
            </w:pPr>
            <w:r w:rsidRPr="002808AD">
              <w:rPr>
                <w:rFonts w:cs="Times New Roman"/>
                <w:sz w:val="22"/>
              </w:rPr>
              <w:t>4</w:t>
            </w:r>
          </w:p>
        </w:tc>
        <w:tc>
          <w:tcPr>
            <w:tcW w:w="1029" w:type="dxa"/>
            <w:tcBorders>
              <w:bottom w:val="single" w:sz="4" w:space="0" w:color="auto"/>
            </w:tcBorders>
            <w:shd w:val="clear" w:color="auto" w:fill="auto"/>
          </w:tcPr>
          <w:p w14:paraId="3A953205" w14:textId="77777777" w:rsidR="00391088" w:rsidRPr="002808AD" w:rsidRDefault="00391088" w:rsidP="002808AD">
            <w:pPr>
              <w:autoSpaceDE w:val="0"/>
              <w:autoSpaceDN w:val="0"/>
              <w:adjustRightInd w:val="0"/>
              <w:spacing w:after="0" w:line="360" w:lineRule="auto"/>
              <w:ind w:left="60" w:right="60" w:firstLine="0"/>
              <w:rPr>
                <w:rFonts w:cs="Times New Roman"/>
                <w:sz w:val="22"/>
              </w:rPr>
            </w:pPr>
            <w:r w:rsidRPr="002808AD">
              <w:rPr>
                <w:rFonts w:cs="Times New Roman"/>
                <w:sz w:val="22"/>
              </w:rPr>
              <w:t>.000</w:t>
            </w:r>
          </w:p>
        </w:tc>
      </w:tr>
      <w:tr w:rsidR="00391088" w:rsidRPr="00A65047" w14:paraId="390CFA91" w14:textId="77777777" w:rsidTr="00391088">
        <w:trPr>
          <w:cantSplit/>
        </w:trPr>
        <w:tc>
          <w:tcPr>
            <w:tcW w:w="6435" w:type="dxa"/>
            <w:gridSpan w:val="6"/>
            <w:tcBorders>
              <w:top w:val="single" w:sz="4" w:space="0" w:color="auto"/>
            </w:tcBorders>
            <w:shd w:val="clear" w:color="auto" w:fill="auto"/>
          </w:tcPr>
          <w:p w14:paraId="234F6CC8" w14:textId="77777777" w:rsidR="00391088" w:rsidRPr="00A65047" w:rsidRDefault="00391088" w:rsidP="00391088">
            <w:pPr>
              <w:spacing w:line="240" w:lineRule="auto"/>
              <w:ind w:left="0" w:firstLine="0"/>
            </w:pPr>
            <w:r w:rsidRPr="00A65047">
              <w:t>The null hypothesis states that the location parameters (slope coefficients) are the same across response categories.</w:t>
            </w:r>
          </w:p>
        </w:tc>
      </w:tr>
      <w:tr w:rsidR="00391088" w:rsidRPr="00A65047" w14:paraId="7B5FAAAB" w14:textId="77777777" w:rsidTr="00391088">
        <w:trPr>
          <w:cantSplit/>
        </w:trPr>
        <w:tc>
          <w:tcPr>
            <w:tcW w:w="6435" w:type="dxa"/>
            <w:gridSpan w:val="6"/>
            <w:shd w:val="clear" w:color="auto" w:fill="auto"/>
          </w:tcPr>
          <w:p w14:paraId="41F55236" w14:textId="77777777" w:rsidR="00391088" w:rsidRPr="00A65047" w:rsidRDefault="00391088" w:rsidP="00391088">
            <w:pPr>
              <w:spacing w:line="240" w:lineRule="auto"/>
              <w:ind w:left="0" w:firstLine="0"/>
            </w:pPr>
            <w:r w:rsidRPr="00A65047">
              <w:t>a. Link function: Logit.</w:t>
            </w:r>
          </w:p>
        </w:tc>
      </w:tr>
      <w:tr w:rsidR="00391088" w:rsidRPr="00A65047" w14:paraId="09127562" w14:textId="77777777" w:rsidTr="00391088">
        <w:trPr>
          <w:cantSplit/>
        </w:trPr>
        <w:tc>
          <w:tcPr>
            <w:tcW w:w="6435" w:type="dxa"/>
            <w:gridSpan w:val="6"/>
            <w:shd w:val="clear" w:color="auto" w:fill="auto"/>
          </w:tcPr>
          <w:p w14:paraId="20236626" w14:textId="77777777" w:rsidR="00391088" w:rsidRPr="00A65047" w:rsidRDefault="00391088" w:rsidP="00391088">
            <w:pPr>
              <w:spacing w:line="240" w:lineRule="auto"/>
              <w:ind w:left="0" w:firstLine="0"/>
            </w:pPr>
            <w:r w:rsidRPr="00A65047">
              <w:t>b. The log-likelihood value cannot be further increased after maximum number of step-halving.</w:t>
            </w:r>
          </w:p>
        </w:tc>
      </w:tr>
    </w:tbl>
    <w:p w14:paraId="269AC561" w14:textId="490735E1" w:rsidR="00391088" w:rsidRDefault="00391088" w:rsidP="0000114D">
      <w:pPr>
        <w:ind w:left="0" w:firstLine="0"/>
      </w:pPr>
      <w:r>
        <w:t>Source: fieldwork (2024).</w:t>
      </w:r>
    </w:p>
    <w:p w14:paraId="6A802DFF" w14:textId="772F1FBF" w:rsidR="00391088" w:rsidRPr="00C34F3A" w:rsidRDefault="00391088" w:rsidP="00C34F3A">
      <w:pPr>
        <w:ind w:left="0"/>
        <w:rPr>
          <w:rFonts w:cs="Times New Roman"/>
        </w:rPr>
      </w:pPr>
      <w:r>
        <w:rPr>
          <w:rFonts w:cs="Times New Roman"/>
        </w:rPr>
        <w:t>A significant Test of Parallel Lines, as seen in Table 4 indicate that the effect of the predictor variables, duration of stay, level of education and belonging to a group were not the same across the levels of dependent variable, non-participation, tokensim and citizen power, hence the study had to use a multinomial logistic regression.</w:t>
      </w:r>
    </w:p>
    <w:p w14:paraId="495AE83A" w14:textId="7B28E257" w:rsidR="0000114D" w:rsidRDefault="0000114D" w:rsidP="008F7D23">
      <w:pPr>
        <w:spacing w:after="0"/>
        <w:ind w:left="0" w:firstLine="0"/>
      </w:pPr>
      <w:r>
        <w:t xml:space="preserve">Similarly, a multinomial logistic regression was used at a 95 per cent confidence interval and a skewness of </w:t>
      </w:r>
      <w:r>
        <w:rPr>
          <w:rFonts w:cs="Times New Roman"/>
        </w:rPr>
        <w:t>±</w:t>
      </w:r>
      <w:r>
        <w:t xml:space="preserve"> 0.5 to undertake the test of relationship. </w:t>
      </w:r>
      <w:r w:rsidRPr="00EA3C1B">
        <w:t>El-Habil</w:t>
      </w:r>
      <w:r>
        <w:t xml:space="preserve"> (2012) maintains that a Multinomial Logistic Regression model allows the analysis of responses with more than two categories and various explanatory variables. </w:t>
      </w:r>
    </w:p>
    <w:p w14:paraId="3F8BE857" w14:textId="77777777" w:rsidR="0000114D" w:rsidRDefault="0000114D" w:rsidP="0000114D">
      <w:pPr>
        <w:pStyle w:val="Heading2"/>
        <w:ind w:left="0"/>
      </w:pPr>
      <w:bookmarkStart w:id="326" w:name="_Toc202197661"/>
      <w:r>
        <w:t>Pre-testing of Instruments</w:t>
      </w:r>
      <w:bookmarkEnd w:id="326"/>
    </w:p>
    <w:p w14:paraId="4E0E229A" w14:textId="208FD8FB" w:rsidR="002205FC" w:rsidRDefault="0000114D" w:rsidP="008F7D23">
      <w:pPr>
        <w:spacing w:after="0"/>
        <w:ind w:left="0" w:firstLine="0"/>
      </w:pPr>
      <w:r>
        <w:tab/>
      </w:r>
      <w:r w:rsidR="00407A99" w:rsidRPr="00407A99">
        <w:t xml:space="preserve">A pre-test involves conducting a preliminary trial of data-collection tools to assess the clarity of the questions and verify whether the tools obtain the intended information (Polit &amp; Beck, 2006). To confirm the reliability and validity of the instruments, the interviews, focus group discussion guide, and interview schedules were trialled with community members in </w:t>
      </w:r>
      <w:proofErr w:type="spellStart"/>
      <w:r w:rsidR="00407A99" w:rsidRPr="00407A99">
        <w:t>Nkawanda</w:t>
      </w:r>
      <w:proofErr w:type="spellEnd"/>
      <w:r>
        <w:t xml:space="preserve">, a town close to the Bobiri Forest Reserve. This community was selected because </w:t>
      </w:r>
      <w:r>
        <w:lastRenderedPageBreak/>
        <w:t>it share</w:t>
      </w:r>
      <w:r w:rsidR="00E5573C">
        <w:t>d</w:t>
      </w:r>
      <w:r>
        <w:t xml:space="preserve"> the same ecological, social, and cultural characteristics as the study area besides its proximity. </w:t>
      </w:r>
    </w:p>
    <w:p w14:paraId="755D2154" w14:textId="15433327" w:rsidR="0000114D" w:rsidRPr="0031659F" w:rsidRDefault="0000114D" w:rsidP="00AC301D">
      <w:pPr>
        <w:spacing w:after="0"/>
        <w:ind w:left="0"/>
      </w:pPr>
      <w:r>
        <w:t xml:space="preserve">Ten respondents, including a technical officer and district assembly representative, were selected for the interviews. A focus group discussion with seven participants was conducted, and 30 community members were used for the questionnaire administration. The pre-test enabled the study to check for the clarity of questions and identify inappropriate questions in the interview guide, focus group discussion guide, and </w:t>
      </w:r>
      <w:r w:rsidR="00E5573C">
        <w:t>interview schedule</w:t>
      </w:r>
      <w:r>
        <w:t xml:space="preserve">. Corrections were made based on the pre-test outcomes. The outcome of the study did not include data from the pre-test. </w:t>
      </w:r>
    </w:p>
    <w:p w14:paraId="10D4778C" w14:textId="77777777" w:rsidR="0000114D" w:rsidRDefault="0000114D" w:rsidP="0000114D">
      <w:pPr>
        <w:pStyle w:val="Heading2"/>
        <w:ind w:left="0"/>
      </w:pPr>
      <w:bookmarkStart w:id="327" w:name="_Toc202197662"/>
      <w:bookmarkStart w:id="328" w:name="_Hlk195274569"/>
      <w:r>
        <w:t>Ethical Consideration</w:t>
      </w:r>
      <w:bookmarkEnd w:id="327"/>
    </w:p>
    <w:p w14:paraId="41FAFC38" w14:textId="30822DF5" w:rsidR="0059344F" w:rsidRDefault="00E21009" w:rsidP="00E5573C">
      <w:pPr>
        <w:ind w:left="0"/>
      </w:pPr>
      <w:r w:rsidRPr="00E21009">
        <w:t xml:space="preserve">Before field data collection began, ethical approval was obtained from the Institutional Review Board (IRB) at the University of Cape Coast. Consent was sought from respondents before any research instruments were used. Key informants provided their informed consent through a consent letter from the University of Cape Coast, which introduced the researcher and detailed the study's objectives. Securing informed consent was essential to ensure participants understood their rights. Participants' confidentiality and anonymity were preserved and protected once they agreed to participate in the study. </w:t>
      </w:r>
      <w:bookmarkEnd w:id="328"/>
      <w:r w:rsidRPr="00E21009">
        <w:t>Furthermore, the researcher did not anticipate any potential physical or psychological harm to the participants.</w:t>
      </w:r>
      <w:r w:rsidR="0000114D">
        <w:t xml:space="preserve"> </w:t>
      </w:r>
      <w:r w:rsidR="0030519B">
        <w:t xml:space="preserve">A summary of the methodology </w:t>
      </w:r>
      <w:r w:rsidR="00963172">
        <w:t>i</w:t>
      </w:r>
      <w:r w:rsidR="001B0244">
        <w:t>s</w:t>
      </w:r>
      <w:r w:rsidR="0030519B">
        <w:t xml:space="preserve"> presented in Table </w:t>
      </w:r>
      <w:r w:rsidR="00207932">
        <w:t>6</w:t>
      </w:r>
      <w:r w:rsidR="0030519B">
        <w:t>.</w:t>
      </w:r>
    </w:p>
    <w:p w14:paraId="38E3B24A" w14:textId="77777777" w:rsidR="00FA6794" w:rsidRDefault="00FA6794" w:rsidP="00C34F3A">
      <w:pPr>
        <w:pStyle w:val="LT"/>
        <w:sectPr w:rsidR="00FA6794" w:rsidSect="0081629E">
          <w:pgSz w:w="11906" w:h="16838" w:code="9"/>
          <w:pgMar w:top="1440" w:right="1440" w:bottom="1440" w:left="2880" w:header="720" w:footer="720" w:gutter="0"/>
          <w:cols w:space="720"/>
          <w:docGrid w:linePitch="360"/>
        </w:sectPr>
      </w:pPr>
    </w:p>
    <w:p w14:paraId="69245113" w14:textId="730F9C14" w:rsidR="00C57B91" w:rsidRDefault="00DC0D3C" w:rsidP="00C34F3A">
      <w:pPr>
        <w:pStyle w:val="LT"/>
      </w:pPr>
      <w:bookmarkStart w:id="329" w:name="_Toc197335670"/>
      <w:r>
        <w:lastRenderedPageBreak/>
        <w:t>Table</w:t>
      </w:r>
      <w:r w:rsidR="0030519B">
        <w:t xml:space="preserve"> </w:t>
      </w:r>
      <w:r w:rsidR="009A0B3B">
        <w:t>6</w:t>
      </w:r>
      <w:r>
        <w:t xml:space="preserve">: </w:t>
      </w:r>
      <w:r w:rsidR="006A3E36">
        <w:t>Summary of Methodology</w:t>
      </w:r>
      <w:bookmarkEnd w:id="329"/>
    </w:p>
    <w:tbl>
      <w:tblPr>
        <w:tblW w:w="14656" w:type="dxa"/>
        <w:tblInd w:w="-185" w:type="dxa"/>
        <w:tblLook w:val="04A0" w:firstRow="1" w:lastRow="0" w:firstColumn="1" w:lastColumn="0" w:noHBand="0" w:noVBand="1"/>
      </w:tblPr>
      <w:tblGrid>
        <w:gridCol w:w="3983"/>
        <w:gridCol w:w="2430"/>
        <w:gridCol w:w="1268"/>
        <w:gridCol w:w="2306"/>
        <w:gridCol w:w="1646"/>
        <w:gridCol w:w="1451"/>
        <w:gridCol w:w="1572"/>
      </w:tblGrid>
      <w:tr w:rsidR="00A010EC" w:rsidRPr="0030519B" w14:paraId="285DC963" w14:textId="77777777" w:rsidTr="00FA6794">
        <w:tc>
          <w:tcPr>
            <w:tcW w:w="3983" w:type="dxa"/>
            <w:tcBorders>
              <w:top w:val="single" w:sz="4" w:space="0" w:color="auto"/>
              <w:bottom w:val="single" w:sz="4" w:space="0" w:color="auto"/>
            </w:tcBorders>
          </w:tcPr>
          <w:p w14:paraId="314736BF" w14:textId="77777777" w:rsidR="00DC0D3C" w:rsidRPr="0030519B" w:rsidRDefault="00DC0D3C" w:rsidP="00772DAC">
            <w:pPr>
              <w:pStyle w:val="BodyText"/>
              <w:spacing w:after="0" w:line="276" w:lineRule="auto"/>
              <w:ind w:left="0" w:firstLine="0"/>
            </w:pPr>
            <w:r w:rsidRPr="0030519B">
              <w:rPr>
                <w:sz w:val="22"/>
              </w:rPr>
              <w:t>Research Objectives</w:t>
            </w:r>
          </w:p>
        </w:tc>
        <w:tc>
          <w:tcPr>
            <w:tcW w:w="2430" w:type="dxa"/>
            <w:tcBorders>
              <w:top w:val="single" w:sz="4" w:space="0" w:color="auto"/>
              <w:bottom w:val="single" w:sz="4" w:space="0" w:color="auto"/>
            </w:tcBorders>
          </w:tcPr>
          <w:p w14:paraId="140C05FF" w14:textId="77777777" w:rsidR="00DC0D3C" w:rsidRPr="0030519B" w:rsidRDefault="00DC0D3C" w:rsidP="00772DAC">
            <w:pPr>
              <w:pStyle w:val="BodyText"/>
              <w:spacing w:after="0" w:line="276" w:lineRule="auto"/>
              <w:ind w:left="0" w:firstLine="0"/>
            </w:pPr>
            <w:r w:rsidRPr="0030519B">
              <w:rPr>
                <w:sz w:val="22"/>
              </w:rPr>
              <w:t>Type of data</w:t>
            </w:r>
          </w:p>
        </w:tc>
        <w:tc>
          <w:tcPr>
            <w:tcW w:w="1268" w:type="dxa"/>
            <w:tcBorders>
              <w:top w:val="single" w:sz="4" w:space="0" w:color="auto"/>
              <w:bottom w:val="single" w:sz="4" w:space="0" w:color="auto"/>
            </w:tcBorders>
          </w:tcPr>
          <w:p w14:paraId="2C4EBB7D" w14:textId="77777777" w:rsidR="00DC0D3C" w:rsidRPr="0030519B" w:rsidRDefault="00DC0D3C" w:rsidP="00772DAC">
            <w:pPr>
              <w:pStyle w:val="BodyText"/>
              <w:spacing w:after="0" w:line="276" w:lineRule="auto"/>
              <w:ind w:left="0" w:firstLine="0"/>
            </w:pPr>
            <w:r w:rsidRPr="0030519B">
              <w:rPr>
                <w:sz w:val="22"/>
              </w:rPr>
              <w:t xml:space="preserve">Target population </w:t>
            </w:r>
          </w:p>
        </w:tc>
        <w:tc>
          <w:tcPr>
            <w:tcW w:w="2306" w:type="dxa"/>
            <w:tcBorders>
              <w:top w:val="single" w:sz="4" w:space="0" w:color="auto"/>
              <w:bottom w:val="single" w:sz="4" w:space="0" w:color="auto"/>
            </w:tcBorders>
          </w:tcPr>
          <w:p w14:paraId="637B788F" w14:textId="77777777" w:rsidR="00DC0D3C" w:rsidRPr="0030519B" w:rsidRDefault="00DC0D3C" w:rsidP="00772DAC">
            <w:pPr>
              <w:pStyle w:val="BodyText"/>
              <w:spacing w:after="0" w:line="276" w:lineRule="auto"/>
              <w:ind w:left="0" w:firstLine="0"/>
            </w:pPr>
            <w:r w:rsidRPr="0030519B">
              <w:rPr>
                <w:sz w:val="22"/>
              </w:rPr>
              <w:t xml:space="preserve">Sampling </w:t>
            </w:r>
          </w:p>
        </w:tc>
        <w:tc>
          <w:tcPr>
            <w:tcW w:w="0" w:type="auto"/>
            <w:tcBorders>
              <w:top w:val="single" w:sz="4" w:space="0" w:color="auto"/>
              <w:bottom w:val="single" w:sz="4" w:space="0" w:color="auto"/>
            </w:tcBorders>
          </w:tcPr>
          <w:p w14:paraId="12CCF11A" w14:textId="77777777" w:rsidR="00DC0D3C" w:rsidRPr="0030519B" w:rsidRDefault="00DC0D3C" w:rsidP="00772DAC">
            <w:pPr>
              <w:pStyle w:val="BodyText"/>
              <w:spacing w:after="0" w:line="276" w:lineRule="auto"/>
              <w:ind w:left="0" w:firstLine="0"/>
            </w:pPr>
            <w:r w:rsidRPr="0030519B">
              <w:rPr>
                <w:sz w:val="22"/>
              </w:rPr>
              <w:t>Data collection method</w:t>
            </w:r>
          </w:p>
        </w:tc>
        <w:tc>
          <w:tcPr>
            <w:tcW w:w="0" w:type="auto"/>
            <w:tcBorders>
              <w:top w:val="single" w:sz="4" w:space="0" w:color="auto"/>
              <w:bottom w:val="single" w:sz="4" w:space="0" w:color="auto"/>
            </w:tcBorders>
          </w:tcPr>
          <w:p w14:paraId="5B4A1C2E" w14:textId="77777777" w:rsidR="00DC0D3C" w:rsidRPr="0030519B" w:rsidRDefault="00DC0D3C" w:rsidP="00772DAC">
            <w:pPr>
              <w:pStyle w:val="BodyText"/>
              <w:spacing w:after="0" w:line="276" w:lineRule="auto"/>
              <w:ind w:left="0" w:firstLine="0"/>
            </w:pPr>
            <w:r w:rsidRPr="0030519B">
              <w:rPr>
                <w:sz w:val="22"/>
              </w:rPr>
              <w:t>Data collection instruments</w:t>
            </w:r>
          </w:p>
        </w:tc>
        <w:tc>
          <w:tcPr>
            <w:tcW w:w="0" w:type="auto"/>
            <w:tcBorders>
              <w:top w:val="single" w:sz="4" w:space="0" w:color="auto"/>
              <w:bottom w:val="single" w:sz="4" w:space="0" w:color="auto"/>
            </w:tcBorders>
          </w:tcPr>
          <w:p w14:paraId="4527F138" w14:textId="77777777" w:rsidR="00DC0D3C" w:rsidRPr="0030519B" w:rsidRDefault="00DC0D3C" w:rsidP="00772DAC">
            <w:pPr>
              <w:pStyle w:val="BodyText"/>
              <w:spacing w:after="0" w:line="276" w:lineRule="auto"/>
              <w:ind w:left="0" w:firstLine="0"/>
            </w:pPr>
            <w:r w:rsidRPr="0030519B">
              <w:rPr>
                <w:sz w:val="22"/>
              </w:rPr>
              <w:t>Method of data analysis</w:t>
            </w:r>
          </w:p>
        </w:tc>
      </w:tr>
      <w:tr w:rsidR="00A010EC" w:rsidRPr="0030519B" w14:paraId="42F4BF6C" w14:textId="77777777" w:rsidTr="00FA6794">
        <w:tc>
          <w:tcPr>
            <w:tcW w:w="3983" w:type="dxa"/>
            <w:tcBorders>
              <w:top w:val="single" w:sz="4" w:space="0" w:color="auto"/>
              <w:bottom w:val="single" w:sz="4" w:space="0" w:color="auto"/>
            </w:tcBorders>
          </w:tcPr>
          <w:p w14:paraId="31039EDA" w14:textId="2968FC4A" w:rsidR="00DC0D3C" w:rsidRPr="0030519B" w:rsidRDefault="00AE2116" w:rsidP="00BF43E4">
            <w:pPr>
              <w:spacing w:line="276" w:lineRule="auto"/>
              <w:ind w:left="0" w:firstLine="0"/>
              <w:jc w:val="left"/>
            </w:pPr>
            <w:r>
              <w:rPr>
                <w:sz w:val="22"/>
              </w:rPr>
              <w:t>Examine</w:t>
            </w:r>
            <w:r w:rsidR="00DC0D3C" w:rsidRPr="0030519B">
              <w:rPr>
                <w:sz w:val="22"/>
              </w:rPr>
              <w:t xml:space="preserve"> the local</w:t>
            </w:r>
            <w:r>
              <w:rPr>
                <w:sz w:val="22"/>
              </w:rPr>
              <w:t xml:space="preserve"> institutions</w:t>
            </w:r>
            <w:r w:rsidR="00DC0D3C" w:rsidRPr="0030519B">
              <w:rPr>
                <w:sz w:val="22"/>
              </w:rPr>
              <w:t xml:space="preserve"> for stakeholder </w:t>
            </w:r>
            <w:r w:rsidR="00471469">
              <w:rPr>
                <w:sz w:val="22"/>
              </w:rPr>
              <w:t>participation</w:t>
            </w:r>
            <w:r w:rsidR="00DC0D3C" w:rsidRPr="0030519B">
              <w:rPr>
                <w:sz w:val="22"/>
              </w:rPr>
              <w:t xml:space="preserve"> </w:t>
            </w:r>
            <w:r>
              <w:rPr>
                <w:sz w:val="22"/>
              </w:rPr>
              <w:t>in the management of</w:t>
            </w:r>
            <w:r w:rsidR="00DC0D3C" w:rsidRPr="0030519B">
              <w:rPr>
                <w:sz w:val="22"/>
              </w:rPr>
              <w:t xml:space="preserve"> the Bobiri and Southern Scarp Forest reserves.</w:t>
            </w:r>
          </w:p>
          <w:p w14:paraId="72F1DA66" w14:textId="756DBEDE" w:rsidR="00DC0D3C" w:rsidRPr="0030519B" w:rsidRDefault="00DC0D3C" w:rsidP="00772DAC">
            <w:pPr>
              <w:spacing w:line="276" w:lineRule="auto"/>
              <w:ind w:left="0" w:firstLine="0"/>
            </w:pPr>
            <w:r w:rsidRPr="0030519B">
              <w:rPr>
                <w:sz w:val="22"/>
              </w:rPr>
              <w:t xml:space="preserve">Examine the </w:t>
            </w:r>
            <w:r w:rsidR="00375C2C">
              <w:rPr>
                <w:sz w:val="22"/>
              </w:rPr>
              <w:t xml:space="preserve">perceived </w:t>
            </w:r>
            <w:r w:rsidR="00A010EC">
              <w:rPr>
                <w:sz w:val="22"/>
              </w:rPr>
              <w:t xml:space="preserve">sustainability and </w:t>
            </w:r>
            <w:r w:rsidRPr="0030519B">
              <w:rPr>
                <w:sz w:val="22"/>
              </w:rPr>
              <w:t xml:space="preserve">challenges inherent in the </w:t>
            </w:r>
            <w:r w:rsidR="00471469">
              <w:rPr>
                <w:sz w:val="22"/>
              </w:rPr>
              <w:t>management</w:t>
            </w:r>
            <w:r w:rsidR="00A010EC">
              <w:rPr>
                <w:sz w:val="22"/>
              </w:rPr>
              <w:t xml:space="preserve"> of</w:t>
            </w:r>
            <w:r w:rsidR="00AE2116">
              <w:rPr>
                <w:sz w:val="22"/>
              </w:rPr>
              <w:t xml:space="preserve"> the</w:t>
            </w:r>
            <w:r w:rsidRPr="0030519B">
              <w:rPr>
                <w:sz w:val="22"/>
              </w:rPr>
              <w:t xml:space="preserve"> Bobiri and Southern Scarp Forest reserves. </w:t>
            </w:r>
          </w:p>
          <w:p w14:paraId="435466A7" w14:textId="77777777" w:rsidR="00DC0D3C" w:rsidRPr="0030519B" w:rsidRDefault="00DC0D3C" w:rsidP="00772DAC">
            <w:pPr>
              <w:spacing w:line="276" w:lineRule="auto"/>
              <w:ind w:left="0" w:firstLine="0"/>
            </w:pPr>
          </w:p>
          <w:p w14:paraId="17F2E837" w14:textId="77777777" w:rsidR="00DC0D3C" w:rsidRPr="0030519B" w:rsidRDefault="00DC0D3C" w:rsidP="00772DAC">
            <w:pPr>
              <w:spacing w:line="276" w:lineRule="auto"/>
              <w:ind w:left="0" w:firstLine="0"/>
              <w:jc w:val="left"/>
            </w:pPr>
            <w:r w:rsidRPr="0030519B">
              <w:rPr>
                <w:sz w:val="22"/>
              </w:rPr>
              <w:t>Assess the level of community participation in the collaborative processes at the Bobiri and Southern Scarp Forest Reserves.</w:t>
            </w:r>
          </w:p>
          <w:p w14:paraId="5CC34DC3" w14:textId="77777777" w:rsidR="00DC0D3C" w:rsidRPr="0030519B" w:rsidRDefault="00DC0D3C" w:rsidP="00772DAC">
            <w:pPr>
              <w:pStyle w:val="ListParagraph"/>
              <w:spacing w:line="276" w:lineRule="auto"/>
              <w:ind w:left="0"/>
            </w:pPr>
          </w:p>
          <w:p w14:paraId="305D231C" w14:textId="4D2AAB2D" w:rsidR="00DC0D3C" w:rsidRPr="0030519B" w:rsidRDefault="00DC0D3C" w:rsidP="00FA6794">
            <w:pPr>
              <w:spacing w:line="276" w:lineRule="auto"/>
              <w:ind w:left="0" w:firstLine="0"/>
            </w:pPr>
            <w:r w:rsidRPr="0030519B">
              <w:rPr>
                <w:sz w:val="22"/>
              </w:rPr>
              <w:t xml:space="preserve">Analyse the factors influencing community participation in the </w:t>
            </w:r>
            <w:r w:rsidR="00471469">
              <w:rPr>
                <w:sz w:val="22"/>
              </w:rPr>
              <w:t>management</w:t>
            </w:r>
            <w:r w:rsidRPr="0030519B">
              <w:rPr>
                <w:sz w:val="22"/>
              </w:rPr>
              <w:t xml:space="preserve"> process at the Bobiri and Southern Scarp Forest Reserves.</w:t>
            </w:r>
          </w:p>
        </w:tc>
        <w:tc>
          <w:tcPr>
            <w:tcW w:w="2430" w:type="dxa"/>
            <w:tcBorders>
              <w:top w:val="single" w:sz="4" w:space="0" w:color="auto"/>
              <w:bottom w:val="single" w:sz="4" w:space="0" w:color="auto"/>
            </w:tcBorders>
          </w:tcPr>
          <w:p w14:paraId="0018A9D7" w14:textId="77777777" w:rsidR="00DC0D3C" w:rsidRPr="0030519B" w:rsidRDefault="00DC0D3C" w:rsidP="00772DAC">
            <w:pPr>
              <w:pStyle w:val="BodyText"/>
              <w:spacing w:after="0" w:line="276" w:lineRule="auto"/>
              <w:ind w:left="0" w:firstLine="0"/>
            </w:pPr>
            <w:r w:rsidRPr="0030519B">
              <w:rPr>
                <w:sz w:val="22"/>
              </w:rPr>
              <w:t>Primary and Secondary</w:t>
            </w:r>
          </w:p>
          <w:p w14:paraId="4D384737" w14:textId="77777777" w:rsidR="00DC0D3C" w:rsidRPr="0030519B" w:rsidRDefault="00DC0D3C" w:rsidP="00772DAC">
            <w:pPr>
              <w:pStyle w:val="BodyText"/>
              <w:spacing w:after="0" w:line="276" w:lineRule="auto"/>
              <w:ind w:left="0" w:firstLine="0"/>
            </w:pPr>
          </w:p>
          <w:p w14:paraId="0310E5F9" w14:textId="77777777" w:rsidR="00DC0D3C" w:rsidRPr="0030519B" w:rsidRDefault="00DC0D3C" w:rsidP="00772DAC">
            <w:pPr>
              <w:pStyle w:val="BodyText"/>
              <w:spacing w:after="0" w:line="276" w:lineRule="auto"/>
              <w:ind w:left="0" w:firstLine="0"/>
            </w:pPr>
          </w:p>
          <w:p w14:paraId="3A532C2B" w14:textId="77777777" w:rsidR="00DC0D3C" w:rsidRPr="0030519B" w:rsidRDefault="00DC0D3C" w:rsidP="00772DAC">
            <w:pPr>
              <w:pStyle w:val="BodyText"/>
              <w:spacing w:after="0" w:line="276" w:lineRule="auto"/>
              <w:ind w:left="0" w:firstLine="0"/>
            </w:pPr>
          </w:p>
          <w:p w14:paraId="23D235A2" w14:textId="03ECE76D" w:rsidR="00DC0D3C" w:rsidRPr="0030519B" w:rsidRDefault="00DC0D3C" w:rsidP="00772DAC">
            <w:pPr>
              <w:pStyle w:val="BodyText"/>
              <w:spacing w:after="0" w:line="276" w:lineRule="auto"/>
              <w:ind w:left="0" w:firstLine="0"/>
            </w:pPr>
            <w:r w:rsidRPr="0030519B">
              <w:rPr>
                <w:sz w:val="22"/>
              </w:rPr>
              <w:t>Primary and Secondary</w:t>
            </w:r>
          </w:p>
          <w:p w14:paraId="52604152" w14:textId="77777777" w:rsidR="00DC0D3C" w:rsidRPr="0030519B" w:rsidRDefault="00DC0D3C" w:rsidP="00772DAC">
            <w:pPr>
              <w:pStyle w:val="BodyText"/>
              <w:spacing w:after="0" w:line="276" w:lineRule="auto"/>
              <w:ind w:left="0" w:firstLine="0"/>
            </w:pPr>
          </w:p>
          <w:p w14:paraId="51B6CCD7" w14:textId="77777777" w:rsidR="00DC0D3C" w:rsidRPr="0030519B" w:rsidRDefault="00DC0D3C" w:rsidP="00772DAC">
            <w:pPr>
              <w:pStyle w:val="BodyText"/>
              <w:spacing w:after="0" w:line="276" w:lineRule="auto"/>
              <w:ind w:left="0" w:firstLine="0"/>
            </w:pPr>
          </w:p>
          <w:p w14:paraId="6CDD3D14" w14:textId="77777777" w:rsidR="00DC0D3C" w:rsidRPr="0030519B" w:rsidRDefault="00DC0D3C" w:rsidP="00772DAC">
            <w:pPr>
              <w:pStyle w:val="BodyText"/>
              <w:spacing w:after="0" w:line="276" w:lineRule="auto"/>
              <w:ind w:left="0" w:firstLine="0"/>
            </w:pPr>
          </w:p>
          <w:p w14:paraId="4FD0B01B" w14:textId="77777777" w:rsidR="00375C2C" w:rsidRDefault="00375C2C" w:rsidP="00772DAC">
            <w:pPr>
              <w:pStyle w:val="BodyText"/>
              <w:spacing w:after="0" w:line="276" w:lineRule="auto"/>
              <w:ind w:left="0" w:firstLine="0"/>
              <w:rPr>
                <w:sz w:val="22"/>
              </w:rPr>
            </w:pPr>
          </w:p>
          <w:p w14:paraId="5257661F" w14:textId="77777777" w:rsidR="00375C2C" w:rsidRDefault="00375C2C" w:rsidP="00772DAC">
            <w:pPr>
              <w:pStyle w:val="BodyText"/>
              <w:spacing w:after="0" w:line="276" w:lineRule="auto"/>
              <w:ind w:left="0" w:firstLine="0"/>
              <w:rPr>
                <w:sz w:val="22"/>
              </w:rPr>
            </w:pPr>
          </w:p>
          <w:p w14:paraId="7E7D1475" w14:textId="76CBD288" w:rsidR="00DC0D3C" w:rsidRPr="0030519B" w:rsidRDefault="00DC0D3C" w:rsidP="00772DAC">
            <w:pPr>
              <w:pStyle w:val="BodyText"/>
              <w:spacing w:after="0" w:line="276" w:lineRule="auto"/>
              <w:ind w:left="0" w:firstLine="0"/>
            </w:pPr>
            <w:r w:rsidRPr="0030519B">
              <w:rPr>
                <w:sz w:val="22"/>
              </w:rPr>
              <w:t>Primary</w:t>
            </w:r>
          </w:p>
          <w:p w14:paraId="1F86D7CC" w14:textId="77777777" w:rsidR="00DC0D3C" w:rsidRPr="0030519B" w:rsidRDefault="00DC0D3C" w:rsidP="00772DAC">
            <w:pPr>
              <w:pStyle w:val="BodyText"/>
              <w:spacing w:after="0" w:line="276" w:lineRule="auto"/>
              <w:ind w:left="0" w:firstLine="0"/>
            </w:pPr>
          </w:p>
          <w:p w14:paraId="13117A5D" w14:textId="77777777" w:rsidR="00DC0D3C" w:rsidRPr="0030519B" w:rsidRDefault="00DC0D3C" w:rsidP="00772DAC">
            <w:pPr>
              <w:pStyle w:val="BodyText"/>
              <w:spacing w:after="0" w:line="276" w:lineRule="auto"/>
              <w:ind w:left="0" w:firstLine="0"/>
            </w:pPr>
          </w:p>
          <w:p w14:paraId="208FFFAE" w14:textId="77777777" w:rsidR="00DC0D3C" w:rsidRPr="0030519B" w:rsidRDefault="00DC0D3C" w:rsidP="00772DAC">
            <w:pPr>
              <w:pStyle w:val="BodyText"/>
              <w:spacing w:after="0" w:line="276" w:lineRule="auto"/>
              <w:ind w:left="0" w:firstLine="0"/>
            </w:pPr>
          </w:p>
          <w:p w14:paraId="4F506B09" w14:textId="77777777" w:rsidR="00DC0D3C" w:rsidRPr="0030519B" w:rsidRDefault="00DC0D3C" w:rsidP="00772DAC">
            <w:pPr>
              <w:pStyle w:val="BodyText"/>
              <w:spacing w:after="0" w:line="276" w:lineRule="auto"/>
              <w:ind w:left="0" w:firstLine="0"/>
            </w:pPr>
          </w:p>
          <w:p w14:paraId="5B271448" w14:textId="77777777" w:rsidR="00DC0D3C" w:rsidRPr="0030519B" w:rsidRDefault="00DC0D3C" w:rsidP="00772DAC">
            <w:pPr>
              <w:pStyle w:val="BodyText"/>
              <w:spacing w:after="0" w:line="276" w:lineRule="auto"/>
              <w:ind w:left="0" w:firstLine="0"/>
            </w:pPr>
          </w:p>
          <w:p w14:paraId="0541EA19" w14:textId="77777777" w:rsidR="00DC0D3C" w:rsidRPr="0030519B" w:rsidRDefault="00DC0D3C" w:rsidP="00772DAC">
            <w:pPr>
              <w:pStyle w:val="BodyText"/>
              <w:spacing w:after="0" w:line="276" w:lineRule="auto"/>
              <w:ind w:left="0" w:firstLine="0"/>
            </w:pPr>
            <w:r w:rsidRPr="0030519B">
              <w:rPr>
                <w:sz w:val="22"/>
              </w:rPr>
              <w:t xml:space="preserve">Primary </w:t>
            </w:r>
          </w:p>
        </w:tc>
        <w:tc>
          <w:tcPr>
            <w:tcW w:w="1268" w:type="dxa"/>
            <w:tcBorders>
              <w:top w:val="single" w:sz="4" w:space="0" w:color="auto"/>
              <w:bottom w:val="single" w:sz="4" w:space="0" w:color="auto"/>
            </w:tcBorders>
          </w:tcPr>
          <w:p w14:paraId="4CBE6FB0" w14:textId="1C996A4C" w:rsidR="00DC0D3C" w:rsidRPr="0030519B" w:rsidRDefault="00DC0D3C" w:rsidP="00772DAC">
            <w:pPr>
              <w:pStyle w:val="BodyText"/>
              <w:spacing w:after="0" w:line="276" w:lineRule="auto"/>
              <w:ind w:left="0" w:firstLine="0"/>
              <w:jc w:val="left"/>
            </w:pPr>
            <w:r w:rsidRPr="0030519B">
              <w:rPr>
                <w:sz w:val="22"/>
              </w:rPr>
              <w:t>FC, DA, Traditional Authority</w:t>
            </w:r>
            <w:r w:rsidR="00B908C4">
              <w:rPr>
                <w:sz w:val="22"/>
              </w:rPr>
              <w:t>, community members</w:t>
            </w:r>
          </w:p>
          <w:p w14:paraId="40CF8C07" w14:textId="77777777" w:rsidR="00DC0D3C" w:rsidRPr="0030519B" w:rsidRDefault="00DC0D3C" w:rsidP="00772DAC">
            <w:pPr>
              <w:pStyle w:val="BodyText"/>
              <w:spacing w:after="0" w:line="276" w:lineRule="auto"/>
              <w:ind w:left="0" w:firstLine="0"/>
              <w:jc w:val="left"/>
            </w:pPr>
          </w:p>
          <w:p w14:paraId="1071DD37" w14:textId="32AE05A1" w:rsidR="00DC0D3C" w:rsidRPr="0030519B" w:rsidRDefault="00DC0D3C" w:rsidP="00772DAC">
            <w:pPr>
              <w:pStyle w:val="BodyText"/>
              <w:spacing w:after="0" w:line="276" w:lineRule="auto"/>
              <w:ind w:left="0" w:firstLine="0"/>
              <w:jc w:val="left"/>
            </w:pPr>
            <w:r w:rsidRPr="0030519B">
              <w:rPr>
                <w:sz w:val="22"/>
              </w:rPr>
              <w:t>FC, DA, Traditional Authority</w:t>
            </w:r>
          </w:p>
          <w:p w14:paraId="2A5276E9" w14:textId="77777777" w:rsidR="00375C2C" w:rsidRDefault="00375C2C" w:rsidP="00772DAC">
            <w:pPr>
              <w:pStyle w:val="BodyText"/>
              <w:spacing w:after="0" w:line="276" w:lineRule="auto"/>
              <w:ind w:left="0" w:firstLine="0"/>
              <w:jc w:val="left"/>
              <w:rPr>
                <w:sz w:val="22"/>
              </w:rPr>
            </w:pPr>
          </w:p>
          <w:p w14:paraId="0E5F0628" w14:textId="0DBD181B" w:rsidR="00DC0D3C" w:rsidRPr="0030519B" w:rsidRDefault="00DC0D3C" w:rsidP="00772DAC">
            <w:pPr>
              <w:pStyle w:val="BodyText"/>
              <w:spacing w:after="0" w:line="276" w:lineRule="auto"/>
              <w:ind w:left="0" w:firstLine="0"/>
              <w:jc w:val="left"/>
            </w:pPr>
            <w:r w:rsidRPr="0030519B">
              <w:rPr>
                <w:sz w:val="22"/>
              </w:rPr>
              <w:t>Community members</w:t>
            </w:r>
          </w:p>
          <w:p w14:paraId="260B5D60" w14:textId="77777777" w:rsidR="00DC0D3C" w:rsidRDefault="00DC0D3C" w:rsidP="00772DAC">
            <w:pPr>
              <w:pStyle w:val="BodyText"/>
              <w:spacing w:after="0" w:line="276" w:lineRule="auto"/>
              <w:ind w:left="0" w:firstLine="0"/>
              <w:jc w:val="left"/>
            </w:pPr>
          </w:p>
          <w:p w14:paraId="0FC329E3" w14:textId="77777777" w:rsidR="00FA6794" w:rsidRPr="00FA6794" w:rsidRDefault="00FA6794" w:rsidP="00772DAC">
            <w:pPr>
              <w:pStyle w:val="BodyText"/>
              <w:spacing w:after="0" w:line="276" w:lineRule="auto"/>
              <w:ind w:left="0" w:firstLine="0"/>
              <w:jc w:val="left"/>
              <w:rPr>
                <w:sz w:val="36"/>
              </w:rPr>
            </w:pPr>
          </w:p>
          <w:p w14:paraId="1D09E6D9" w14:textId="77777777" w:rsidR="00DC0D3C" w:rsidRPr="0030519B" w:rsidRDefault="00DC0D3C" w:rsidP="00772DAC">
            <w:pPr>
              <w:pStyle w:val="BodyText"/>
              <w:spacing w:after="0" w:line="276" w:lineRule="auto"/>
              <w:ind w:left="0" w:firstLine="0"/>
              <w:jc w:val="left"/>
            </w:pPr>
            <w:r w:rsidRPr="0030519B">
              <w:rPr>
                <w:sz w:val="22"/>
              </w:rPr>
              <w:t>Community members</w:t>
            </w:r>
          </w:p>
        </w:tc>
        <w:tc>
          <w:tcPr>
            <w:tcW w:w="2306" w:type="dxa"/>
            <w:tcBorders>
              <w:top w:val="single" w:sz="4" w:space="0" w:color="auto"/>
              <w:bottom w:val="single" w:sz="4" w:space="0" w:color="auto"/>
            </w:tcBorders>
          </w:tcPr>
          <w:p w14:paraId="1FE9C470" w14:textId="77777777" w:rsidR="00DC0D3C" w:rsidRPr="0030519B" w:rsidRDefault="00DC0D3C" w:rsidP="00772DAC">
            <w:pPr>
              <w:pStyle w:val="BodyText"/>
              <w:spacing w:after="0" w:line="276" w:lineRule="auto"/>
              <w:ind w:left="0" w:firstLine="0"/>
            </w:pPr>
            <w:r w:rsidRPr="0030519B">
              <w:rPr>
                <w:sz w:val="22"/>
              </w:rPr>
              <w:t>Purposive</w:t>
            </w:r>
            <w:r w:rsidR="00036E12" w:rsidRPr="0030519B">
              <w:rPr>
                <w:sz w:val="22"/>
              </w:rPr>
              <w:t>/Convenience</w:t>
            </w:r>
          </w:p>
          <w:p w14:paraId="6621B99A" w14:textId="77777777" w:rsidR="00DC0D3C" w:rsidRPr="0030519B" w:rsidRDefault="00DC0D3C" w:rsidP="00772DAC">
            <w:pPr>
              <w:pStyle w:val="BodyText"/>
              <w:spacing w:after="0" w:line="276" w:lineRule="auto"/>
              <w:ind w:left="0" w:firstLine="0"/>
            </w:pPr>
          </w:p>
          <w:p w14:paraId="36DA3CA3" w14:textId="77777777" w:rsidR="00DC0D3C" w:rsidRPr="0030519B" w:rsidRDefault="00DC0D3C" w:rsidP="00772DAC">
            <w:pPr>
              <w:pStyle w:val="BodyText"/>
              <w:spacing w:after="0" w:line="276" w:lineRule="auto"/>
              <w:ind w:left="0" w:firstLine="0"/>
            </w:pPr>
          </w:p>
          <w:p w14:paraId="6D54FE12" w14:textId="77777777" w:rsidR="00DC0D3C" w:rsidRPr="0030519B" w:rsidRDefault="00DC0D3C" w:rsidP="00772DAC">
            <w:pPr>
              <w:pStyle w:val="BodyText"/>
              <w:spacing w:after="0" w:line="276" w:lineRule="auto"/>
              <w:ind w:left="0" w:firstLine="0"/>
            </w:pPr>
          </w:p>
          <w:p w14:paraId="70A3F5F7" w14:textId="77777777" w:rsidR="00DC0D3C" w:rsidRPr="0030519B" w:rsidRDefault="00DC0D3C" w:rsidP="00772DAC">
            <w:pPr>
              <w:pStyle w:val="BodyText"/>
              <w:spacing w:after="0" w:line="276" w:lineRule="auto"/>
              <w:ind w:left="0" w:firstLine="0"/>
            </w:pPr>
          </w:p>
          <w:p w14:paraId="5D2007A1" w14:textId="77777777" w:rsidR="00DC0D3C" w:rsidRPr="0030519B" w:rsidRDefault="00DC0D3C" w:rsidP="00772DAC">
            <w:pPr>
              <w:pStyle w:val="BodyText"/>
              <w:spacing w:after="0" w:line="276" w:lineRule="auto"/>
              <w:ind w:left="0" w:firstLine="0"/>
            </w:pPr>
            <w:r w:rsidRPr="0030519B">
              <w:rPr>
                <w:sz w:val="22"/>
              </w:rPr>
              <w:t>Purposive</w:t>
            </w:r>
            <w:r w:rsidR="00036E12" w:rsidRPr="0030519B">
              <w:rPr>
                <w:sz w:val="22"/>
              </w:rPr>
              <w:t>/convenience</w:t>
            </w:r>
          </w:p>
          <w:p w14:paraId="30D191EB" w14:textId="77777777" w:rsidR="00DC0D3C" w:rsidRPr="0030519B" w:rsidRDefault="00DC0D3C" w:rsidP="00772DAC">
            <w:pPr>
              <w:pStyle w:val="BodyText"/>
              <w:spacing w:after="0" w:line="276" w:lineRule="auto"/>
              <w:ind w:left="0" w:firstLine="0"/>
            </w:pPr>
          </w:p>
          <w:p w14:paraId="72D7A375" w14:textId="77777777" w:rsidR="00DC0D3C" w:rsidRPr="0030519B" w:rsidRDefault="00DC0D3C" w:rsidP="00772DAC">
            <w:pPr>
              <w:pStyle w:val="BodyText"/>
              <w:spacing w:after="0" w:line="276" w:lineRule="auto"/>
              <w:ind w:left="0" w:firstLine="0"/>
            </w:pPr>
          </w:p>
          <w:p w14:paraId="55A6BD75" w14:textId="77777777" w:rsidR="00DC0D3C" w:rsidRPr="0030519B" w:rsidRDefault="00DC0D3C" w:rsidP="00772DAC">
            <w:pPr>
              <w:pStyle w:val="BodyText"/>
              <w:spacing w:after="0" w:line="276" w:lineRule="auto"/>
              <w:ind w:left="0" w:firstLine="0"/>
            </w:pPr>
          </w:p>
          <w:p w14:paraId="56172A23" w14:textId="77777777" w:rsidR="00DC0D3C" w:rsidRPr="0030519B" w:rsidRDefault="00DC0D3C" w:rsidP="00772DAC">
            <w:pPr>
              <w:pStyle w:val="BodyText"/>
              <w:spacing w:after="0" w:line="276" w:lineRule="auto"/>
              <w:ind w:left="0" w:firstLine="0"/>
            </w:pPr>
          </w:p>
          <w:p w14:paraId="51B865F1" w14:textId="77777777" w:rsidR="00DC0D3C" w:rsidRPr="0030519B" w:rsidRDefault="00DC0D3C" w:rsidP="00772DAC">
            <w:pPr>
              <w:pStyle w:val="BodyText"/>
              <w:spacing w:after="0" w:line="276" w:lineRule="auto"/>
              <w:ind w:left="0" w:firstLine="0"/>
            </w:pPr>
            <w:r w:rsidRPr="0030519B">
              <w:rPr>
                <w:sz w:val="22"/>
              </w:rPr>
              <w:t xml:space="preserve">Convenience </w:t>
            </w:r>
          </w:p>
          <w:p w14:paraId="2A2BB79A" w14:textId="77777777" w:rsidR="00DC0D3C" w:rsidRPr="0030519B" w:rsidRDefault="00DC0D3C" w:rsidP="00772DAC">
            <w:pPr>
              <w:pStyle w:val="BodyText"/>
              <w:spacing w:after="0" w:line="276" w:lineRule="auto"/>
              <w:ind w:left="0" w:firstLine="0"/>
            </w:pPr>
          </w:p>
          <w:p w14:paraId="6A2F5BBF" w14:textId="77777777" w:rsidR="00DC0D3C" w:rsidRPr="0030519B" w:rsidRDefault="00DC0D3C" w:rsidP="00772DAC">
            <w:pPr>
              <w:pStyle w:val="BodyText"/>
              <w:spacing w:after="0" w:line="276" w:lineRule="auto"/>
              <w:ind w:left="0" w:firstLine="0"/>
            </w:pPr>
          </w:p>
          <w:p w14:paraId="35DF8F32" w14:textId="77777777" w:rsidR="00DC0D3C" w:rsidRPr="0030519B" w:rsidRDefault="00DC0D3C" w:rsidP="00772DAC">
            <w:pPr>
              <w:pStyle w:val="BodyText"/>
              <w:spacing w:after="0" w:line="276" w:lineRule="auto"/>
              <w:ind w:left="0" w:firstLine="0"/>
            </w:pPr>
          </w:p>
          <w:p w14:paraId="7EC3CC3E" w14:textId="77777777" w:rsidR="00DC0D3C" w:rsidRPr="0030519B" w:rsidRDefault="00DC0D3C" w:rsidP="00772DAC">
            <w:pPr>
              <w:pStyle w:val="BodyText"/>
              <w:spacing w:after="0" w:line="276" w:lineRule="auto"/>
              <w:ind w:left="0" w:firstLine="0"/>
            </w:pPr>
          </w:p>
          <w:p w14:paraId="387F5797" w14:textId="77777777" w:rsidR="00DC0D3C" w:rsidRPr="0030519B" w:rsidRDefault="00DC0D3C" w:rsidP="00772DAC">
            <w:pPr>
              <w:pStyle w:val="BodyText"/>
              <w:spacing w:after="0" w:line="276" w:lineRule="auto"/>
              <w:ind w:left="0" w:firstLine="0"/>
            </w:pPr>
            <w:r w:rsidRPr="0030519B">
              <w:rPr>
                <w:sz w:val="22"/>
              </w:rPr>
              <w:t xml:space="preserve">Convenience </w:t>
            </w:r>
          </w:p>
        </w:tc>
        <w:tc>
          <w:tcPr>
            <w:tcW w:w="0" w:type="auto"/>
            <w:tcBorders>
              <w:top w:val="single" w:sz="4" w:space="0" w:color="auto"/>
              <w:bottom w:val="single" w:sz="4" w:space="0" w:color="auto"/>
            </w:tcBorders>
          </w:tcPr>
          <w:p w14:paraId="08501972" w14:textId="77777777" w:rsidR="00DC0D3C" w:rsidRPr="00A17D73" w:rsidRDefault="00DC0D3C" w:rsidP="00772DAC">
            <w:pPr>
              <w:pStyle w:val="BodyText"/>
              <w:spacing w:after="0" w:line="276" w:lineRule="auto"/>
              <w:ind w:left="0" w:firstLine="0"/>
              <w:rPr>
                <w:lang w:val="fr-FR"/>
              </w:rPr>
            </w:pPr>
            <w:r w:rsidRPr="00A17D73">
              <w:rPr>
                <w:sz w:val="22"/>
                <w:lang w:val="fr-FR"/>
              </w:rPr>
              <w:t>Interviews/FGD</w:t>
            </w:r>
          </w:p>
          <w:p w14:paraId="03ECD8E0" w14:textId="77777777" w:rsidR="00DC0D3C" w:rsidRPr="00A17D73" w:rsidRDefault="00DC0D3C" w:rsidP="00772DAC">
            <w:pPr>
              <w:pStyle w:val="BodyText"/>
              <w:spacing w:after="0" w:line="276" w:lineRule="auto"/>
              <w:ind w:left="0" w:firstLine="0"/>
              <w:rPr>
                <w:lang w:val="fr-FR"/>
              </w:rPr>
            </w:pPr>
          </w:p>
          <w:p w14:paraId="3048AE2B" w14:textId="77777777" w:rsidR="00DC0D3C" w:rsidRPr="00A17D73" w:rsidRDefault="00DC0D3C" w:rsidP="00772DAC">
            <w:pPr>
              <w:pStyle w:val="BodyText"/>
              <w:spacing w:after="0" w:line="276" w:lineRule="auto"/>
              <w:ind w:left="0" w:firstLine="0"/>
              <w:rPr>
                <w:lang w:val="fr-FR"/>
              </w:rPr>
            </w:pPr>
          </w:p>
          <w:p w14:paraId="6F4E6236" w14:textId="77777777" w:rsidR="00DC0D3C" w:rsidRPr="00A17D73" w:rsidRDefault="00DC0D3C" w:rsidP="00772DAC">
            <w:pPr>
              <w:pStyle w:val="BodyText"/>
              <w:spacing w:after="0" w:line="276" w:lineRule="auto"/>
              <w:ind w:left="0" w:firstLine="0"/>
              <w:rPr>
                <w:lang w:val="fr-FR"/>
              </w:rPr>
            </w:pPr>
          </w:p>
          <w:p w14:paraId="2D1AB378" w14:textId="77777777" w:rsidR="00DC0D3C" w:rsidRPr="00A17D73" w:rsidRDefault="00DC0D3C" w:rsidP="00772DAC">
            <w:pPr>
              <w:pStyle w:val="BodyText"/>
              <w:spacing w:after="0" w:line="276" w:lineRule="auto"/>
              <w:ind w:left="0" w:firstLine="0"/>
              <w:rPr>
                <w:lang w:val="fr-FR"/>
              </w:rPr>
            </w:pPr>
          </w:p>
          <w:p w14:paraId="7463D430" w14:textId="77777777" w:rsidR="00DC0D3C" w:rsidRPr="00A17D73" w:rsidRDefault="00DC0D3C" w:rsidP="00772DAC">
            <w:pPr>
              <w:pStyle w:val="BodyText"/>
              <w:spacing w:after="0" w:line="276" w:lineRule="auto"/>
              <w:ind w:left="0" w:firstLine="0"/>
              <w:rPr>
                <w:lang w:val="fr-FR"/>
              </w:rPr>
            </w:pPr>
            <w:r w:rsidRPr="00A17D73">
              <w:rPr>
                <w:sz w:val="22"/>
                <w:lang w:val="fr-FR"/>
              </w:rPr>
              <w:t>Interviews/FGD</w:t>
            </w:r>
          </w:p>
          <w:p w14:paraId="34D02E39" w14:textId="77777777" w:rsidR="00DC0D3C" w:rsidRPr="00A17D73" w:rsidRDefault="00DC0D3C" w:rsidP="00772DAC">
            <w:pPr>
              <w:pStyle w:val="BodyText"/>
              <w:spacing w:after="0" w:line="276" w:lineRule="auto"/>
              <w:ind w:left="0" w:firstLine="0"/>
              <w:rPr>
                <w:lang w:val="fr-FR"/>
              </w:rPr>
            </w:pPr>
          </w:p>
          <w:p w14:paraId="318A130E" w14:textId="77777777" w:rsidR="00DC0D3C" w:rsidRPr="00A17D73" w:rsidRDefault="00DC0D3C" w:rsidP="00772DAC">
            <w:pPr>
              <w:pStyle w:val="BodyText"/>
              <w:spacing w:after="0" w:line="276" w:lineRule="auto"/>
              <w:ind w:left="0" w:firstLine="0"/>
              <w:rPr>
                <w:lang w:val="fr-FR"/>
              </w:rPr>
            </w:pPr>
          </w:p>
          <w:p w14:paraId="1909CB77" w14:textId="77777777" w:rsidR="00DC0D3C" w:rsidRPr="00A17D73" w:rsidRDefault="00DC0D3C" w:rsidP="00772DAC">
            <w:pPr>
              <w:pStyle w:val="BodyText"/>
              <w:spacing w:after="0" w:line="276" w:lineRule="auto"/>
              <w:ind w:left="0" w:firstLine="0"/>
              <w:rPr>
                <w:lang w:val="fr-FR"/>
              </w:rPr>
            </w:pPr>
          </w:p>
          <w:p w14:paraId="5A31CC0E" w14:textId="77777777" w:rsidR="00DC0D3C" w:rsidRPr="00A17D73" w:rsidRDefault="00DC0D3C" w:rsidP="00772DAC">
            <w:pPr>
              <w:pStyle w:val="BodyText"/>
              <w:spacing w:after="0" w:line="276" w:lineRule="auto"/>
              <w:ind w:left="0" w:firstLine="0"/>
              <w:rPr>
                <w:lang w:val="fr-FR"/>
              </w:rPr>
            </w:pPr>
          </w:p>
          <w:p w14:paraId="436E2E18" w14:textId="77777777" w:rsidR="00DC0D3C" w:rsidRPr="00A17D73" w:rsidRDefault="00DC0D3C" w:rsidP="00772DAC">
            <w:pPr>
              <w:pStyle w:val="BodyText"/>
              <w:spacing w:after="0" w:line="276" w:lineRule="auto"/>
              <w:ind w:left="0" w:firstLine="0"/>
              <w:rPr>
                <w:lang w:val="fr-FR"/>
              </w:rPr>
            </w:pPr>
            <w:r w:rsidRPr="00A17D73">
              <w:rPr>
                <w:sz w:val="22"/>
                <w:lang w:val="fr-FR"/>
              </w:rPr>
              <w:t>Questionnaire administration</w:t>
            </w:r>
          </w:p>
          <w:p w14:paraId="74EB35F8" w14:textId="77777777" w:rsidR="00DC0D3C" w:rsidRPr="00A17D73" w:rsidRDefault="00DC0D3C" w:rsidP="00772DAC">
            <w:pPr>
              <w:pStyle w:val="BodyText"/>
              <w:spacing w:after="0" w:line="276" w:lineRule="auto"/>
              <w:ind w:left="0" w:firstLine="0"/>
              <w:rPr>
                <w:lang w:val="fr-FR"/>
              </w:rPr>
            </w:pPr>
          </w:p>
          <w:p w14:paraId="685602A7" w14:textId="77777777" w:rsidR="00DC0D3C" w:rsidRPr="00A17D73" w:rsidRDefault="00DC0D3C" w:rsidP="00772DAC">
            <w:pPr>
              <w:pStyle w:val="BodyText"/>
              <w:spacing w:after="0" w:line="276" w:lineRule="auto"/>
              <w:ind w:left="0" w:firstLine="0"/>
              <w:rPr>
                <w:lang w:val="fr-FR"/>
              </w:rPr>
            </w:pPr>
          </w:p>
          <w:p w14:paraId="46B0B2A2" w14:textId="77777777" w:rsidR="00DC0D3C" w:rsidRPr="00A17D73" w:rsidRDefault="00DC0D3C" w:rsidP="00772DAC">
            <w:pPr>
              <w:pStyle w:val="BodyText"/>
              <w:spacing w:after="0" w:line="276" w:lineRule="auto"/>
              <w:ind w:left="0" w:firstLine="0"/>
              <w:rPr>
                <w:lang w:val="fr-FR"/>
              </w:rPr>
            </w:pPr>
          </w:p>
          <w:p w14:paraId="03C1D542" w14:textId="77777777" w:rsidR="00DC0D3C" w:rsidRPr="00A17D73" w:rsidRDefault="00DC0D3C" w:rsidP="00772DAC">
            <w:pPr>
              <w:pStyle w:val="BodyText"/>
              <w:spacing w:after="0" w:line="276" w:lineRule="auto"/>
              <w:ind w:left="0" w:firstLine="0"/>
              <w:rPr>
                <w:lang w:val="fr-FR"/>
              </w:rPr>
            </w:pPr>
            <w:r w:rsidRPr="00A17D73">
              <w:rPr>
                <w:sz w:val="22"/>
                <w:lang w:val="fr-FR"/>
              </w:rPr>
              <w:t>Questionnaire administration</w:t>
            </w:r>
          </w:p>
        </w:tc>
        <w:tc>
          <w:tcPr>
            <w:tcW w:w="0" w:type="auto"/>
            <w:tcBorders>
              <w:top w:val="single" w:sz="4" w:space="0" w:color="auto"/>
              <w:bottom w:val="single" w:sz="4" w:space="0" w:color="auto"/>
            </w:tcBorders>
          </w:tcPr>
          <w:p w14:paraId="3E1F07BD" w14:textId="77777777" w:rsidR="00DC0D3C" w:rsidRPr="0030519B" w:rsidRDefault="00DC0D3C" w:rsidP="00772DAC">
            <w:pPr>
              <w:pStyle w:val="BodyText"/>
              <w:spacing w:after="0" w:line="276" w:lineRule="auto"/>
              <w:ind w:left="0" w:firstLine="0"/>
            </w:pPr>
            <w:r w:rsidRPr="0030519B">
              <w:rPr>
                <w:sz w:val="22"/>
              </w:rPr>
              <w:t>Interview guide/FGDG</w:t>
            </w:r>
          </w:p>
          <w:p w14:paraId="4778B16E" w14:textId="77777777" w:rsidR="00DC0D3C" w:rsidRPr="0030519B" w:rsidRDefault="00DC0D3C" w:rsidP="00772DAC">
            <w:pPr>
              <w:pStyle w:val="BodyText"/>
              <w:spacing w:after="0" w:line="276" w:lineRule="auto"/>
              <w:ind w:left="0" w:firstLine="0"/>
            </w:pPr>
          </w:p>
          <w:p w14:paraId="7C3BA5A5" w14:textId="77777777" w:rsidR="00DC0D3C" w:rsidRPr="0030519B" w:rsidRDefault="00DC0D3C" w:rsidP="00772DAC">
            <w:pPr>
              <w:pStyle w:val="BodyText"/>
              <w:spacing w:after="0" w:line="276" w:lineRule="auto"/>
              <w:ind w:left="0" w:firstLine="0"/>
            </w:pPr>
          </w:p>
          <w:p w14:paraId="174E9F3C" w14:textId="77777777" w:rsidR="00DC0D3C" w:rsidRPr="0030519B" w:rsidRDefault="00DC0D3C" w:rsidP="00772DAC">
            <w:pPr>
              <w:pStyle w:val="BodyText"/>
              <w:spacing w:after="0" w:line="276" w:lineRule="auto"/>
              <w:ind w:left="0" w:firstLine="0"/>
            </w:pPr>
          </w:p>
          <w:p w14:paraId="3E3F70AD" w14:textId="77777777" w:rsidR="00DC0D3C" w:rsidRPr="0030519B" w:rsidRDefault="00DC0D3C" w:rsidP="00772DAC">
            <w:pPr>
              <w:pStyle w:val="BodyText"/>
              <w:spacing w:after="0" w:line="276" w:lineRule="auto"/>
              <w:ind w:left="0" w:firstLine="0"/>
            </w:pPr>
            <w:r w:rsidRPr="0030519B">
              <w:rPr>
                <w:sz w:val="22"/>
              </w:rPr>
              <w:t>Interview guide/FGDG</w:t>
            </w:r>
          </w:p>
          <w:p w14:paraId="22D27950" w14:textId="77777777" w:rsidR="00DC0D3C" w:rsidRPr="0030519B" w:rsidRDefault="00DC0D3C" w:rsidP="00772DAC">
            <w:pPr>
              <w:pStyle w:val="BodyText"/>
              <w:spacing w:after="0" w:line="276" w:lineRule="auto"/>
              <w:ind w:left="0" w:firstLine="0"/>
            </w:pPr>
          </w:p>
          <w:p w14:paraId="7F84AB14" w14:textId="77777777" w:rsidR="00DC0D3C" w:rsidRPr="0030519B" w:rsidRDefault="00DC0D3C" w:rsidP="00772DAC">
            <w:pPr>
              <w:pStyle w:val="BodyText"/>
              <w:spacing w:after="0" w:line="276" w:lineRule="auto"/>
              <w:ind w:left="0" w:firstLine="0"/>
            </w:pPr>
          </w:p>
          <w:p w14:paraId="77820422" w14:textId="77777777" w:rsidR="00DC0D3C" w:rsidRPr="0030519B" w:rsidRDefault="00DC0D3C" w:rsidP="00772DAC">
            <w:pPr>
              <w:pStyle w:val="BodyText"/>
              <w:spacing w:after="0" w:line="276" w:lineRule="auto"/>
              <w:ind w:left="0" w:firstLine="0"/>
            </w:pPr>
          </w:p>
          <w:p w14:paraId="51E5764D" w14:textId="77777777" w:rsidR="00DC0D3C" w:rsidRPr="0030519B" w:rsidRDefault="00DC0D3C" w:rsidP="00772DAC">
            <w:pPr>
              <w:pStyle w:val="BodyText"/>
              <w:spacing w:after="0" w:line="276" w:lineRule="auto"/>
              <w:ind w:left="0" w:firstLine="0"/>
            </w:pPr>
            <w:r w:rsidRPr="0030519B">
              <w:rPr>
                <w:sz w:val="22"/>
              </w:rPr>
              <w:t>Questionnaire</w:t>
            </w:r>
          </w:p>
          <w:p w14:paraId="6AF83BD1" w14:textId="77777777" w:rsidR="00DC0D3C" w:rsidRPr="0030519B" w:rsidRDefault="00DC0D3C" w:rsidP="00772DAC">
            <w:pPr>
              <w:pStyle w:val="BodyText"/>
              <w:spacing w:after="0" w:line="276" w:lineRule="auto"/>
              <w:ind w:left="0" w:firstLine="0"/>
            </w:pPr>
          </w:p>
          <w:p w14:paraId="501BA494" w14:textId="77777777" w:rsidR="00DC0D3C" w:rsidRPr="0030519B" w:rsidRDefault="00DC0D3C" w:rsidP="00772DAC">
            <w:pPr>
              <w:pStyle w:val="BodyText"/>
              <w:spacing w:after="0" w:line="276" w:lineRule="auto"/>
              <w:ind w:left="0" w:firstLine="0"/>
            </w:pPr>
          </w:p>
          <w:p w14:paraId="4F85B215" w14:textId="77777777" w:rsidR="00DC0D3C" w:rsidRPr="0030519B" w:rsidRDefault="00DC0D3C" w:rsidP="00772DAC">
            <w:pPr>
              <w:pStyle w:val="BodyText"/>
              <w:spacing w:after="0" w:line="276" w:lineRule="auto"/>
              <w:ind w:left="0" w:firstLine="0"/>
            </w:pPr>
          </w:p>
          <w:p w14:paraId="43C63FC6" w14:textId="77777777" w:rsidR="00DC0D3C" w:rsidRPr="0030519B" w:rsidRDefault="00DC0D3C" w:rsidP="00772DAC">
            <w:pPr>
              <w:pStyle w:val="BodyText"/>
              <w:spacing w:after="0" w:line="276" w:lineRule="auto"/>
              <w:ind w:left="0" w:firstLine="0"/>
            </w:pPr>
          </w:p>
          <w:p w14:paraId="27895A76" w14:textId="77777777" w:rsidR="00DC0D3C" w:rsidRPr="0030519B" w:rsidRDefault="00DC0D3C" w:rsidP="00772DAC">
            <w:pPr>
              <w:pStyle w:val="BodyText"/>
              <w:spacing w:after="0" w:line="276" w:lineRule="auto"/>
              <w:ind w:left="0" w:firstLine="0"/>
            </w:pPr>
            <w:r w:rsidRPr="0030519B">
              <w:rPr>
                <w:sz w:val="22"/>
              </w:rPr>
              <w:t xml:space="preserve">Questionnaire </w:t>
            </w:r>
          </w:p>
          <w:p w14:paraId="5B6017F0" w14:textId="77777777" w:rsidR="00DC0D3C" w:rsidRPr="0030519B" w:rsidRDefault="00DC0D3C" w:rsidP="00772DAC">
            <w:pPr>
              <w:pStyle w:val="BodyText"/>
              <w:spacing w:after="0" w:line="276" w:lineRule="auto"/>
              <w:ind w:left="0" w:firstLine="0"/>
            </w:pPr>
          </w:p>
        </w:tc>
        <w:tc>
          <w:tcPr>
            <w:tcW w:w="0" w:type="auto"/>
            <w:tcBorders>
              <w:top w:val="single" w:sz="4" w:space="0" w:color="auto"/>
              <w:bottom w:val="single" w:sz="4" w:space="0" w:color="auto"/>
            </w:tcBorders>
          </w:tcPr>
          <w:p w14:paraId="10833F70" w14:textId="3A9C9B98" w:rsidR="00DC0D3C" w:rsidRPr="0030519B" w:rsidRDefault="007047CD" w:rsidP="00772DAC">
            <w:pPr>
              <w:pStyle w:val="BodyText"/>
              <w:spacing w:after="0" w:line="276" w:lineRule="auto"/>
              <w:ind w:left="0" w:firstLine="0"/>
            </w:pPr>
            <w:r>
              <w:rPr>
                <w:sz w:val="22"/>
              </w:rPr>
              <w:t>Document review</w:t>
            </w:r>
            <w:r w:rsidR="00DC0D3C" w:rsidRPr="0030519B">
              <w:rPr>
                <w:sz w:val="22"/>
              </w:rPr>
              <w:t>/</w:t>
            </w:r>
            <w:r w:rsidR="00BC1A67">
              <w:rPr>
                <w:sz w:val="22"/>
              </w:rPr>
              <w:t>analytic induction</w:t>
            </w:r>
          </w:p>
          <w:p w14:paraId="162558B9" w14:textId="77777777" w:rsidR="00DC0D3C" w:rsidRPr="0030519B" w:rsidRDefault="00DC0D3C" w:rsidP="00772DAC">
            <w:pPr>
              <w:pStyle w:val="BodyText"/>
              <w:spacing w:after="0" w:line="276" w:lineRule="auto"/>
              <w:ind w:left="0" w:firstLine="0"/>
            </w:pPr>
          </w:p>
          <w:p w14:paraId="31C96B0E" w14:textId="77777777" w:rsidR="00DC0D3C" w:rsidRPr="0030519B" w:rsidRDefault="00DC0D3C" w:rsidP="00772DAC">
            <w:pPr>
              <w:pStyle w:val="BodyText"/>
              <w:spacing w:after="0" w:line="276" w:lineRule="auto"/>
              <w:ind w:left="0" w:firstLine="0"/>
            </w:pPr>
          </w:p>
          <w:p w14:paraId="6E588C40" w14:textId="1B2AD5D3" w:rsidR="00DC0D3C" w:rsidRPr="0030519B" w:rsidRDefault="007047CD" w:rsidP="00772DAC">
            <w:pPr>
              <w:pStyle w:val="BodyText"/>
              <w:spacing w:after="0" w:line="276" w:lineRule="auto"/>
              <w:ind w:left="0" w:firstLine="0"/>
            </w:pPr>
            <w:r>
              <w:t>Analytic induction</w:t>
            </w:r>
          </w:p>
          <w:p w14:paraId="56096CEF" w14:textId="77777777" w:rsidR="00DC0D3C" w:rsidRPr="0030519B" w:rsidRDefault="00DC0D3C" w:rsidP="00772DAC">
            <w:pPr>
              <w:pStyle w:val="BodyText"/>
              <w:spacing w:after="0" w:line="276" w:lineRule="auto"/>
              <w:ind w:left="0" w:firstLine="0"/>
            </w:pPr>
          </w:p>
          <w:p w14:paraId="603BDB39" w14:textId="77777777" w:rsidR="00DC0D3C" w:rsidRPr="0030519B" w:rsidRDefault="00DC0D3C" w:rsidP="00772DAC">
            <w:pPr>
              <w:pStyle w:val="BodyText"/>
              <w:spacing w:after="0" w:line="276" w:lineRule="auto"/>
              <w:ind w:left="0" w:firstLine="0"/>
            </w:pPr>
          </w:p>
          <w:p w14:paraId="73560B4C" w14:textId="77777777" w:rsidR="00DC0D3C" w:rsidRPr="0030519B" w:rsidRDefault="00DC0D3C" w:rsidP="00772DAC">
            <w:pPr>
              <w:pStyle w:val="BodyText"/>
              <w:spacing w:after="0" w:line="276" w:lineRule="auto"/>
              <w:ind w:left="0" w:firstLine="0"/>
            </w:pPr>
          </w:p>
          <w:p w14:paraId="46FC4A89" w14:textId="77777777" w:rsidR="00DC0D3C" w:rsidRPr="0030519B" w:rsidRDefault="00DC0D3C" w:rsidP="00772DAC">
            <w:pPr>
              <w:pStyle w:val="BodyText"/>
              <w:spacing w:after="0" w:line="276" w:lineRule="auto"/>
              <w:ind w:left="0" w:firstLine="0"/>
            </w:pPr>
            <w:r w:rsidRPr="0030519B">
              <w:rPr>
                <w:sz w:val="22"/>
              </w:rPr>
              <w:t>Descriptives/ Participation Index</w:t>
            </w:r>
          </w:p>
          <w:p w14:paraId="596E91DB" w14:textId="77777777" w:rsidR="00DC0D3C" w:rsidRPr="0030519B" w:rsidRDefault="00DC0D3C" w:rsidP="00772DAC">
            <w:pPr>
              <w:pStyle w:val="BodyText"/>
              <w:spacing w:after="0" w:line="276" w:lineRule="auto"/>
              <w:ind w:left="0" w:firstLine="0"/>
            </w:pPr>
          </w:p>
          <w:p w14:paraId="01DE672A" w14:textId="77777777" w:rsidR="00DC0D3C" w:rsidRPr="0030519B" w:rsidRDefault="00DC0D3C" w:rsidP="00772DAC">
            <w:pPr>
              <w:pStyle w:val="BodyText"/>
              <w:spacing w:after="0" w:line="276" w:lineRule="auto"/>
              <w:ind w:left="0" w:firstLine="0"/>
            </w:pPr>
          </w:p>
          <w:p w14:paraId="4C285940" w14:textId="7B825B20" w:rsidR="00DC0D3C" w:rsidRPr="0030519B" w:rsidRDefault="00BF43E4" w:rsidP="00772DAC">
            <w:pPr>
              <w:pStyle w:val="BodyText"/>
              <w:spacing w:after="0" w:line="276" w:lineRule="auto"/>
              <w:ind w:left="0" w:firstLine="0"/>
            </w:pPr>
            <w:r>
              <w:rPr>
                <w:sz w:val="22"/>
              </w:rPr>
              <w:t xml:space="preserve">Cross-tabulation </w:t>
            </w:r>
            <w:r w:rsidR="00DC0D3C" w:rsidRPr="0030519B">
              <w:rPr>
                <w:sz w:val="22"/>
              </w:rPr>
              <w:t>Multinomial</w:t>
            </w:r>
            <w:r w:rsidR="00DB4767">
              <w:rPr>
                <w:sz w:val="22"/>
              </w:rPr>
              <w:t xml:space="preserve"> </w:t>
            </w:r>
            <w:r w:rsidR="00DC0D3C" w:rsidRPr="0030519B">
              <w:rPr>
                <w:sz w:val="22"/>
              </w:rPr>
              <w:t>Logistic Regression</w:t>
            </w:r>
          </w:p>
        </w:tc>
      </w:tr>
    </w:tbl>
    <w:p w14:paraId="0963B7F7" w14:textId="5224FEA3" w:rsidR="006A3E36" w:rsidRDefault="006A3E36" w:rsidP="00772DAC">
      <w:pPr>
        <w:pStyle w:val="BodyText"/>
        <w:ind w:left="0" w:firstLine="0"/>
        <w:sectPr w:rsidR="006A3E36" w:rsidSect="0081629E">
          <w:pgSz w:w="16838" w:h="11906" w:orient="landscape" w:code="9"/>
          <w:pgMar w:top="2880" w:right="1440" w:bottom="1440" w:left="1440" w:header="720" w:footer="720" w:gutter="0"/>
          <w:cols w:space="720"/>
          <w:docGrid w:linePitch="360"/>
        </w:sectPr>
      </w:pPr>
    </w:p>
    <w:p w14:paraId="51952C70" w14:textId="77777777" w:rsidR="00680F6A" w:rsidRPr="00D123C4" w:rsidRDefault="00680F6A" w:rsidP="00D123C4">
      <w:pPr>
        <w:pStyle w:val="Heading1"/>
        <w:spacing w:before="0"/>
        <w:ind w:left="-90"/>
      </w:pPr>
      <w:bookmarkStart w:id="330" w:name="_Toc202197663"/>
      <w:r w:rsidRPr="00D123C4">
        <w:lastRenderedPageBreak/>
        <w:t>CHAPTER FIVE</w:t>
      </w:r>
      <w:bookmarkEnd w:id="330"/>
      <w:r w:rsidRPr="00D123C4">
        <w:t xml:space="preserve"> </w:t>
      </w:r>
    </w:p>
    <w:p w14:paraId="62D696E2" w14:textId="492D5E21" w:rsidR="00680F6A" w:rsidRDefault="00880108" w:rsidP="00D123C4">
      <w:pPr>
        <w:pStyle w:val="Heading1"/>
        <w:spacing w:before="0"/>
        <w:ind w:left="-90"/>
      </w:pPr>
      <w:bookmarkStart w:id="331" w:name="_Toc202197664"/>
      <w:r w:rsidRPr="00D123C4">
        <w:t>EXAMI</w:t>
      </w:r>
      <w:r w:rsidR="00302EB5">
        <w:t>NATION OF</w:t>
      </w:r>
      <w:r w:rsidR="00680F6A" w:rsidRPr="00D123C4">
        <w:t xml:space="preserve"> THE LOCAL</w:t>
      </w:r>
      <w:r w:rsidR="00B36FC2">
        <w:t xml:space="preserve"> INSTITUTIONS</w:t>
      </w:r>
      <w:r w:rsidR="00680F6A" w:rsidRPr="00D123C4">
        <w:t xml:space="preserve"> </w:t>
      </w:r>
      <w:r w:rsidR="00E82C75">
        <w:t xml:space="preserve">ENHANCING </w:t>
      </w:r>
      <w:r w:rsidR="00680F6A" w:rsidRPr="00D123C4">
        <w:t xml:space="preserve">STAKEHOLDER </w:t>
      </w:r>
      <w:r w:rsidR="005F72BC" w:rsidRPr="00D123C4">
        <w:t xml:space="preserve">PARTICIPATION IN THE </w:t>
      </w:r>
      <w:r w:rsidR="00B36FC2">
        <w:t xml:space="preserve">SUSTAINABLE </w:t>
      </w:r>
      <w:r w:rsidR="00796E08" w:rsidRPr="00D123C4">
        <w:t>MANAGEMENT OF</w:t>
      </w:r>
      <w:r w:rsidR="00B36FC2">
        <w:t xml:space="preserve"> </w:t>
      </w:r>
      <w:r w:rsidR="00680F6A" w:rsidRPr="00D123C4">
        <w:t>THE BOBIRI AND SOUTHERN SCARP FOREST RESERVES</w:t>
      </w:r>
      <w:r w:rsidR="00680F6A">
        <w:t>.</w:t>
      </w:r>
      <w:bookmarkEnd w:id="331"/>
    </w:p>
    <w:p w14:paraId="5D673FE8" w14:textId="77777777" w:rsidR="00680F6A" w:rsidRPr="0027541D" w:rsidRDefault="00680F6A" w:rsidP="00772DAC">
      <w:pPr>
        <w:pStyle w:val="Heading2"/>
        <w:ind w:left="0"/>
      </w:pPr>
      <w:bookmarkStart w:id="332" w:name="_Toc202197665"/>
      <w:r>
        <w:t>Introduction</w:t>
      </w:r>
      <w:bookmarkEnd w:id="332"/>
      <w:r>
        <w:t xml:space="preserve"> </w:t>
      </w:r>
    </w:p>
    <w:p w14:paraId="5C7956DC" w14:textId="6FFCD6CF" w:rsidR="005E1452" w:rsidRDefault="006A3E36" w:rsidP="000C7937">
      <w:pPr>
        <w:spacing w:after="0"/>
        <w:ind w:left="0" w:firstLine="0"/>
        <w:rPr>
          <w:rFonts w:cs="Times New Roman"/>
          <w:szCs w:val="24"/>
        </w:rPr>
      </w:pPr>
      <w:r>
        <w:rPr>
          <w:rFonts w:cs="Times New Roman"/>
          <w:szCs w:val="24"/>
        </w:rPr>
        <w:tab/>
      </w:r>
      <w:r w:rsidR="000C7937" w:rsidRPr="0027541D">
        <w:rPr>
          <w:rFonts w:cs="Times New Roman"/>
          <w:szCs w:val="24"/>
        </w:rPr>
        <w:t xml:space="preserve">The </w:t>
      </w:r>
      <w:r w:rsidR="000C7937">
        <w:rPr>
          <w:rFonts w:cs="Times New Roman"/>
          <w:szCs w:val="24"/>
        </w:rPr>
        <w:t xml:space="preserve">first objective of this study </w:t>
      </w:r>
      <w:r w:rsidR="000C7937" w:rsidRPr="0027541D">
        <w:rPr>
          <w:rFonts w:cs="Times New Roman"/>
          <w:szCs w:val="24"/>
        </w:rPr>
        <w:t xml:space="preserve">was to </w:t>
      </w:r>
      <w:r w:rsidR="00847E9A">
        <w:rPr>
          <w:rFonts w:cs="Times New Roman"/>
          <w:szCs w:val="24"/>
        </w:rPr>
        <w:t>examine</w:t>
      </w:r>
      <w:r w:rsidR="000C7937" w:rsidRPr="0027541D">
        <w:rPr>
          <w:rFonts w:cs="Times New Roman"/>
          <w:szCs w:val="24"/>
        </w:rPr>
        <w:t xml:space="preserve"> local </w:t>
      </w:r>
      <w:r w:rsidR="00E82C75">
        <w:rPr>
          <w:rFonts w:cs="Times New Roman"/>
          <w:szCs w:val="24"/>
        </w:rPr>
        <w:t>institutions</w:t>
      </w:r>
      <w:r w:rsidR="000C7937" w:rsidRPr="0027541D">
        <w:rPr>
          <w:rFonts w:cs="Times New Roman"/>
          <w:szCs w:val="24"/>
        </w:rPr>
        <w:t xml:space="preserve"> </w:t>
      </w:r>
      <w:r w:rsidR="00E82C75">
        <w:rPr>
          <w:rFonts w:cs="Times New Roman"/>
          <w:szCs w:val="24"/>
        </w:rPr>
        <w:t>enhancing</w:t>
      </w:r>
      <w:r w:rsidR="000C7937" w:rsidRPr="0027541D">
        <w:rPr>
          <w:rFonts w:cs="Times New Roman"/>
          <w:szCs w:val="24"/>
        </w:rPr>
        <w:t xml:space="preserve"> stakeholder </w:t>
      </w:r>
      <w:r w:rsidR="000C7937">
        <w:rPr>
          <w:rFonts w:cs="Times New Roman"/>
          <w:szCs w:val="24"/>
        </w:rPr>
        <w:t xml:space="preserve">participation in the </w:t>
      </w:r>
      <w:r w:rsidR="00847E9A">
        <w:rPr>
          <w:rFonts w:cs="Times New Roman"/>
          <w:szCs w:val="24"/>
        </w:rPr>
        <w:t>Bobiri and Southern Scarp Forest Reserves management process</w:t>
      </w:r>
      <w:r w:rsidR="000C7937" w:rsidRPr="0027541D">
        <w:rPr>
          <w:rFonts w:cs="Times New Roman"/>
          <w:szCs w:val="24"/>
        </w:rPr>
        <w:t xml:space="preserve">es in Ghana. </w:t>
      </w:r>
      <w:r w:rsidR="009E4C22" w:rsidRPr="009E4C22">
        <w:rPr>
          <w:rFonts w:cs="Times New Roman"/>
          <w:szCs w:val="24"/>
        </w:rPr>
        <w:t>The Forestry Development Masterplan (2016-2036) aims to enhance environmental quality and ensure a sustainable supply of raw materials for both domestic and industrial use by promoting the rehabilitation and restoration of degraded landscapes</w:t>
      </w:r>
      <w:r w:rsidR="009E4C22">
        <w:rPr>
          <w:rFonts w:cs="Times New Roman"/>
          <w:szCs w:val="24"/>
        </w:rPr>
        <w:t xml:space="preserve">, </w:t>
      </w:r>
      <w:r w:rsidR="009E4C22" w:rsidRPr="009E4C22">
        <w:rPr>
          <w:rFonts w:cs="Times New Roman"/>
          <w:szCs w:val="24"/>
        </w:rPr>
        <w:t>community forestry and the implementation of suitable land-use practices for environmental protection.</w:t>
      </w:r>
      <w:r w:rsidR="000C7937" w:rsidRPr="0027541D">
        <w:rPr>
          <w:rFonts w:cs="Times New Roman"/>
          <w:szCs w:val="24"/>
        </w:rPr>
        <w:t xml:space="preserve"> In this light, this study explored </w:t>
      </w:r>
      <w:r w:rsidR="00302EB5">
        <w:rPr>
          <w:rFonts w:cs="Times New Roman"/>
          <w:szCs w:val="24"/>
        </w:rPr>
        <w:t>local institutions for stakeholder participation in the sustainable management of the reserves</w:t>
      </w:r>
      <w:r w:rsidR="000C7937" w:rsidRPr="0027541D">
        <w:rPr>
          <w:rFonts w:cs="Times New Roman"/>
          <w:szCs w:val="24"/>
        </w:rPr>
        <w:t>.</w:t>
      </w:r>
      <w:r w:rsidR="000C7937">
        <w:rPr>
          <w:rFonts w:cs="Times New Roman"/>
          <w:szCs w:val="24"/>
        </w:rPr>
        <w:t xml:space="preserve"> In exploring local institutions for stakeholder participation, the study discussed </w:t>
      </w:r>
      <w:r w:rsidR="005E1452">
        <w:rPr>
          <w:rFonts w:cs="Times New Roman"/>
          <w:szCs w:val="24"/>
        </w:rPr>
        <w:t xml:space="preserve">the formality of rules, undertook a stakeholder analysis, described the face-to-dialogue as well as benefits community members derived from participating in the </w:t>
      </w:r>
      <w:r w:rsidR="002E2CAA">
        <w:rPr>
          <w:rFonts w:cs="Times New Roman"/>
          <w:szCs w:val="24"/>
        </w:rPr>
        <w:t>reserve’s management.</w:t>
      </w:r>
    </w:p>
    <w:p w14:paraId="439E3C46" w14:textId="77777777" w:rsidR="000C7937" w:rsidRPr="0027541D" w:rsidRDefault="000C7937" w:rsidP="000C7937">
      <w:pPr>
        <w:pStyle w:val="Heading2"/>
        <w:ind w:left="0"/>
        <w:rPr>
          <w:rFonts w:cs="Times New Roman"/>
          <w:szCs w:val="24"/>
        </w:rPr>
      </w:pPr>
      <w:bookmarkStart w:id="333" w:name="_Toc202197666"/>
      <w:r>
        <w:rPr>
          <w:rFonts w:cs="Times New Roman"/>
          <w:szCs w:val="24"/>
        </w:rPr>
        <w:t>Forest Management Regime</w:t>
      </w:r>
      <w:bookmarkEnd w:id="333"/>
    </w:p>
    <w:p w14:paraId="287B3388" w14:textId="6537BC04" w:rsidR="000C7937" w:rsidRDefault="000C7937" w:rsidP="000C7937">
      <w:pPr>
        <w:spacing w:after="0"/>
        <w:ind w:left="0" w:firstLine="0"/>
        <w:rPr>
          <w:rFonts w:cs="Times New Roman"/>
          <w:szCs w:val="24"/>
        </w:rPr>
      </w:pPr>
      <w:r>
        <w:rPr>
          <w:rFonts w:cs="Times New Roman"/>
          <w:szCs w:val="24"/>
        </w:rPr>
        <w:tab/>
        <w:t>T</w:t>
      </w:r>
      <w:r w:rsidRPr="0027541D">
        <w:rPr>
          <w:rFonts w:cs="Times New Roman"/>
          <w:szCs w:val="24"/>
        </w:rPr>
        <w:t xml:space="preserve">he </w:t>
      </w:r>
      <w:r>
        <w:rPr>
          <w:rFonts w:cs="Times New Roman"/>
          <w:szCs w:val="24"/>
        </w:rPr>
        <w:t xml:space="preserve">management regime of the forest was one of the inputs to the management process identified in the conceptual framework. </w:t>
      </w:r>
      <w:r w:rsidRPr="0027541D">
        <w:rPr>
          <w:rFonts w:cs="Times New Roman"/>
          <w:szCs w:val="24"/>
        </w:rPr>
        <w:t>In th</w:t>
      </w:r>
      <w:r>
        <w:rPr>
          <w:rFonts w:cs="Times New Roman"/>
          <w:szCs w:val="24"/>
        </w:rPr>
        <w:t>is</w:t>
      </w:r>
      <w:r w:rsidRPr="0027541D">
        <w:rPr>
          <w:rFonts w:cs="Times New Roman"/>
          <w:szCs w:val="24"/>
        </w:rPr>
        <w:t xml:space="preserve"> context, this study was concerned with the levels of subtractability and exclusion. Subtractability examines how </w:t>
      </w:r>
      <w:r>
        <w:rPr>
          <w:rFonts w:cs="Times New Roman"/>
          <w:szCs w:val="24"/>
        </w:rPr>
        <w:t>forest resource consumption</w:t>
      </w:r>
      <w:r w:rsidRPr="0027541D">
        <w:rPr>
          <w:rFonts w:cs="Times New Roman"/>
          <w:szCs w:val="24"/>
        </w:rPr>
        <w:t xml:space="preserve"> </w:t>
      </w:r>
      <w:r w:rsidR="00302EB5">
        <w:rPr>
          <w:rFonts w:cs="Times New Roman"/>
          <w:szCs w:val="24"/>
        </w:rPr>
        <w:t xml:space="preserve">by one stakeholder </w:t>
      </w:r>
      <w:r w:rsidRPr="0027541D">
        <w:rPr>
          <w:rFonts w:cs="Times New Roman"/>
          <w:szCs w:val="24"/>
        </w:rPr>
        <w:t xml:space="preserve">can prevent other stakeholders from benefiting from the same forest. However, </w:t>
      </w:r>
      <w:r w:rsidRPr="0027541D">
        <w:rPr>
          <w:rFonts w:cs="Times New Roman"/>
          <w:szCs w:val="24"/>
        </w:rPr>
        <w:lastRenderedPageBreak/>
        <w:t xml:space="preserve">the excludability of resources is related to the cost of preventing </w:t>
      </w:r>
      <w:r w:rsidR="00302EB5">
        <w:rPr>
          <w:rFonts w:cs="Times New Roman"/>
          <w:szCs w:val="24"/>
        </w:rPr>
        <w:t>other people</w:t>
      </w:r>
      <w:r>
        <w:rPr>
          <w:rFonts w:cs="Times New Roman"/>
          <w:szCs w:val="24"/>
        </w:rPr>
        <w:t xml:space="preserve"> from utilising the forest. </w:t>
      </w:r>
    </w:p>
    <w:p w14:paraId="59442F33" w14:textId="1A205EA8" w:rsidR="00C43AA7" w:rsidRDefault="00C43AA7" w:rsidP="00C43AA7">
      <w:pPr>
        <w:spacing w:after="0"/>
        <w:ind w:left="0"/>
        <w:rPr>
          <w:rFonts w:cs="Times New Roman"/>
          <w:szCs w:val="24"/>
        </w:rPr>
      </w:pPr>
      <w:r w:rsidRPr="0027541D">
        <w:rPr>
          <w:rFonts w:cs="Times New Roman"/>
          <w:szCs w:val="24"/>
        </w:rPr>
        <w:t xml:space="preserve">The </w:t>
      </w:r>
      <w:r>
        <w:rPr>
          <w:rFonts w:cs="Times New Roman"/>
          <w:szCs w:val="24"/>
        </w:rPr>
        <w:t>primary data</w:t>
      </w:r>
      <w:r w:rsidRPr="0027541D">
        <w:rPr>
          <w:rFonts w:cs="Times New Roman"/>
          <w:szCs w:val="24"/>
        </w:rPr>
        <w:t xml:space="preserve"> revealed that the Bobiri Forest Reserve exhibited features of a private good</w:t>
      </w:r>
      <w:r>
        <w:rPr>
          <w:rFonts w:cs="Times New Roman"/>
          <w:szCs w:val="24"/>
        </w:rPr>
        <w:t xml:space="preserve">, indicating that </w:t>
      </w:r>
      <w:r w:rsidRPr="0027541D">
        <w:rPr>
          <w:rFonts w:cs="Times New Roman"/>
          <w:szCs w:val="24"/>
        </w:rPr>
        <w:t xml:space="preserve">the forest had a high </w:t>
      </w:r>
      <w:r>
        <w:rPr>
          <w:rFonts w:cs="Times New Roman"/>
          <w:szCs w:val="24"/>
        </w:rPr>
        <w:t>subtractability level and low exclusion cost</w:t>
      </w:r>
      <w:r w:rsidRPr="0027541D">
        <w:rPr>
          <w:rFonts w:cs="Times New Roman"/>
          <w:szCs w:val="24"/>
        </w:rPr>
        <w:t xml:space="preserve">. This implied that the </w:t>
      </w:r>
      <w:r>
        <w:rPr>
          <w:rFonts w:cs="Times New Roman"/>
          <w:szCs w:val="24"/>
        </w:rPr>
        <w:t>FSD’s consumption of forest resources</w:t>
      </w:r>
      <w:r w:rsidRPr="0027541D">
        <w:rPr>
          <w:rFonts w:cs="Times New Roman"/>
          <w:szCs w:val="24"/>
        </w:rPr>
        <w:t xml:space="preserve"> </w:t>
      </w:r>
      <w:r>
        <w:rPr>
          <w:rFonts w:cs="Times New Roman"/>
          <w:szCs w:val="24"/>
        </w:rPr>
        <w:t>could</w:t>
      </w:r>
      <w:r w:rsidRPr="0027541D">
        <w:rPr>
          <w:rFonts w:cs="Times New Roman"/>
          <w:szCs w:val="24"/>
        </w:rPr>
        <w:t xml:space="preserve"> reduce the consumption of resources by stakeholders, such as the community. </w:t>
      </w:r>
      <w:r>
        <w:rPr>
          <w:rFonts w:cs="Times New Roman"/>
          <w:szCs w:val="24"/>
        </w:rPr>
        <w:t>Key</w:t>
      </w:r>
      <w:r w:rsidRPr="0027541D">
        <w:rPr>
          <w:rFonts w:cs="Times New Roman"/>
          <w:szCs w:val="24"/>
        </w:rPr>
        <w:t xml:space="preserve"> informant </w:t>
      </w:r>
      <w:r>
        <w:rPr>
          <w:rFonts w:cs="Times New Roman"/>
          <w:szCs w:val="24"/>
        </w:rPr>
        <w:t xml:space="preserve">1 </w:t>
      </w:r>
      <w:r w:rsidR="00302EB5">
        <w:rPr>
          <w:rFonts w:cs="Times New Roman"/>
          <w:szCs w:val="24"/>
        </w:rPr>
        <w:t xml:space="preserve">from FSD </w:t>
      </w:r>
      <w:r>
        <w:rPr>
          <w:rFonts w:cs="Times New Roman"/>
          <w:szCs w:val="24"/>
        </w:rPr>
        <w:t>on 6</w:t>
      </w:r>
      <w:r w:rsidRPr="002E6873">
        <w:rPr>
          <w:rFonts w:cs="Times New Roman"/>
          <w:szCs w:val="24"/>
          <w:vertAlign w:val="superscript"/>
        </w:rPr>
        <w:t>th</w:t>
      </w:r>
      <w:r>
        <w:rPr>
          <w:rFonts w:cs="Times New Roman"/>
          <w:szCs w:val="24"/>
        </w:rPr>
        <w:t xml:space="preserve"> February 2024</w:t>
      </w:r>
      <w:r w:rsidRPr="0027541D">
        <w:rPr>
          <w:rFonts w:cs="Times New Roman"/>
          <w:szCs w:val="24"/>
        </w:rPr>
        <w:t xml:space="preserve"> revealed</w:t>
      </w:r>
      <w:r>
        <w:rPr>
          <w:rFonts w:cs="Times New Roman"/>
          <w:szCs w:val="24"/>
        </w:rPr>
        <w:t xml:space="preserve"> </w:t>
      </w:r>
      <w:r w:rsidRPr="0027541D">
        <w:rPr>
          <w:rFonts w:cs="Times New Roman"/>
          <w:szCs w:val="24"/>
        </w:rPr>
        <w:t xml:space="preserve">that the Bobiri Forest Reserve was in two sections. </w:t>
      </w:r>
      <w:r>
        <w:rPr>
          <w:rFonts w:cs="Times New Roman"/>
          <w:szCs w:val="24"/>
        </w:rPr>
        <w:t>CSIR-FORIG managed a section</w:t>
      </w:r>
      <w:r w:rsidRPr="0027541D">
        <w:rPr>
          <w:rFonts w:cs="Times New Roman"/>
          <w:szCs w:val="24"/>
        </w:rPr>
        <w:t xml:space="preserve"> for research purposes</w:t>
      </w:r>
      <w:r w:rsidR="00467DA9">
        <w:rPr>
          <w:rFonts w:cs="Times New Roman"/>
          <w:szCs w:val="24"/>
        </w:rPr>
        <w:t xml:space="preserve"> and this</w:t>
      </w:r>
      <w:r w:rsidR="00E861A3">
        <w:rPr>
          <w:rFonts w:cs="Times New Roman"/>
          <w:szCs w:val="24"/>
        </w:rPr>
        <w:t xml:space="preserve"> section </w:t>
      </w:r>
      <w:r w:rsidR="00467DA9">
        <w:rPr>
          <w:rFonts w:cs="Times New Roman"/>
          <w:szCs w:val="24"/>
        </w:rPr>
        <w:t xml:space="preserve">also </w:t>
      </w:r>
      <w:r w:rsidR="00E861A3">
        <w:rPr>
          <w:rFonts w:cs="Times New Roman"/>
          <w:szCs w:val="24"/>
        </w:rPr>
        <w:t xml:space="preserve">housed the Butterfly Sanctuary. The </w:t>
      </w:r>
      <w:r w:rsidRPr="0027541D">
        <w:rPr>
          <w:rFonts w:cs="Times New Roman"/>
          <w:szCs w:val="24"/>
        </w:rPr>
        <w:t>other section</w:t>
      </w:r>
      <w:r w:rsidR="00E861A3">
        <w:rPr>
          <w:rFonts w:cs="Times New Roman"/>
          <w:szCs w:val="24"/>
        </w:rPr>
        <w:t xml:space="preserve"> of the reserve</w:t>
      </w:r>
      <w:r w:rsidRPr="0027541D">
        <w:rPr>
          <w:rFonts w:cs="Times New Roman"/>
          <w:szCs w:val="24"/>
        </w:rPr>
        <w:t>, known as the operational area</w:t>
      </w:r>
      <w:r>
        <w:rPr>
          <w:rFonts w:cs="Times New Roman"/>
          <w:szCs w:val="24"/>
        </w:rPr>
        <w:t>,</w:t>
      </w:r>
      <w:r w:rsidRPr="0027541D">
        <w:rPr>
          <w:rFonts w:cs="Times New Roman"/>
          <w:szCs w:val="24"/>
        </w:rPr>
        <w:t xml:space="preserve"> was used for </w:t>
      </w:r>
      <w:r>
        <w:rPr>
          <w:rFonts w:cs="Times New Roman"/>
          <w:szCs w:val="24"/>
        </w:rPr>
        <w:t>timber production</w:t>
      </w:r>
      <w:r w:rsidRPr="0027541D">
        <w:rPr>
          <w:rFonts w:cs="Times New Roman"/>
          <w:szCs w:val="24"/>
        </w:rPr>
        <w:t xml:space="preserve">, i.e., the timber in this area was </w:t>
      </w:r>
      <w:r>
        <w:rPr>
          <w:rFonts w:cs="Times New Roman"/>
          <w:szCs w:val="24"/>
        </w:rPr>
        <w:t xml:space="preserve">purposefully grown and </w:t>
      </w:r>
      <w:r w:rsidRPr="0027541D">
        <w:rPr>
          <w:rFonts w:cs="Times New Roman"/>
          <w:szCs w:val="24"/>
        </w:rPr>
        <w:t xml:space="preserve">harvested for sale and </w:t>
      </w:r>
      <w:r w:rsidR="00302EB5">
        <w:rPr>
          <w:rFonts w:cs="Times New Roman"/>
          <w:szCs w:val="24"/>
        </w:rPr>
        <w:t xml:space="preserve">it </w:t>
      </w:r>
      <w:r w:rsidRPr="0027541D">
        <w:rPr>
          <w:rFonts w:cs="Times New Roman"/>
          <w:szCs w:val="24"/>
        </w:rPr>
        <w:t xml:space="preserve">was managed by the </w:t>
      </w:r>
      <w:r>
        <w:rPr>
          <w:rFonts w:cs="Times New Roman"/>
          <w:szCs w:val="24"/>
        </w:rPr>
        <w:t>FSD</w:t>
      </w:r>
      <w:r w:rsidRPr="0027541D">
        <w:rPr>
          <w:rFonts w:cs="Times New Roman"/>
          <w:szCs w:val="24"/>
        </w:rPr>
        <w:t xml:space="preserve">. </w:t>
      </w:r>
    </w:p>
    <w:p w14:paraId="27D3ABAB" w14:textId="7D9E561D" w:rsidR="00C43AA7" w:rsidRDefault="00C43AA7" w:rsidP="00C43AA7">
      <w:pPr>
        <w:spacing w:after="0"/>
        <w:ind w:left="0" w:firstLine="0"/>
        <w:rPr>
          <w:rFonts w:cs="Times New Roman"/>
          <w:szCs w:val="24"/>
        </w:rPr>
      </w:pPr>
      <w:r>
        <w:rPr>
          <w:rFonts w:cs="Times New Roman"/>
          <w:szCs w:val="24"/>
        </w:rPr>
        <w:tab/>
      </w:r>
      <w:r w:rsidRPr="0027541D">
        <w:rPr>
          <w:rFonts w:cs="Times New Roman"/>
          <w:szCs w:val="24"/>
        </w:rPr>
        <w:t>Key</w:t>
      </w:r>
      <w:r>
        <w:rPr>
          <w:rFonts w:cs="Times New Roman"/>
          <w:szCs w:val="24"/>
        </w:rPr>
        <w:t xml:space="preserve"> </w:t>
      </w:r>
      <w:r w:rsidRPr="0027541D">
        <w:rPr>
          <w:rFonts w:cs="Times New Roman"/>
          <w:szCs w:val="24"/>
        </w:rPr>
        <w:t xml:space="preserve">informant </w:t>
      </w:r>
      <w:r>
        <w:rPr>
          <w:rFonts w:cs="Times New Roman"/>
          <w:szCs w:val="24"/>
        </w:rPr>
        <w:t xml:space="preserve">1 further </w:t>
      </w:r>
      <w:r w:rsidRPr="0027541D">
        <w:rPr>
          <w:rFonts w:cs="Times New Roman"/>
          <w:szCs w:val="24"/>
        </w:rPr>
        <w:t xml:space="preserve">revealed </w:t>
      </w:r>
      <w:r>
        <w:rPr>
          <w:rFonts w:cs="Times New Roman"/>
          <w:szCs w:val="24"/>
        </w:rPr>
        <w:t>t</w:t>
      </w:r>
      <w:r w:rsidRPr="0027541D">
        <w:rPr>
          <w:rFonts w:cs="Times New Roman"/>
          <w:szCs w:val="24"/>
        </w:rPr>
        <w:t>he operational area ha</w:t>
      </w:r>
      <w:r w:rsidR="007B6E2F">
        <w:rPr>
          <w:rFonts w:cs="Times New Roman"/>
          <w:szCs w:val="24"/>
        </w:rPr>
        <w:t>d</w:t>
      </w:r>
      <w:r w:rsidRPr="0027541D">
        <w:rPr>
          <w:rFonts w:cs="Times New Roman"/>
          <w:szCs w:val="24"/>
        </w:rPr>
        <w:t xml:space="preserve"> what is termed the falling cycle.</w:t>
      </w:r>
      <w:r>
        <w:rPr>
          <w:rFonts w:cs="Times New Roman"/>
          <w:szCs w:val="24"/>
        </w:rPr>
        <w:t xml:space="preserve"> </w:t>
      </w:r>
      <w:r w:rsidRPr="0027541D">
        <w:rPr>
          <w:rFonts w:cs="Times New Roman"/>
          <w:szCs w:val="24"/>
        </w:rPr>
        <w:t xml:space="preserve">i.e., a period in which the </w:t>
      </w:r>
      <w:r>
        <w:rPr>
          <w:rFonts w:cs="Times New Roman"/>
          <w:szCs w:val="24"/>
        </w:rPr>
        <w:t>FSD</w:t>
      </w:r>
      <w:r w:rsidRPr="0027541D">
        <w:rPr>
          <w:rFonts w:cs="Times New Roman"/>
          <w:szCs w:val="24"/>
        </w:rPr>
        <w:t xml:space="preserve"> identifies a compartment</w:t>
      </w:r>
      <w:r>
        <w:rPr>
          <w:rFonts w:cs="Times New Roman"/>
          <w:szCs w:val="24"/>
        </w:rPr>
        <w:t xml:space="preserve"> and</w:t>
      </w:r>
      <w:r w:rsidRPr="0027541D">
        <w:rPr>
          <w:rFonts w:cs="Times New Roman"/>
          <w:szCs w:val="24"/>
        </w:rPr>
        <w:t xml:space="preserve"> undertakes stock surveying</w:t>
      </w:r>
      <w:r>
        <w:rPr>
          <w:rFonts w:cs="Times New Roman"/>
          <w:szCs w:val="24"/>
        </w:rPr>
        <w:t xml:space="preserve">. After the stock surveying, </w:t>
      </w:r>
      <w:r w:rsidRPr="0027541D">
        <w:rPr>
          <w:rFonts w:cs="Times New Roman"/>
          <w:szCs w:val="24"/>
        </w:rPr>
        <w:t xml:space="preserve">trees </w:t>
      </w:r>
      <w:r w:rsidR="007B6E2F">
        <w:rPr>
          <w:rFonts w:cs="Times New Roman"/>
          <w:szCs w:val="24"/>
        </w:rPr>
        <w:t>were</w:t>
      </w:r>
      <w:r w:rsidRPr="0027541D">
        <w:rPr>
          <w:rFonts w:cs="Times New Roman"/>
          <w:szCs w:val="24"/>
        </w:rPr>
        <w:t xml:space="preserve"> released to contractors to </w:t>
      </w:r>
      <w:r>
        <w:rPr>
          <w:rFonts w:cs="Times New Roman"/>
          <w:szCs w:val="24"/>
        </w:rPr>
        <w:t>harvest</w:t>
      </w:r>
      <w:r w:rsidRPr="0027541D">
        <w:rPr>
          <w:rFonts w:cs="Times New Roman"/>
          <w:szCs w:val="24"/>
        </w:rPr>
        <w:t xml:space="preserve">. After the trees </w:t>
      </w:r>
      <w:r>
        <w:rPr>
          <w:rFonts w:cs="Times New Roman"/>
          <w:szCs w:val="24"/>
        </w:rPr>
        <w:t>ha</w:t>
      </w:r>
      <w:r w:rsidR="007B6E2F">
        <w:rPr>
          <w:rFonts w:cs="Times New Roman"/>
          <w:szCs w:val="24"/>
        </w:rPr>
        <w:t xml:space="preserve">d </w:t>
      </w:r>
      <w:r>
        <w:rPr>
          <w:rFonts w:cs="Times New Roman"/>
          <w:szCs w:val="24"/>
        </w:rPr>
        <w:t xml:space="preserve">fallen, that portion </w:t>
      </w:r>
      <w:r w:rsidR="007B6E2F">
        <w:rPr>
          <w:rFonts w:cs="Times New Roman"/>
          <w:szCs w:val="24"/>
        </w:rPr>
        <w:t>was</w:t>
      </w:r>
      <w:r>
        <w:rPr>
          <w:rFonts w:cs="Times New Roman"/>
          <w:szCs w:val="24"/>
        </w:rPr>
        <w:t xml:space="preserve"> closed off to all stakeholders for at least 40 yea</w:t>
      </w:r>
      <w:r w:rsidRPr="0027541D">
        <w:rPr>
          <w:rFonts w:cs="Times New Roman"/>
          <w:szCs w:val="24"/>
        </w:rPr>
        <w:t xml:space="preserve">rs. Due to this falling cycle, the reserve </w:t>
      </w:r>
      <w:r>
        <w:rPr>
          <w:rFonts w:cs="Times New Roman"/>
          <w:szCs w:val="24"/>
        </w:rPr>
        <w:t>was</w:t>
      </w:r>
      <w:r w:rsidRPr="0027541D">
        <w:rPr>
          <w:rFonts w:cs="Times New Roman"/>
          <w:szCs w:val="24"/>
        </w:rPr>
        <w:t xml:space="preserve"> characterised by a high level of subtractability because </w:t>
      </w:r>
      <w:r>
        <w:rPr>
          <w:rFonts w:cs="Times New Roman"/>
          <w:szCs w:val="24"/>
        </w:rPr>
        <w:t>the use of the timber for activities such as roofing, construction and fuel wood by the other stakeholders would affect the capacity of FSD to meet their revenue generation from the timber production. To prevent this reduction in revenue, the FSD prevent</w:t>
      </w:r>
      <w:r w:rsidR="007B6E2F">
        <w:rPr>
          <w:rFonts w:cs="Times New Roman"/>
          <w:szCs w:val="24"/>
        </w:rPr>
        <w:t>ed</w:t>
      </w:r>
      <w:r>
        <w:rPr>
          <w:rFonts w:cs="Times New Roman"/>
          <w:szCs w:val="24"/>
        </w:rPr>
        <w:t xml:space="preserve"> other stakeholders especially the community members from using the timber.</w:t>
      </w:r>
    </w:p>
    <w:p w14:paraId="4A051781" w14:textId="36B0E8E7" w:rsidR="007B6E2F" w:rsidRDefault="00C43AA7" w:rsidP="00C43AA7">
      <w:pPr>
        <w:spacing w:after="0"/>
        <w:ind w:left="0"/>
        <w:rPr>
          <w:rFonts w:cs="Times New Roman"/>
          <w:szCs w:val="24"/>
        </w:rPr>
      </w:pPr>
      <w:r w:rsidRPr="0027541D">
        <w:rPr>
          <w:rFonts w:cs="Times New Roman"/>
          <w:szCs w:val="24"/>
        </w:rPr>
        <w:t>In addition, the cost of excluding other stakeholders from consuming the resources was low</w:t>
      </w:r>
      <w:r w:rsidR="007B6E2F">
        <w:rPr>
          <w:rFonts w:cs="Times New Roman"/>
          <w:szCs w:val="24"/>
        </w:rPr>
        <w:t xml:space="preserve"> due to the size of the reserve and the number of vehicular entries and exits</w:t>
      </w:r>
      <w:r>
        <w:rPr>
          <w:rFonts w:cs="Times New Roman"/>
          <w:szCs w:val="24"/>
        </w:rPr>
        <w:t xml:space="preserve">. </w:t>
      </w:r>
      <w:r w:rsidR="007B6E2F">
        <w:rPr>
          <w:rFonts w:cs="Times New Roman"/>
          <w:szCs w:val="24"/>
        </w:rPr>
        <w:t xml:space="preserve">The size of the Bobiri Forest Reserve was estimated to be </w:t>
      </w:r>
      <w:r w:rsidR="007B6E2F" w:rsidRPr="00154C92">
        <w:lastRenderedPageBreak/>
        <w:t>55.040 km²</w:t>
      </w:r>
      <w:r w:rsidR="007B6E2F">
        <w:t xml:space="preserve"> which made it relatively easier to patrol as compared to the Southern Scarp Forest Reserve. In addition, t</w:t>
      </w:r>
      <w:r w:rsidRPr="0027541D">
        <w:rPr>
          <w:rFonts w:cs="Times New Roman"/>
          <w:szCs w:val="24"/>
        </w:rPr>
        <w:t>he reserve ha</w:t>
      </w:r>
      <w:r>
        <w:rPr>
          <w:rFonts w:cs="Times New Roman"/>
          <w:szCs w:val="24"/>
        </w:rPr>
        <w:t>d</w:t>
      </w:r>
      <w:r w:rsidRPr="0027541D">
        <w:rPr>
          <w:rFonts w:cs="Times New Roman"/>
          <w:szCs w:val="24"/>
        </w:rPr>
        <w:t xml:space="preserve"> one </w:t>
      </w:r>
      <w:r w:rsidR="007B6E2F">
        <w:rPr>
          <w:rFonts w:cs="Times New Roman"/>
          <w:szCs w:val="24"/>
        </w:rPr>
        <w:t xml:space="preserve">vehicular </w:t>
      </w:r>
      <w:r w:rsidRPr="0027541D">
        <w:rPr>
          <w:rFonts w:cs="Times New Roman"/>
          <w:szCs w:val="24"/>
        </w:rPr>
        <w:t xml:space="preserve">entry located in </w:t>
      </w:r>
      <w:proofErr w:type="spellStart"/>
      <w:r w:rsidRPr="0027541D">
        <w:rPr>
          <w:rFonts w:cs="Times New Roman"/>
          <w:szCs w:val="24"/>
        </w:rPr>
        <w:t>Kubease</w:t>
      </w:r>
      <w:proofErr w:type="spellEnd"/>
      <w:r w:rsidRPr="0027541D">
        <w:rPr>
          <w:rFonts w:cs="Times New Roman"/>
          <w:szCs w:val="24"/>
        </w:rPr>
        <w:t>. This entry also serve</w:t>
      </w:r>
      <w:r>
        <w:rPr>
          <w:rFonts w:cs="Times New Roman"/>
          <w:szCs w:val="24"/>
        </w:rPr>
        <w:t>d</w:t>
      </w:r>
      <w:r w:rsidRPr="0027541D">
        <w:rPr>
          <w:rFonts w:cs="Times New Roman"/>
          <w:szCs w:val="24"/>
        </w:rPr>
        <w:t xml:space="preserve"> as an exit. Th</w:t>
      </w:r>
      <w:r>
        <w:rPr>
          <w:rFonts w:cs="Times New Roman"/>
          <w:szCs w:val="24"/>
        </w:rPr>
        <w:t xml:space="preserve">e single </w:t>
      </w:r>
      <w:r w:rsidR="007B6E2F">
        <w:rPr>
          <w:rFonts w:cs="Times New Roman"/>
          <w:szCs w:val="24"/>
        </w:rPr>
        <w:t xml:space="preserve">vehicular </w:t>
      </w:r>
      <w:r>
        <w:rPr>
          <w:rFonts w:cs="Times New Roman"/>
          <w:szCs w:val="24"/>
        </w:rPr>
        <w:t>entry and exit</w:t>
      </w:r>
      <w:r w:rsidRPr="0027541D">
        <w:rPr>
          <w:rFonts w:cs="Times New Roman"/>
          <w:szCs w:val="24"/>
        </w:rPr>
        <w:t xml:space="preserve"> ensure</w:t>
      </w:r>
      <w:r>
        <w:rPr>
          <w:rFonts w:cs="Times New Roman"/>
          <w:szCs w:val="24"/>
        </w:rPr>
        <w:t>d</w:t>
      </w:r>
      <w:r w:rsidRPr="0027541D">
        <w:rPr>
          <w:rFonts w:cs="Times New Roman"/>
          <w:szCs w:val="24"/>
        </w:rPr>
        <w:t xml:space="preserve"> that activities within the reserve </w:t>
      </w:r>
      <w:r>
        <w:rPr>
          <w:rFonts w:cs="Times New Roman"/>
          <w:szCs w:val="24"/>
        </w:rPr>
        <w:t>we</w:t>
      </w:r>
      <w:r w:rsidRPr="0027541D">
        <w:rPr>
          <w:rFonts w:cs="Times New Roman"/>
          <w:szCs w:val="24"/>
        </w:rPr>
        <w:t>re strictly monitored.</w:t>
      </w:r>
      <w:r>
        <w:rPr>
          <w:rFonts w:cs="Times New Roman"/>
          <w:szCs w:val="24"/>
        </w:rPr>
        <w:t xml:space="preserve"> Key </w:t>
      </w:r>
      <w:r w:rsidRPr="0027541D">
        <w:rPr>
          <w:rFonts w:cs="Times New Roman"/>
          <w:szCs w:val="24"/>
        </w:rPr>
        <w:t>informant</w:t>
      </w:r>
      <w:r>
        <w:rPr>
          <w:rFonts w:cs="Times New Roman"/>
          <w:szCs w:val="24"/>
        </w:rPr>
        <w:t xml:space="preserve"> </w:t>
      </w:r>
      <w:r w:rsidR="00C2258F">
        <w:rPr>
          <w:rFonts w:cs="Times New Roman"/>
          <w:szCs w:val="24"/>
        </w:rPr>
        <w:t>2 from FSD</w:t>
      </w:r>
      <w:r>
        <w:rPr>
          <w:rFonts w:cs="Times New Roman"/>
          <w:szCs w:val="24"/>
        </w:rPr>
        <w:t xml:space="preserve"> on the 9</w:t>
      </w:r>
      <w:r w:rsidRPr="00416E99">
        <w:rPr>
          <w:rFonts w:cs="Times New Roman"/>
          <w:szCs w:val="24"/>
          <w:vertAlign w:val="superscript"/>
        </w:rPr>
        <w:t>th</w:t>
      </w:r>
      <w:r>
        <w:rPr>
          <w:rFonts w:cs="Times New Roman"/>
          <w:szCs w:val="24"/>
        </w:rPr>
        <w:t xml:space="preserve"> of February 2024 </w:t>
      </w:r>
      <w:r w:rsidRPr="0027541D">
        <w:rPr>
          <w:rFonts w:cs="Times New Roman"/>
          <w:szCs w:val="24"/>
        </w:rPr>
        <w:t>maintained that all communities ha</w:t>
      </w:r>
      <w:r>
        <w:rPr>
          <w:rFonts w:cs="Times New Roman"/>
          <w:szCs w:val="24"/>
        </w:rPr>
        <w:t>d</w:t>
      </w:r>
      <w:r w:rsidRPr="0027541D">
        <w:rPr>
          <w:rFonts w:cs="Times New Roman"/>
          <w:szCs w:val="24"/>
        </w:rPr>
        <w:t xml:space="preserve"> agreed to have only one way in and out</w:t>
      </w:r>
      <w:r>
        <w:rPr>
          <w:rFonts w:cs="Times New Roman"/>
          <w:szCs w:val="24"/>
        </w:rPr>
        <w:t xml:space="preserve"> of the reserve.</w:t>
      </w:r>
      <w:r w:rsidR="007B6E2F">
        <w:rPr>
          <w:rFonts w:cs="Times New Roman"/>
          <w:szCs w:val="24"/>
        </w:rPr>
        <w:t xml:space="preserve"> </w:t>
      </w:r>
    </w:p>
    <w:p w14:paraId="7E6D876C" w14:textId="6E0ED4C2" w:rsidR="00C43AA7" w:rsidRDefault="00C43AA7" w:rsidP="00C43AA7">
      <w:pPr>
        <w:spacing w:after="0"/>
        <w:ind w:left="0"/>
        <w:rPr>
          <w:rFonts w:cs="Times New Roman"/>
          <w:szCs w:val="24"/>
        </w:rPr>
      </w:pPr>
      <w:r>
        <w:rPr>
          <w:rFonts w:cs="Times New Roman"/>
          <w:szCs w:val="24"/>
        </w:rPr>
        <w:t xml:space="preserve"> This entry </w:t>
      </w:r>
      <w:proofErr w:type="gramStart"/>
      <w:r>
        <w:rPr>
          <w:rFonts w:cs="Times New Roman"/>
          <w:szCs w:val="24"/>
        </w:rPr>
        <w:t>was</w:t>
      </w:r>
      <w:r w:rsidRPr="0027541D">
        <w:rPr>
          <w:rFonts w:cs="Times New Roman"/>
          <w:szCs w:val="24"/>
        </w:rPr>
        <w:t xml:space="preserve"> located in</w:t>
      </w:r>
      <w:proofErr w:type="gramEnd"/>
      <w:r w:rsidRPr="0027541D">
        <w:rPr>
          <w:rFonts w:cs="Times New Roman"/>
          <w:szCs w:val="24"/>
        </w:rPr>
        <w:t xml:space="preserve"> </w:t>
      </w:r>
      <w:proofErr w:type="spellStart"/>
      <w:r w:rsidRPr="0027541D">
        <w:rPr>
          <w:rFonts w:cs="Times New Roman"/>
          <w:szCs w:val="24"/>
        </w:rPr>
        <w:t>Kubease</w:t>
      </w:r>
      <w:proofErr w:type="spellEnd"/>
      <w:r w:rsidRPr="0027541D">
        <w:rPr>
          <w:rFonts w:cs="Times New Roman"/>
          <w:szCs w:val="24"/>
        </w:rPr>
        <w:t xml:space="preserve"> to effectively monitor activities within the forest. As a result, no one could f</w:t>
      </w:r>
      <w:r w:rsidR="002775D6">
        <w:rPr>
          <w:rFonts w:cs="Times New Roman"/>
          <w:szCs w:val="24"/>
        </w:rPr>
        <w:t>e</w:t>
      </w:r>
      <w:r w:rsidRPr="0027541D">
        <w:rPr>
          <w:rFonts w:cs="Times New Roman"/>
          <w:szCs w:val="24"/>
        </w:rPr>
        <w:t xml:space="preserve">ll timber and transport </w:t>
      </w:r>
      <w:r>
        <w:rPr>
          <w:rFonts w:cs="Times New Roman"/>
          <w:szCs w:val="24"/>
        </w:rPr>
        <w:t>it through another town,</w:t>
      </w:r>
      <w:r w:rsidRPr="0027541D">
        <w:rPr>
          <w:rFonts w:cs="Times New Roman"/>
          <w:szCs w:val="24"/>
        </w:rPr>
        <w:t xml:space="preserve"> and the ones coming out from </w:t>
      </w:r>
      <w:proofErr w:type="spellStart"/>
      <w:r w:rsidRPr="0027541D">
        <w:rPr>
          <w:rFonts w:cs="Times New Roman"/>
          <w:szCs w:val="24"/>
        </w:rPr>
        <w:t>Kubease</w:t>
      </w:r>
      <w:proofErr w:type="spellEnd"/>
      <w:r w:rsidRPr="0027541D">
        <w:rPr>
          <w:rFonts w:cs="Times New Roman"/>
          <w:szCs w:val="24"/>
        </w:rPr>
        <w:t xml:space="preserve"> </w:t>
      </w:r>
      <w:r>
        <w:rPr>
          <w:rFonts w:cs="Times New Roman"/>
          <w:szCs w:val="24"/>
        </w:rPr>
        <w:t>were</w:t>
      </w:r>
      <w:r w:rsidRPr="0027541D">
        <w:rPr>
          <w:rFonts w:cs="Times New Roman"/>
          <w:szCs w:val="24"/>
        </w:rPr>
        <w:t xml:space="preserve"> equally inspected to ensure that they had the </w:t>
      </w:r>
      <w:r>
        <w:rPr>
          <w:rFonts w:cs="Times New Roman"/>
          <w:szCs w:val="24"/>
        </w:rPr>
        <w:t xml:space="preserve">proper permit. </w:t>
      </w:r>
      <w:r w:rsidRPr="0027541D">
        <w:rPr>
          <w:rFonts w:cs="Times New Roman"/>
          <w:szCs w:val="24"/>
        </w:rPr>
        <w:t>Th</w:t>
      </w:r>
      <w:r>
        <w:rPr>
          <w:rFonts w:cs="Times New Roman"/>
          <w:szCs w:val="24"/>
        </w:rPr>
        <w:t>e forest management regime</w:t>
      </w:r>
      <w:r w:rsidRPr="0027541D">
        <w:rPr>
          <w:rFonts w:cs="Times New Roman"/>
          <w:szCs w:val="24"/>
        </w:rPr>
        <w:t xml:space="preserve"> of Bobiri supports the findings of Cinner et al. (2012)</w:t>
      </w:r>
      <w:r w:rsidR="002775D6">
        <w:rPr>
          <w:rFonts w:cs="Times New Roman"/>
          <w:szCs w:val="24"/>
        </w:rPr>
        <w:t xml:space="preserve"> who</w:t>
      </w:r>
      <w:r w:rsidRPr="0027541D">
        <w:rPr>
          <w:rFonts w:cs="Times New Roman"/>
          <w:szCs w:val="24"/>
        </w:rPr>
        <w:t xml:space="preserve"> maintained that the type of </w:t>
      </w:r>
      <w:r>
        <w:rPr>
          <w:rFonts w:cs="Times New Roman"/>
          <w:szCs w:val="24"/>
        </w:rPr>
        <w:t>management regime</w:t>
      </w:r>
      <w:r w:rsidRPr="0027541D">
        <w:rPr>
          <w:rFonts w:cs="Times New Roman"/>
          <w:szCs w:val="24"/>
        </w:rPr>
        <w:t xml:space="preserve"> present in </w:t>
      </w:r>
      <w:r>
        <w:rPr>
          <w:rFonts w:cs="Times New Roman"/>
          <w:szCs w:val="24"/>
        </w:rPr>
        <w:t>the BFR</w:t>
      </w:r>
      <w:r w:rsidRPr="0027541D">
        <w:rPr>
          <w:rFonts w:cs="Times New Roman"/>
          <w:szCs w:val="24"/>
        </w:rPr>
        <w:t xml:space="preserve"> could be classified as </w:t>
      </w:r>
      <w:proofErr w:type="gramStart"/>
      <w:r>
        <w:rPr>
          <w:rFonts w:cs="Times New Roman"/>
          <w:szCs w:val="24"/>
        </w:rPr>
        <w:t>state-led</w:t>
      </w:r>
      <w:proofErr w:type="gramEnd"/>
      <w:r w:rsidRPr="0027541D">
        <w:rPr>
          <w:rFonts w:cs="Times New Roman"/>
          <w:szCs w:val="24"/>
        </w:rPr>
        <w:t xml:space="preserve">. Here, decision-making </w:t>
      </w:r>
      <w:r w:rsidR="002775D6">
        <w:rPr>
          <w:rFonts w:cs="Times New Roman"/>
          <w:szCs w:val="24"/>
        </w:rPr>
        <w:t>was</w:t>
      </w:r>
      <w:r w:rsidRPr="0027541D">
        <w:rPr>
          <w:rFonts w:cs="Times New Roman"/>
          <w:szCs w:val="24"/>
        </w:rPr>
        <w:t xml:space="preserve"> primarily the responsibility of government agencies</w:t>
      </w:r>
      <w:r>
        <w:rPr>
          <w:rFonts w:cs="Times New Roman"/>
          <w:szCs w:val="24"/>
        </w:rPr>
        <w:t>,</w:t>
      </w:r>
      <w:r w:rsidRPr="0027541D">
        <w:rPr>
          <w:rFonts w:cs="Times New Roman"/>
          <w:szCs w:val="24"/>
        </w:rPr>
        <w:t xml:space="preserve"> </w:t>
      </w:r>
      <w:r>
        <w:rPr>
          <w:rFonts w:cs="Times New Roman"/>
          <w:szCs w:val="24"/>
        </w:rPr>
        <w:t>who</w:t>
      </w:r>
      <w:r w:rsidRPr="0027541D">
        <w:rPr>
          <w:rFonts w:cs="Times New Roman"/>
          <w:szCs w:val="24"/>
        </w:rPr>
        <w:t xml:space="preserve"> control</w:t>
      </w:r>
      <w:r w:rsidR="002775D6">
        <w:rPr>
          <w:rFonts w:cs="Times New Roman"/>
          <w:szCs w:val="24"/>
        </w:rPr>
        <w:t>led</w:t>
      </w:r>
      <w:r w:rsidRPr="0027541D">
        <w:rPr>
          <w:rFonts w:cs="Times New Roman"/>
          <w:szCs w:val="24"/>
        </w:rPr>
        <w:t xml:space="preserve"> how resources </w:t>
      </w:r>
      <w:r w:rsidR="002775D6">
        <w:rPr>
          <w:rFonts w:cs="Times New Roman"/>
          <w:szCs w:val="24"/>
        </w:rPr>
        <w:t>were</w:t>
      </w:r>
      <w:r w:rsidRPr="0027541D">
        <w:rPr>
          <w:rFonts w:cs="Times New Roman"/>
          <w:szCs w:val="24"/>
        </w:rPr>
        <w:t xml:space="preserve"> utilised and by who</w:t>
      </w:r>
      <w:r>
        <w:rPr>
          <w:rFonts w:cs="Times New Roman"/>
          <w:szCs w:val="24"/>
        </w:rPr>
        <w:t>m</w:t>
      </w:r>
      <w:r w:rsidRPr="0027541D">
        <w:rPr>
          <w:rFonts w:cs="Times New Roman"/>
          <w:szCs w:val="24"/>
        </w:rPr>
        <w:t>.</w:t>
      </w:r>
    </w:p>
    <w:p w14:paraId="7E9B8C0D" w14:textId="58D7CCE4" w:rsidR="00C2258F" w:rsidRDefault="00C43AA7" w:rsidP="00C43AA7">
      <w:pPr>
        <w:ind w:left="0"/>
        <w:rPr>
          <w:lang w:eastAsia="en-GB"/>
        </w:rPr>
      </w:pPr>
      <w:r>
        <w:rPr>
          <w:lang w:eastAsia="en-GB"/>
        </w:rPr>
        <w:t>In the context of SSFR, the use of forest resources by FSD did not prevent other stakeholders</w:t>
      </w:r>
      <w:r w:rsidRPr="00E96524">
        <w:rPr>
          <w:lang w:eastAsia="en-GB"/>
        </w:rPr>
        <w:t xml:space="preserve"> </w:t>
      </w:r>
      <w:r>
        <w:rPr>
          <w:lang w:eastAsia="en-GB"/>
        </w:rPr>
        <w:t xml:space="preserve">such as the community, from using it. This was made possible by the nature of the </w:t>
      </w:r>
      <w:proofErr w:type="gramStart"/>
      <w:r>
        <w:rPr>
          <w:lang w:eastAsia="en-GB"/>
        </w:rPr>
        <w:t>reserve</w:t>
      </w:r>
      <w:proofErr w:type="gramEnd"/>
      <w:r>
        <w:rPr>
          <w:lang w:eastAsia="en-GB"/>
        </w:rPr>
        <w:t xml:space="preserve"> which is a range of mountains</w:t>
      </w:r>
      <w:r w:rsidR="00043416">
        <w:rPr>
          <w:lang w:eastAsia="en-GB"/>
        </w:rPr>
        <w:t xml:space="preserve"> bordered by communities</w:t>
      </w:r>
      <w:r>
        <w:rPr>
          <w:lang w:eastAsia="en-GB"/>
        </w:rPr>
        <w:t>, i.e., a scarp, spanning a wide land</w:t>
      </w:r>
      <w:r w:rsidR="00087275">
        <w:rPr>
          <w:lang w:eastAsia="en-GB"/>
        </w:rPr>
        <w:t xml:space="preserve"> with a total </w:t>
      </w:r>
      <w:r w:rsidR="00087275" w:rsidRPr="00EA4A44">
        <w:rPr>
          <w:rFonts w:eastAsia="Calibri" w:cs="Times New Roman"/>
          <w:szCs w:val="24"/>
        </w:rPr>
        <w:t xml:space="preserve">internal boundary perimeter </w:t>
      </w:r>
      <w:r w:rsidR="00087275">
        <w:rPr>
          <w:rFonts w:eastAsia="Calibri" w:cs="Times New Roman"/>
          <w:szCs w:val="24"/>
        </w:rPr>
        <w:t>of</w:t>
      </w:r>
      <w:r w:rsidR="00087275" w:rsidRPr="00EA4A44">
        <w:rPr>
          <w:rFonts w:eastAsia="Calibri" w:cs="Times New Roman"/>
          <w:szCs w:val="24"/>
        </w:rPr>
        <w:t xml:space="preserve"> 350.14km</w:t>
      </w:r>
      <w:r w:rsidR="00087275" w:rsidRPr="00087275">
        <w:rPr>
          <w:rFonts w:eastAsia="Calibri" w:cs="Times New Roman"/>
          <w:szCs w:val="24"/>
          <w:vertAlign w:val="superscript"/>
        </w:rPr>
        <w:t>2</w:t>
      </w:r>
      <w:r>
        <w:rPr>
          <w:lang w:eastAsia="en-GB"/>
        </w:rPr>
        <w:t xml:space="preserve">. The FSD harvested timber from the reserve, while the community members also harvested timber for construction, roofing, and fuel as well as non-timber forest products in the form of canes, mushrooms, and snails. There was also a high cost of exclusion in the SSFR. </w:t>
      </w:r>
    </w:p>
    <w:p w14:paraId="4AF1454D" w14:textId="5BD17A17" w:rsidR="00C43AA7" w:rsidRDefault="00C43AA7" w:rsidP="00C43AA7">
      <w:pPr>
        <w:ind w:left="0"/>
        <w:rPr>
          <w:lang w:eastAsia="en-GB"/>
        </w:rPr>
      </w:pPr>
      <w:r>
        <w:rPr>
          <w:lang w:eastAsia="en-GB"/>
        </w:rPr>
        <w:t xml:space="preserve">The cost of FSD preventing other stakeholders from benefiting from forest resources was high due to the nature of the reserve and inadequate forest guards. </w:t>
      </w:r>
      <w:r w:rsidR="00915AD9">
        <w:rPr>
          <w:lang w:eastAsia="en-GB"/>
        </w:rPr>
        <w:t xml:space="preserve">The nature of the SSFR is a range spanning an </w:t>
      </w:r>
      <w:r w:rsidR="00915AD9">
        <w:rPr>
          <w:rFonts w:eastAsia="Calibri" w:cs="Times New Roman"/>
          <w:szCs w:val="24"/>
        </w:rPr>
        <w:t xml:space="preserve">internal boundary </w:t>
      </w:r>
      <w:r w:rsidR="00915AD9">
        <w:rPr>
          <w:rFonts w:eastAsia="Calibri" w:cs="Times New Roman"/>
          <w:szCs w:val="24"/>
        </w:rPr>
        <w:lastRenderedPageBreak/>
        <w:t>perimeter of 350.14km</w:t>
      </w:r>
      <w:r w:rsidR="00915AD9" w:rsidRPr="00915AD9">
        <w:rPr>
          <w:rFonts w:eastAsia="Calibri" w:cs="Times New Roman"/>
          <w:szCs w:val="24"/>
          <w:vertAlign w:val="superscript"/>
        </w:rPr>
        <w:t>2</w:t>
      </w:r>
      <w:r w:rsidR="00915AD9">
        <w:rPr>
          <w:rFonts w:eastAsia="Calibri" w:cs="Times New Roman"/>
          <w:szCs w:val="24"/>
        </w:rPr>
        <w:t xml:space="preserve"> with multiple </w:t>
      </w:r>
      <w:r w:rsidR="00043416">
        <w:rPr>
          <w:rFonts w:eastAsia="Calibri" w:cs="Times New Roman"/>
          <w:szCs w:val="24"/>
        </w:rPr>
        <w:t xml:space="preserve">community </w:t>
      </w:r>
      <w:r w:rsidR="00915AD9">
        <w:rPr>
          <w:rFonts w:eastAsia="Calibri" w:cs="Times New Roman"/>
          <w:szCs w:val="24"/>
        </w:rPr>
        <w:t xml:space="preserve">entries into the reserve and </w:t>
      </w:r>
      <w:r w:rsidR="00043416">
        <w:rPr>
          <w:rFonts w:eastAsia="Calibri" w:cs="Times New Roman"/>
          <w:szCs w:val="24"/>
        </w:rPr>
        <w:t>a criss-cross of major and minor roads</w:t>
      </w:r>
      <w:r w:rsidR="00915AD9">
        <w:rPr>
          <w:rFonts w:eastAsia="Calibri" w:cs="Times New Roman"/>
          <w:szCs w:val="24"/>
        </w:rPr>
        <w:t xml:space="preserve"> ma</w:t>
      </w:r>
      <w:r w:rsidR="00043416">
        <w:rPr>
          <w:rFonts w:eastAsia="Calibri" w:cs="Times New Roman"/>
          <w:szCs w:val="24"/>
        </w:rPr>
        <w:t>king</w:t>
      </w:r>
      <w:r w:rsidR="00915AD9">
        <w:rPr>
          <w:rFonts w:eastAsia="Calibri" w:cs="Times New Roman"/>
          <w:szCs w:val="24"/>
        </w:rPr>
        <w:t xml:space="preserve"> it particularly difficult to prevent residents from entering the reserve to use the forest. </w:t>
      </w:r>
      <w:r>
        <w:rPr>
          <w:lang w:eastAsia="en-GB"/>
        </w:rPr>
        <w:t xml:space="preserve">In addition, because of the limited number of forest guards, patrolling of the reserve was undertaken on a schedule for when they visited or worked at a portion of the reserve. This was known by the community members, who in turn took advantage of the situation to exploit the resources. To this end, key informant 3 from the FSD </w:t>
      </w:r>
      <w:r w:rsidR="00043416">
        <w:rPr>
          <w:lang w:eastAsia="en-GB"/>
        </w:rPr>
        <w:t xml:space="preserve">at SSFR </w:t>
      </w:r>
      <w:r w:rsidR="002775D6">
        <w:rPr>
          <w:lang w:eastAsia="en-GB"/>
        </w:rPr>
        <w:t>on 14</w:t>
      </w:r>
      <w:r w:rsidR="002775D6" w:rsidRPr="002775D6">
        <w:rPr>
          <w:vertAlign w:val="superscript"/>
          <w:lang w:eastAsia="en-GB"/>
        </w:rPr>
        <w:t>th</w:t>
      </w:r>
      <w:r w:rsidR="002775D6">
        <w:rPr>
          <w:lang w:eastAsia="en-GB"/>
        </w:rPr>
        <w:t xml:space="preserve"> March 2024 </w:t>
      </w:r>
      <w:r>
        <w:rPr>
          <w:lang w:eastAsia="en-GB"/>
        </w:rPr>
        <w:t>noted the following.</w:t>
      </w:r>
    </w:p>
    <w:p w14:paraId="24FC799C" w14:textId="2C8AF835" w:rsidR="00C43AA7" w:rsidRPr="00BB570F" w:rsidRDefault="00C43AA7" w:rsidP="00C43AA7">
      <w:pPr>
        <w:rPr>
          <w:i/>
          <w:iCs/>
          <w:lang w:eastAsia="en-GB"/>
        </w:rPr>
      </w:pPr>
      <w:r w:rsidRPr="00BB570F">
        <w:rPr>
          <w:i/>
          <w:iCs/>
          <w:lang w:eastAsia="en-GB"/>
        </w:rPr>
        <w:t xml:space="preserve">I have about five communities in which I monitor and work, and I have allocated different months to all these communities. Therefore, I would not be privy to happenings in a community in which I have already worked or </w:t>
      </w:r>
      <w:r>
        <w:rPr>
          <w:i/>
          <w:iCs/>
          <w:lang w:eastAsia="en-GB"/>
        </w:rPr>
        <w:t xml:space="preserve">am </w:t>
      </w:r>
      <w:r w:rsidRPr="00BB570F">
        <w:rPr>
          <w:i/>
          <w:iCs/>
          <w:lang w:eastAsia="en-GB"/>
        </w:rPr>
        <w:t>about to work. Sometimes, I clear the boundaries at a community and after I visit the community in some months’ time, I notice that either the farmers had cleared the lands beyond the reserve boundary or the trees I planted to demarcate the boundaries have been cut down or their positions changed</w:t>
      </w:r>
      <w:r>
        <w:rPr>
          <w:i/>
          <w:iCs/>
          <w:lang w:eastAsia="en-GB"/>
        </w:rPr>
        <w:t xml:space="preserve"> (key informant </w:t>
      </w:r>
      <w:r w:rsidR="00C2258F">
        <w:rPr>
          <w:i/>
          <w:iCs/>
          <w:lang w:eastAsia="en-GB"/>
        </w:rPr>
        <w:t>10 from FSD</w:t>
      </w:r>
      <w:r>
        <w:rPr>
          <w:i/>
          <w:iCs/>
          <w:lang w:eastAsia="en-GB"/>
        </w:rPr>
        <w:t>, 14</w:t>
      </w:r>
      <w:r w:rsidRPr="00BB570F">
        <w:rPr>
          <w:i/>
          <w:iCs/>
          <w:vertAlign w:val="superscript"/>
          <w:lang w:eastAsia="en-GB"/>
        </w:rPr>
        <w:t>th</w:t>
      </w:r>
      <w:r>
        <w:rPr>
          <w:i/>
          <w:iCs/>
          <w:lang w:eastAsia="en-GB"/>
        </w:rPr>
        <w:t xml:space="preserve"> March 2024)</w:t>
      </w:r>
    </w:p>
    <w:p w14:paraId="0DF9F4F3" w14:textId="0AFB7F47" w:rsidR="000C7937" w:rsidRPr="00420ACE" w:rsidRDefault="00C43AA7" w:rsidP="008F7D23">
      <w:pPr>
        <w:spacing w:after="0"/>
        <w:ind w:left="0"/>
        <w:rPr>
          <w:lang w:eastAsia="en-GB"/>
        </w:rPr>
      </w:pPr>
      <w:r>
        <w:rPr>
          <w:lang w:eastAsia="en-GB"/>
        </w:rPr>
        <w:t>The total external parameter of the SSFR is 146.38 km</w:t>
      </w:r>
      <w:r w:rsidRPr="009D085A">
        <w:rPr>
          <w:vertAlign w:val="superscript"/>
          <w:lang w:eastAsia="en-GB"/>
        </w:rPr>
        <w:t>2</w:t>
      </w:r>
      <w:r>
        <w:rPr>
          <w:lang w:eastAsia="en-GB"/>
        </w:rPr>
        <w:t xml:space="preserve">, making it a vast area for limited forest guards to monitor, as seen in the statement by key informant </w:t>
      </w:r>
      <w:r w:rsidR="00C2258F">
        <w:rPr>
          <w:lang w:eastAsia="en-GB"/>
        </w:rPr>
        <w:t>10</w:t>
      </w:r>
      <w:r>
        <w:rPr>
          <w:lang w:eastAsia="en-GB"/>
        </w:rPr>
        <w:t xml:space="preserve">. This meant that these forest guards were thinly spread over the reserve, resulting in weak monitoring and supervision, highlighting some weaknesses of state-operated management regimes, as espoused by </w:t>
      </w:r>
      <w:proofErr w:type="spellStart"/>
      <w:r w:rsidRPr="005B3EC3">
        <w:t>Yuwono</w:t>
      </w:r>
      <w:proofErr w:type="spellEnd"/>
      <w:r w:rsidRPr="005B3EC3">
        <w:t xml:space="preserve"> and </w:t>
      </w:r>
      <w:proofErr w:type="spellStart"/>
      <w:r w:rsidRPr="005B3EC3">
        <w:t>Wiyono</w:t>
      </w:r>
      <w:proofErr w:type="spellEnd"/>
      <w:r w:rsidRPr="005B3EC3">
        <w:t xml:space="preserve"> (2008) and Awang (2006)</w:t>
      </w:r>
      <w:r>
        <w:t>. In addition, the SSFR, which is a state-</w:t>
      </w:r>
      <w:r>
        <w:lastRenderedPageBreak/>
        <w:t xml:space="preserve">managed reserve, exhibited features of a common pool resource given its low level of subtractability and high cost of exclusion. </w:t>
      </w:r>
    </w:p>
    <w:p w14:paraId="4936D888" w14:textId="0BD34220" w:rsidR="000C7937" w:rsidRPr="0027541D" w:rsidRDefault="00C43AA7" w:rsidP="000C7937">
      <w:pPr>
        <w:pStyle w:val="Heading2"/>
        <w:ind w:left="0"/>
      </w:pPr>
      <w:bookmarkStart w:id="334" w:name="_Toc202197667"/>
      <w:r>
        <w:t>Formality of rules</w:t>
      </w:r>
      <w:bookmarkEnd w:id="334"/>
    </w:p>
    <w:p w14:paraId="0B0D3D74" w14:textId="1BF4372A" w:rsidR="00562295" w:rsidRPr="0027541D" w:rsidRDefault="00562295" w:rsidP="00562295">
      <w:pPr>
        <w:pStyle w:val="BodyText"/>
        <w:ind w:left="0" w:firstLine="0"/>
      </w:pPr>
      <w:r>
        <w:t>Formal rules</w:t>
      </w:r>
    </w:p>
    <w:p w14:paraId="15FB36FA" w14:textId="1690A78E" w:rsidR="00562295" w:rsidRDefault="00562295" w:rsidP="00562295">
      <w:pPr>
        <w:spacing w:after="0"/>
        <w:ind w:left="0" w:firstLine="0"/>
        <w:rPr>
          <w:rFonts w:cs="Times New Roman"/>
          <w:szCs w:val="24"/>
        </w:rPr>
      </w:pPr>
      <w:r>
        <w:rPr>
          <w:rFonts w:cs="Times New Roman"/>
          <w:szCs w:val="24"/>
        </w:rPr>
        <w:tab/>
      </w:r>
      <w:r w:rsidR="009E4C22" w:rsidRPr="009E4C22">
        <w:rPr>
          <w:rFonts w:cs="Times New Roman"/>
          <w:szCs w:val="24"/>
        </w:rPr>
        <w:t>Ostrom (2011) observed that rules represent the collective agreements among stakeholders, outlining the mandated, forbidden, or allowed actions in the management of natural resources. Moreover, these rules define all critical elements of the institutional framework that directs the management process.</w:t>
      </w:r>
      <w:r w:rsidRPr="0027541D">
        <w:rPr>
          <w:rFonts w:cs="Times New Roman"/>
          <w:szCs w:val="24"/>
        </w:rPr>
        <w:t xml:space="preserve"> The </w:t>
      </w:r>
      <w:r>
        <w:rPr>
          <w:rFonts w:cs="Times New Roman"/>
          <w:szCs w:val="24"/>
        </w:rPr>
        <w:t>formality of rules</w:t>
      </w:r>
      <w:r w:rsidRPr="0027541D">
        <w:rPr>
          <w:rFonts w:cs="Times New Roman"/>
          <w:szCs w:val="24"/>
        </w:rPr>
        <w:t xml:space="preserve"> consist</w:t>
      </w:r>
      <w:r>
        <w:rPr>
          <w:rFonts w:cs="Times New Roman"/>
          <w:szCs w:val="24"/>
        </w:rPr>
        <w:t>ed</w:t>
      </w:r>
      <w:r w:rsidRPr="0027541D">
        <w:rPr>
          <w:rFonts w:cs="Times New Roman"/>
          <w:szCs w:val="24"/>
        </w:rPr>
        <w:t xml:space="preserve"> of formal rules (or rules-on-paper) and the repertoire of strategies, norms</w:t>
      </w:r>
      <w:r>
        <w:rPr>
          <w:rFonts w:cs="Times New Roman"/>
          <w:szCs w:val="24"/>
        </w:rPr>
        <w:t xml:space="preserve">, and </w:t>
      </w:r>
      <w:r w:rsidRPr="0027541D">
        <w:rPr>
          <w:rFonts w:cs="Times New Roman"/>
          <w:szCs w:val="24"/>
        </w:rPr>
        <w:t xml:space="preserve">rules used </w:t>
      </w:r>
      <w:r>
        <w:rPr>
          <w:rFonts w:cs="Times New Roman"/>
          <w:szCs w:val="24"/>
        </w:rPr>
        <w:t xml:space="preserve">regularly by the primary stakeholders. </w:t>
      </w:r>
      <w:proofErr w:type="gramStart"/>
      <w:r w:rsidRPr="0027541D">
        <w:rPr>
          <w:rFonts w:cs="Times New Roman"/>
          <w:szCs w:val="24"/>
        </w:rPr>
        <w:t>In light of</w:t>
      </w:r>
      <w:proofErr w:type="gramEnd"/>
      <w:r w:rsidRPr="0027541D">
        <w:rPr>
          <w:rFonts w:cs="Times New Roman"/>
          <w:szCs w:val="24"/>
        </w:rPr>
        <w:t xml:space="preserve"> the formal rules, </w:t>
      </w:r>
      <w:bookmarkStart w:id="335" w:name="_Hlk161142457"/>
      <w:r w:rsidRPr="0027541D">
        <w:rPr>
          <w:rFonts w:cs="Times New Roman"/>
          <w:szCs w:val="24"/>
        </w:rPr>
        <w:t xml:space="preserve">the FDMP (2016-2036) </w:t>
      </w:r>
      <w:r w:rsidR="005E0A29">
        <w:rPr>
          <w:rFonts w:cs="Times New Roman"/>
          <w:szCs w:val="24"/>
        </w:rPr>
        <w:t>sought</w:t>
      </w:r>
      <w:r w:rsidRPr="0027541D">
        <w:rPr>
          <w:rFonts w:cs="Times New Roman"/>
          <w:szCs w:val="24"/>
        </w:rPr>
        <w:t xml:space="preserve"> within the short term</w:t>
      </w:r>
      <w:r>
        <w:rPr>
          <w:rFonts w:cs="Times New Roman"/>
          <w:szCs w:val="24"/>
        </w:rPr>
        <w:t xml:space="preserve"> (2016-2020)</w:t>
      </w:r>
      <w:r w:rsidRPr="0027541D">
        <w:rPr>
          <w:rFonts w:cs="Times New Roman"/>
          <w:szCs w:val="24"/>
        </w:rPr>
        <w:t xml:space="preserve"> to formulate institutional and legislative reforms for transparent governance, equity sharing, and stakeholder participation in forest and wildlife resource management</w:t>
      </w:r>
      <w:bookmarkEnd w:id="335"/>
      <w:r w:rsidRPr="0027541D">
        <w:rPr>
          <w:rFonts w:cs="Times New Roman"/>
          <w:szCs w:val="24"/>
        </w:rPr>
        <w:t>. In line with this, th</w:t>
      </w:r>
      <w:r>
        <w:rPr>
          <w:rFonts w:cs="Times New Roman"/>
          <w:szCs w:val="24"/>
        </w:rPr>
        <w:t>is study obtained</w:t>
      </w:r>
      <w:r w:rsidRPr="0027541D">
        <w:rPr>
          <w:rFonts w:cs="Times New Roman"/>
          <w:szCs w:val="24"/>
        </w:rPr>
        <w:t xml:space="preserve"> secondary data from the </w:t>
      </w:r>
      <w:r>
        <w:rPr>
          <w:rFonts w:cs="Times New Roman"/>
          <w:szCs w:val="24"/>
        </w:rPr>
        <w:t>FSD</w:t>
      </w:r>
      <w:r w:rsidRPr="0027541D">
        <w:rPr>
          <w:rFonts w:cs="Times New Roman"/>
          <w:szCs w:val="24"/>
        </w:rPr>
        <w:t xml:space="preserve"> at Bobiri </w:t>
      </w:r>
      <w:r>
        <w:rPr>
          <w:rFonts w:cs="Times New Roman"/>
          <w:szCs w:val="24"/>
        </w:rPr>
        <w:t xml:space="preserve">which </w:t>
      </w:r>
      <w:r w:rsidRPr="0027541D">
        <w:rPr>
          <w:rFonts w:cs="Times New Roman"/>
          <w:szCs w:val="24"/>
        </w:rPr>
        <w:t xml:space="preserve">revealed </w:t>
      </w:r>
      <w:r>
        <w:rPr>
          <w:rFonts w:cs="Times New Roman"/>
          <w:szCs w:val="24"/>
        </w:rPr>
        <w:t xml:space="preserve">that </w:t>
      </w:r>
      <w:r w:rsidRPr="0027541D">
        <w:rPr>
          <w:rFonts w:cs="Times New Roman"/>
          <w:szCs w:val="24"/>
        </w:rPr>
        <w:t xml:space="preserve">the reserve was </w:t>
      </w:r>
      <w:proofErr w:type="gramStart"/>
      <w:r w:rsidR="00EA7C34">
        <w:rPr>
          <w:rFonts w:cs="Times New Roman"/>
          <w:szCs w:val="24"/>
        </w:rPr>
        <w:t>state-</w:t>
      </w:r>
      <w:r w:rsidRPr="0027541D">
        <w:rPr>
          <w:rFonts w:cs="Times New Roman"/>
          <w:szCs w:val="24"/>
        </w:rPr>
        <w:t>managed</w:t>
      </w:r>
      <w:proofErr w:type="gramEnd"/>
      <w:r w:rsidRPr="0027541D">
        <w:rPr>
          <w:rFonts w:cs="Times New Roman"/>
          <w:szCs w:val="24"/>
        </w:rPr>
        <w:t xml:space="preserve"> </w:t>
      </w:r>
      <w:r w:rsidR="00EA7C34">
        <w:rPr>
          <w:rFonts w:cs="Times New Roman"/>
          <w:szCs w:val="24"/>
        </w:rPr>
        <w:t xml:space="preserve">with the presence of </w:t>
      </w:r>
      <w:r w:rsidRPr="0027541D">
        <w:rPr>
          <w:rFonts w:cs="Times New Roman"/>
          <w:szCs w:val="24"/>
        </w:rPr>
        <w:t>Forest Buffer zone</w:t>
      </w:r>
      <w:r>
        <w:rPr>
          <w:rFonts w:cs="Times New Roman"/>
          <w:szCs w:val="24"/>
        </w:rPr>
        <w:t>s</w:t>
      </w:r>
      <w:r w:rsidRPr="0027541D">
        <w:rPr>
          <w:rFonts w:cs="Times New Roman"/>
          <w:szCs w:val="24"/>
        </w:rPr>
        <w:t xml:space="preserve"> designated </w:t>
      </w:r>
      <w:r>
        <w:rPr>
          <w:rFonts w:cs="Times New Roman"/>
          <w:szCs w:val="24"/>
        </w:rPr>
        <w:t xml:space="preserve">as </w:t>
      </w:r>
      <w:r w:rsidRPr="0027541D">
        <w:rPr>
          <w:rFonts w:cs="Times New Roman"/>
          <w:szCs w:val="24"/>
        </w:rPr>
        <w:t xml:space="preserve">Community Resource Management Areas (CREMAs). </w:t>
      </w:r>
    </w:p>
    <w:p w14:paraId="505C6D35" w14:textId="77777777" w:rsidR="005E0A29" w:rsidRDefault="00562295" w:rsidP="00562295">
      <w:pPr>
        <w:spacing w:after="0"/>
        <w:ind w:left="0"/>
        <w:rPr>
          <w:rFonts w:cs="Times New Roman"/>
          <w:szCs w:val="24"/>
        </w:rPr>
      </w:pPr>
      <w:r w:rsidRPr="0027541D">
        <w:rPr>
          <w:rFonts w:cs="Times New Roman"/>
          <w:szCs w:val="24"/>
        </w:rPr>
        <w:t xml:space="preserve">However, </w:t>
      </w:r>
      <w:r>
        <w:rPr>
          <w:rFonts w:cs="Times New Roman"/>
          <w:szCs w:val="24"/>
        </w:rPr>
        <w:t xml:space="preserve">even though the Buffer Zones were designated as Community Resource Management Areas, the study noted that </w:t>
      </w:r>
      <w:r w:rsidRPr="0027541D">
        <w:rPr>
          <w:rFonts w:cs="Times New Roman"/>
          <w:szCs w:val="24"/>
        </w:rPr>
        <w:t xml:space="preserve">the locals did not </w:t>
      </w:r>
      <w:r>
        <w:rPr>
          <w:rFonts w:cs="Times New Roman"/>
          <w:szCs w:val="24"/>
        </w:rPr>
        <w:t>actively participate in the management of</w:t>
      </w:r>
      <w:r w:rsidRPr="0027541D">
        <w:rPr>
          <w:rFonts w:cs="Times New Roman"/>
          <w:szCs w:val="24"/>
        </w:rPr>
        <w:t xml:space="preserve"> the </w:t>
      </w:r>
      <w:r>
        <w:rPr>
          <w:rFonts w:cs="Times New Roman"/>
          <w:szCs w:val="24"/>
        </w:rPr>
        <w:t>r</w:t>
      </w:r>
      <w:r w:rsidRPr="0027541D">
        <w:rPr>
          <w:rFonts w:cs="Times New Roman"/>
          <w:szCs w:val="24"/>
        </w:rPr>
        <w:t xml:space="preserve">eserve. </w:t>
      </w:r>
      <w:r>
        <w:rPr>
          <w:rFonts w:cs="Times New Roman"/>
          <w:szCs w:val="24"/>
        </w:rPr>
        <w:t xml:space="preserve">Rather, the Bobiri Reserve </w:t>
      </w:r>
      <w:r w:rsidRPr="0027541D">
        <w:rPr>
          <w:rFonts w:cs="Times New Roman"/>
          <w:szCs w:val="24"/>
        </w:rPr>
        <w:t xml:space="preserve">was jointly managed by CSIR-FORIG and FC-FSD. CSIR-FORIG </w:t>
      </w:r>
      <w:proofErr w:type="gramStart"/>
      <w:r w:rsidRPr="0027541D">
        <w:rPr>
          <w:rFonts w:cs="Times New Roman"/>
          <w:szCs w:val="24"/>
        </w:rPr>
        <w:t>was in charge of</w:t>
      </w:r>
      <w:proofErr w:type="gramEnd"/>
      <w:r w:rsidRPr="0027541D">
        <w:rPr>
          <w:rFonts w:cs="Times New Roman"/>
          <w:szCs w:val="24"/>
        </w:rPr>
        <w:t xml:space="preserve"> </w:t>
      </w:r>
      <w:r>
        <w:rPr>
          <w:rFonts w:cs="Times New Roman"/>
          <w:szCs w:val="24"/>
        </w:rPr>
        <w:t>r</w:t>
      </w:r>
      <w:r w:rsidRPr="0027541D">
        <w:rPr>
          <w:rFonts w:cs="Times New Roman"/>
          <w:szCs w:val="24"/>
        </w:rPr>
        <w:t xml:space="preserve">esearch, </w:t>
      </w:r>
      <w:r>
        <w:rPr>
          <w:rFonts w:cs="Times New Roman"/>
          <w:szCs w:val="24"/>
        </w:rPr>
        <w:t>c</w:t>
      </w:r>
      <w:r w:rsidRPr="0027541D">
        <w:rPr>
          <w:rFonts w:cs="Times New Roman"/>
          <w:szCs w:val="24"/>
        </w:rPr>
        <w:t xml:space="preserve">onservation and </w:t>
      </w:r>
      <w:r>
        <w:rPr>
          <w:rFonts w:cs="Times New Roman"/>
          <w:szCs w:val="24"/>
        </w:rPr>
        <w:t>e</w:t>
      </w:r>
      <w:r w:rsidRPr="0027541D">
        <w:rPr>
          <w:rFonts w:cs="Times New Roman"/>
          <w:szCs w:val="24"/>
        </w:rPr>
        <w:t>cotourism zones</w:t>
      </w:r>
      <w:r>
        <w:rPr>
          <w:rFonts w:cs="Times New Roman"/>
          <w:szCs w:val="24"/>
        </w:rPr>
        <w:t>,</w:t>
      </w:r>
      <w:r w:rsidRPr="0027541D">
        <w:rPr>
          <w:rFonts w:cs="Times New Roman"/>
          <w:szCs w:val="24"/>
        </w:rPr>
        <w:t xml:space="preserve"> whereas FC-FSD </w:t>
      </w:r>
      <w:proofErr w:type="gramStart"/>
      <w:r w:rsidRPr="0027541D">
        <w:rPr>
          <w:rFonts w:cs="Times New Roman"/>
          <w:szCs w:val="24"/>
        </w:rPr>
        <w:t>was in charge of</w:t>
      </w:r>
      <w:proofErr w:type="gramEnd"/>
      <w:r w:rsidRPr="0027541D">
        <w:rPr>
          <w:rFonts w:cs="Times New Roman"/>
          <w:szCs w:val="24"/>
        </w:rPr>
        <w:t xml:space="preserve"> the timber production zone. The locals</w:t>
      </w:r>
      <w:r>
        <w:rPr>
          <w:rFonts w:cs="Times New Roman"/>
          <w:szCs w:val="24"/>
        </w:rPr>
        <w:t>, however,</w:t>
      </w:r>
      <w:r w:rsidRPr="0027541D">
        <w:rPr>
          <w:rFonts w:cs="Times New Roman"/>
          <w:szCs w:val="24"/>
        </w:rPr>
        <w:t xml:space="preserve"> were </w:t>
      </w:r>
      <w:r>
        <w:rPr>
          <w:rFonts w:cs="Times New Roman"/>
          <w:szCs w:val="24"/>
        </w:rPr>
        <w:t xml:space="preserve">sometimes </w:t>
      </w:r>
      <w:r w:rsidRPr="0027541D">
        <w:rPr>
          <w:rFonts w:cs="Times New Roman"/>
          <w:szCs w:val="24"/>
        </w:rPr>
        <w:t xml:space="preserve">permitted to extract non-timber forest products on </w:t>
      </w:r>
      <w:r>
        <w:rPr>
          <w:rFonts w:cs="Times New Roman"/>
          <w:szCs w:val="24"/>
        </w:rPr>
        <w:t xml:space="preserve">a </w:t>
      </w:r>
      <w:r w:rsidRPr="0027541D">
        <w:rPr>
          <w:rFonts w:cs="Times New Roman"/>
          <w:szCs w:val="24"/>
        </w:rPr>
        <w:t>subsistence basis</w:t>
      </w:r>
      <w:r>
        <w:rPr>
          <w:rFonts w:cs="Times New Roman"/>
          <w:szCs w:val="24"/>
        </w:rPr>
        <w:t>,</w:t>
      </w:r>
      <w:r w:rsidRPr="0027541D">
        <w:rPr>
          <w:rFonts w:cs="Times New Roman"/>
          <w:szCs w:val="24"/>
        </w:rPr>
        <w:t xml:space="preserve"> although a permit was required </w:t>
      </w:r>
      <w:r>
        <w:rPr>
          <w:rFonts w:cs="Times New Roman"/>
          <w:szCs w:val="24"/>
        </w:rPr>
        <w:t xml:space="preserve">for commercial extraction. </w:t>
      </w:r>
    </w:p>
    <w:p w14:paraId="6178D243" w14:textId="69429B5F" w:rsidR="00562295" w:rsidRDefault="005E0A29" w:rsidP="00562295">
      <w:pPr>
        <w:spacing w:after="0"/>
        <w:ind w:left="0"/>
        <w:rPr>
          <w:rFonts w:cs="Times New Roman"/>
          <w:szCs w:val="24"/>
        </w:rPr>
      </w:pPr>
      <w:r>
        <w:rPr>
          <w:rFonts w:cs="Times New Roman"/>
          <w:szCs w:val="24"/>
        </w:rPr>
        <w:lastRenderedPageBreak/>
        <w:t>The occasional exclusion of the community members from the management of the Bobiri forest reserves defeat</w:t>
      </w:r>
      <w:r w:rsidR="008A4B84">
        <w:rPr>
          <w:rFonts w:cs="Times New Roman"/>
          <w:szCs w:val="24"/>
        </w:rPr>
        <w:t>s</w:t>
      </w:r>
      <w:r>
        <w:rPr>
          <w:rFonts w:cs="Times New Roman"/>
          <w:szCs w:val="24"/>
        </w:rPr>
        <w:t xml:space="preserve"> the purpose of the </w:t>
      </w:r>
      <w:r w:rsidR="00C71335">
        <w:rPr>
          <w:rFonts w:cs="Times New Roman"/>
          <w:szCs w:val="24"/>
        </w:rPr>
        <w:t>short-term</w:t>
      </w:r>
      <w:r>
        <w:rPr>
          <w:rFonts w:cs="Times New Roman"/>
          <w:szCs w:val="24"/>
        </w:rPr>
        <w:t xml:space="preserve"> goal of the FDMP which seeks to increase community participation in the management of reserves.</w:t>
      </w:r>
      <w:r w:rsidR="008A4B84">
        <w:rPr>
          <w:rFonts w:cs="Times New Roman"/>
          <w:szCs w:val="24"/>
        </w:rPr>
        <w:t xml:space="preserve"> The masterplan aims to ensure transparency, accountability</w:t>
      </w:r>
      <w:r w:rsidR="002F27F2">
        <w:rPr>
          <w:rFonts w:cs="Times New Roman"/>
          <w:szCs w:val="24"/>
        </w:rPr>
        <w:t xml:space="preserve">, protect the forests </w:t>
      </w:r>
      <w:r w:rsidR="008A4B84">
        <w:rPr>
          <w:rFonts w:cs="Times New Roman"/>
          <w:szCs w:val="24"/>
        </w:rPr>
        <w:t xml:space="preserve">and build the capacity of the community members to effectively contribute to the sustainable management of the reserves and as argued by </w:t>
      </w:r>
      <w:r w:rsidR="002F27F2">
        <w:rPr>
          <w:rFonts w:cs="Times New Roman"/>
          <w:szCs w:val="24"/>
        </w:rPr>
        <w:t>March et al. (2018)</w:t>
      </w:r>
      <w:r w:rsidR="002C235C">
        <w:rPr>
          <w:rFonts w:cs="Times New Roman"/>
          <w:szCs w:val="24"/>
        </w:rPr>
        <w:t xml:space="preserve"> but the exclusion of these community members from the management m</w:t>
      </w:r>
      <w:r w:rsidR="00EA7C34">
        <w:rPr>
          <w:rFonts w:cs="Times New Roman"/>
          <w:szCs w:val="24"/>
        </w:rPr>
        <w:t>ight</w:t>
      </w:r>
      <w:r w:rsidR="002C235C">
        <w:rPr>
          <w:rFonts w:cs="Times New Roman"/>
          <w:szCs w:val="24"/>
        </w:rPr>
        <w:t xml:space="preserve"> prevent the policy from achieving </w:t>
      </w:r>
      <w:r w:rsidR="00346549">
        <w:rPr>
          <w:rFonts w:cs="Times New Roman"/>
          <w:szCs w:val="24"/>
        </w:rPr>
        <w:t>its short-term plan</w:t>
      </w:r>
      <w:r w:rsidR="002C235C">
        <w:rPr>
          <w:rFonts w:cs="Times New Roman"/>
          <w:szCs w:val="24"/>
        </w:rPr>
        <w:t>.</w:t>
      </w:r>
      <w:r w:rsidR="002F27F2">
        <w:rPr>
          <w:rFonts w:cs="Times New Roman"/>
          <w:szCs w:val="24"/>
        </w:rPr>
        <w:t xml:space="preserve"> </w:t>
      </w:r>
    </w:p>
    <w:p w14:paraId="73272C14" w14:textId="3DC9FDAE" w:rsidR="00562295" w:rsidRDefault="00055593" w:rsidP="00562295">
      <w:pPr>
        <w:spacing w:after="0"/>
        <w:ind w:left="0"/>
        <w:rPr>
          <w:rFonts w:cs="Times New Roman"/>
          <w:szCs w:val="24"/>
        </w:rPr>
      </w:pPr>
      <w:r>
        <w:rPr>
          <w:rFonts w:cs="Times New Roman"/>
          <w:szCs w:val="24"/>
        </w:rPr>
        <w:t xml:space="preserve">The Southern Scarp Forest Reserve (SSFR) </w:t>
      </w:r>
      <w:r w:rsidR="009058D9">
        <w:rPr>
          <w:rFonts w:cs="Times New Roman"/>
          <w:szCs w:val="24"/>
        </w:rPr>
        <w:t>o</w:t>
      </w:r>
      <w:r w:rsidR="00562295">
        <w:rPr>
          <w:rFonts w:cs="Times New Roman"/>
          <w:szCs w:val="24"/>
        </w:rPr>
        <w:t>n the other hand, was</w:t>
      </w:r>
      <w:r w:rsidR="00562295" w:rsidRPr="0027541D">
        <w:rPr>
          <w:rFonts w:cs="Times New Roman"/>
          <w:szCs w:val="24"/>
        </w:rPr>
        <w:t xml:space="preserve"> </w:t>
      </w:r>
      <w:r w:rsidR="00EA7C34">
        <w:rPr>
          <w:rFonts w:cs="Times New Roman"/>
          <w:szCs w:val="24"/>
        </w:rPr>
        <w:t>also state-</w:t>
      </w:r>
      <w:r w:rsidR="00562295" w:rsidRPr="0027541D">
        <w:rPr>
          <w:rFonts w:cs="Times New Roman"/>
          <w:szCs w:val="24"/>
        </w:rPr>
        <w:t xml:space="preserve">managed </w:t>
      </w:r>
      <w:r w:rsidR="00EA7C34">
        <w:rPr>
          <w:rFonts w:cs="Times New Roman"/>
          <w:szCs w:val="24"/>
        </w:rPr>
        <w:t xml:space="preserve">but in areas where there has been degradation </w:t>
      </w:r>
      <w:proofErr w:type="gramStart"/>
      <w:r w:rsidR="00EA7C34">
        <w:rPr>
          <w:rFonts w:cs="Times New Roman"/>
          <w:szCs w:val="24"/>
        </w:rPr>
        <w:t>as a result of</w:t>
      </w:r>
      <w:proofErr w:type="gramEnd"/>
      <w:r w:rsidR="00EA7C34">
        <w:rPr>
          <w:rFonts w:cs="Times New Roman"/>
          <w:szCs w:val="24"/>
        </w:rPr>
        <w:t xml:space="preserve"> bushfires and other activities, the reserve employed </w:t>
      </w:r>
      <w:r w:rsidR="00562295" w:rsidRPr="0027541D">
        <w:rPr>
          <w:rFonts w:cs="Times New Roman"/>
          <w:szCs w:val="24"/>
        </w:rPr>
        <w:t xml:space="preserve">the </w:t>
      </w:r>
      <w:proofErr w:type="spellStart"/>
      <w:r w:rsidR="00562295" w:rsidRPr="0027541D">
        <w:rPr>
          <w:rFonts w:cs="Times New Roman"/>
          <w:szCs w:val="24"/>
        </w:rPr>
        <w:t>Taungya</w:t>
      </w:r>
      <w:proofErr w:type="spellEnd"/>
      <w:r w:rsidR="00562295" w:rsidRPr="0027541D">
        <w:rPr>
          <w:rFonts w:cs="Times New Roman"/>
          <w:szCs w:val="24"/>
        </w:rPr>
        <w:t xml:space="preserve"> system. From the interview</w:t>
      </w:r>
      <w:r w:rsidR="00562295">
        <w:rPr>
          <w:rFonts w:cs="Times New Roman"/>
          <w:szCs w:val="24"/>
        </w:rPr>
        <w:t xml:space="preserve"> with key informant 1</w:t>
      </w:r>
      <w:r w:rsidR="002E44B2">
        <w:rPr>
          <w:rFonts w:cs="Times New Roman"/>
          <w:szCs w:val="24"/>
        </w:rPr>
        <w:t>0</w:t>
      </w:r>
      <w:r w:rsidR="00562295">
        <w:rPr>
          <w:rFonts w:cs="Times New Roman"/>
          <w:szCs w:val="24"/>
        </w:rPr>
        <w:t xml:space="preserve"> </w:t>
      </w:r>
      <w:r w:rsidR="00EA7C34">
        <w:rPr>
          <w:rFonts w:cs="Times New Roman"/>
          <w:szCs w:val="24"/>
        </w:rPr>
        <w:t>from the FSD at SSFR on</w:t>
      </w:r>
      <w:r w:rsidR="00562295">
        <w:rPr>
          <w:rFonts w:cs="Times New Roman"/>
          <w:szCs w:val="24"/>
        </w:rPr>
        <w:t xml:space="preserve"> 4</w:t>
      </w:r>
      <w:r w:rsidR="00562295" w:rsidRPr="00592871">
        <w:rPr>
          <w:rFonts w:cs="Times New Roman"/>
          <w:szCs w:val="24"/>
          <w:vertAlign w:val="superscript"/>
        </w:rPr>
        <w:t>th</w:t>
      </w:r>
      <w:r w:rsidR="00562295">
        <w:rPr>
          <w:rFonts w:cs="Times New Roman"/>
          <w:szCs w:val="24"/>
        </w:rPr>
        <w:t xml:space="preserve"> March 2024</w:t>
      </w:r>
      <w:r w:rsidR="00562295" w:rsidRPr="0027541D">
        <w:rPr>
          <w:rFonts w:cs="Times New Roman"/>
          <w:szCs w:val="24"/>
        </w:rPr>
        <w:t xml:space="preserve">, it came to light that farmers who happened to farm within the forest were made to grow tree seedlings together with their crops. The trees were </w:t>
      </w:r>
      <w:r w:rsidR="00562295">
        <w:rPr>
          <w:rFonts w:cs="Times New Roman"/>
          <w:szCs w:val="24"/>
        </w:rPr>
        <w:t>expected</w:t>
      </w:r>
      <w:r w:rsidR="00562295" w:rsidRPr="0027541D">
        <w:rPr>
          <w:rFonts w:cs="Times New Roman"/>
          <w:szCs w:val="24"/>
        </w:rPr>
        <w:t xml:space="preserve"> to be planted three metres away from each other. As soon as the canopies of these trees touched, the farmers were expected to vacate that piece of land. Farmers who failed to plant these seedlings </w:t>
      </w:r>
      <w:r w:rsidR="00562295">
        <w:rPr>
          <w:rFonts w:cs="Times New Roman"/>
          <w:szCs w:val="24"/>
        </w:rPr>
        <w:t>had</w:t>
      </w:r>
      <w:r w:rsidR="00562295" w:rsidRPr="0027541D">
        <w:rPr>
          <w:rFonts w:cs="Times New Roman"/>
          <w:szCs w:val="24"/>
        </w:rPr>
        <w:t xml:space="preserve"> their crops cleared off the land.</w:t>
      </w:r>
      <w:r w:rsidR="00562295">
        <w:rPr>
          <w:rFonts w:cs="Times New Roman"/>
          <w:szCs w:val="24"/>
        </w:rPr>
        <w:t xml:space="preserve"> </w:t>
      </w:r>
      <w:r w:rsidR="00467DA9">
        <w:rPr>
          <w:rFonts w:cs="Times New Roman"/>
          <w:szCs w:val="24"/>
        </w:rPr>
        <w:t>Key informant 10</w:t>
      </w:r>
      <w:r w:rsidR="00562295">
        <w:rPr>
          <w:rFonts w:cs="Times New Roman"/>
          <w:szCs w:val="24"/>
        </w:rPr>
        <w:t xml:space="preserve"> further noted that the </w:t>
      </w:r>
      <w:proofErr w:type="spellStart"/>
      <w:r w:rsidR="00562295">
        <w:rPr>
          <w:rFonts w:cs="Times New Roman"/>
          <w:szCs w:val="24"/>
        </w:rPr>
        <w:t>Taungya</w:t>
      </w:r>
      <w:proofErr w:type="spellEnd"/>
      <w:r w:rsidR="00562295">
        <w:rPr>
          <w:rFonts w:cs="Times New Roman"/>
          <w:szCs w:val="24"/>
        </w:rPr>
        <w:t xml:space="preserve"> system began as a remedial solution to the devastating bushfires in the early 1980s. The system was introduced to aid the reforestation agenda after fires ravaged the then-dense Southern Scarp Forest Reserve. </w:t>
      </w:r>
    </w:p>
    <w:p w14:paraId="1F2D03C4" w14:textId="26629785" w:rsidR="00562295" w:rsidRDefault="00562295" w:rsidP="00562295">
      <w:pPr>
        <w:spacing w:after="0"/>
        <w:ind w:left="0"/>
        <w:rPr>
          <w:rFonts w:cs="Times New Roman"/>
          <w:szCs w:val="24"/>
        </w:rPr>
      </w:pPr>
      <w:r>
        <w:rPr>
          <w:rFonts w:cs="Times New Roman"/>
          <w:szCs w:val="24"/>
        </w:rPr>
        <w:t xml:space="preserve">From the ensuing discussions, there was an indication that even though the </w:t>
      </w:r>
      <w:r w:rsidR="00EA7C34">
        <w:rPr>
          <w:rFonts w:cs="Times New Roman"/>
          <w:szCs w:val="24"/>
        </w:rPr>
        <w:t xml:space="preserve">2012 Forest and Wildlife policy with its accompanying </w:t>
      </w:r>
      <w:r>
        <w:rPr>
          <w:rFonts w:cs="Times New Roman"/>
          <w:szCs w:val="24"/>
        </w:rPr>
        <w:t xml:space="preserve">FDMP (2016-2036) sought to encourage community participation in forest management, this </w:t>
      </w:r>
      <w:r>
        <w:rPr>
          <w:rFonts w:cs="Times New Roman"/>
          <w:szCs w:val="24"/>
        </w:rPr>
        <w:lastRenderedPageBreak/>
        <w:t xml:space="preserve">objective had not translated to the local level at Bobiri. The Bobiri Reserve was seen to be managed with little or no community involvement </w:t>
      </w:r>
      <w:r w:rsidR="00EA7C34">
        <w:rPr>
          <w:rFonts w:cs="Times New Roman"/>
          <w:szCs w:val="24"/>
        </w:rPr>
        <w:t xml:space="preserve">even </w:t>
      </w:r>
      <w:r>
        <w:rPr>
          <w:rFonts w:cs="Times New Roman"/>
          <w:szCs w:val="24"/>
        </w:rPr>
        <w:t>in its buffer zone operation</w:t>
      </w:r>
      <w:r w:rsidR="00EA7C34">
        <w:rPr>
          <w:rFonts w:cs="Times New Roman"/>
          <w:szCs w:val="24"/>
        </w:rPr>
        <w:t xml:space="preserve"> which the FSD ought to have managed with the help of the local communities</w:t>
      </w:r>
      <w:r>
        <w:rPr>
          <w:rFonts w:cs="Times New Roman"/>
          <w:szCs w:val="24"/>
        </w:rPr>
        <w:t xml:space="preserve">. </w:t>
      </w:r>
    </w:p>
    <w:p w14:paraId="40D2F001" w14:textId="5F892D91" w:rsidR="00562295" w:rsidRDefault="00562295" w:rsidP="00562295">
      <w:pPr>
        <w:spacing w:after="0"/>
        <w:ind w:left="0"/>
        <w:rPr>
          <w:rFonts w:cs="Times New Roman"/>
          <w:szCs w:val="24"/>
        </w:rPr>
      </w:pPr>
      <w:r>
        <w:rPr>
          <w:rFonts w:cs="Times New Roman"/>
          <w:szCs w:val="24"/>
        </w:rPr>
        <w:t xml:space="preserve">The SSFR on the other hand did not have any formal policy intentionally seeking to increase community participation in its management as required by the development plan. The lack of active participation in the management of both reserves </w:t>
      </w:r>
      <w:r w:rsidR="00EA7C34">
        <w:rPr>
          <w:rFonts w:cs="Times New Roman"/>
          <w:szCs w:val="24"/>
        </w:rPr>
        <w:t xml:space="preserve">may </w:t>
      </w:r>
      <w:r>
        <w:rPr>
          <w:rFonts w:cs="Times New Roman"/>
          <w:szCs w:val="24"/>
        </w:rPr>
        <w:t xml:space="preserve">indicate </w:t>
      </w:r>
      <w:r w:rsidR="00EA7C34">
        <w:rPr>
          <w:rFonts w:cs="Times New Roman"/>
          <w:szCs w:val="24"/>
        </w:rPr>
        <w:t>an</w:t>
      </w:r>
      <w:r>
        <w:rPr>
          <w:rFonts w:cs="Times New Roman"/>
          <w:szCs w:val="24"/>
        </w:rPr>
        <w:t xml:space="preserve"> unsustainable use of the forest resource, a lack of accountability and illegitimate decisions as espoused by Andersson (2013) and Secco et al. (2014). </w:t>
      </w:r>
    </w:p>
    <w:p w14:paraId="558BE8C3" w14:textId="1FF1A78C" w:rsidR="009E4C22" w:rsidRDefault="00562295" w:rsidP="00562295">
      <w:pPr>
        <w:spacing w:after="0"/>
        <w:ind w:left="0" w:firstLine="0"/>
        <w:rPr>
          <w:rFonts w:cs="Times New Roman"/>
          <w:szCs w:val="24"/>
        </w:rPr>
      </w:pPr>
      <w:r>
        <w:rPr>
          <w:rFonts w:cs="Times New Roman"/>
          <w:szCs w:val="24"/>
        </w:rPr>
        <w:tab/>
      </w:r>
      <w:r w:rsidR="009E4C22" w:rsidRPr="009E4C22">
        <w:rPr>
          <w:rFonts w:cs="Times New Roman"/>
          <w:szCs w:val="24"/>
        </w:rPr>
        <w:t>The adherence to formal regulations within the reserves aligns with Safari's (2022) findings, which documented eleven established procedures and regulations governing management practices at Forest Park Ir. H. Djuanda in Indonesia. These regulations encompass</w:t>
      </w:r>
      <w:r w:rsidR="009058D9">
        <w:rPr>
          <w:rFonts w:cs="Times New Roman"/>
          <w:szCs w:val="24"/>
        </w:rPr>
        <w:t>ed</w:t>
      </w:r>
      <w:r w:rsidR="009E4C22" w:rsidRPr="009E4C22">
        <w:rPr>
          <w:rFonts w:cs="Times New Roman"/>
          <w:szCs w:val="24"/>
        </w:rPr>
        <w:t xml:space="preserve"> </w:t>
      </w:r>
      <w:r w:rsidR="00152296">
        <w:rPr>
          <w:rFonts w:cs="Times New Roman"/>
          <w:szCs w:val="24"/>
        </w:rPr>
        <w:t>formal</w:t>
      </w:r>
      <w:r w:rsidR="009058D9">
        <w:rPr>
          <w:rFonts w:cs="Times New Roman"/>
          <w:szCs w:val="24"/>
        </w:rPr>
        <w:t xml:space="preserve"> institutions governing the Park’s management.</w:t>
      </w:r>
    </w:p>
    <w:p w14:paraId="2EBA4508" w14:textId="5D59B544" w:rsidR="00562295" w:rsidRDefault="00562295" w:rsidP="00562295">
      <w:pPr>
        <w:spacing w:after="0"/>
        <w:ind w:left="0" w:firstLine="0"/>
        <w:rPr>
          <w:rFonts w:cs="Times New Roman"/>
          <w:szCs w:val="24"/>
        </w:rPr>
      </w:pPr>
      <w:r>
        <w:rPr>
          <w:rFonts w:cs="Times New Roman"/>
          <w:szCs w:val="24"/>
        </w:rPr>
        <w:t>Informal rules</w:t>
      </w:r>
    </w:p>
    <w:p w14:paraId="2DE54159" w14:textId="6B7E624A" w:rsidR="00562295" w:rsidRDefault="000C7937" w:rsidP="002E44B2">
      <w:pPr>
        <w:ind w:left="0"/>
        <w:rPr>
          <w:rFonts w:cs="Times New Roman"/>
          <w:szCs w:val="24"/>
        </w:rPr>
      </w:pPr>
      <w:r w:rsidRPr="0027541D">
        <w:rPr>
          <w:rFonts w:cs="Times New Roman"/>
          <w:szCs w:val="24"/>
        </w:rPr>
        <w:t>The repertoire of strategies</w:t>
      </w:r>
      <w:r>
        <w:rPr>
          <w:rFonts w:cs="Times New Roman"/>
          <w:szCs w:val="24"/>
        </w:rPr>
        <w:t>, as noted in the conceptual framework,</w:t>
      </w:r>
      <w:r w:rsidRPr="0027541D">
        <w:rPr>
          <w:rFonts w:cs="Times New Roman"/>
          <w:szCs w:val="24"/>
        </w:rPr>
        <w:t xml:space="preserve"> consisted mainly of taboo days</w:t>
      </w:r>
      <w:r>
        <w:rPr>
          <w:rFonts w:cs="Times New Roman"/>
          <w:szCs w:val="24"/>
        </w:rPr>
        <w:t>,</w:t>
      </w:r>
      <w:r w:rsidRPr="0027541D">
        <w:rPr>
          <w:rFonts w:cs="Times New Roman"/>
          <w:szCs w:val="24"/>
        </w:rPr>
        <w:t xml:space="preserve"> </w:t>
      </w:r>
      <w:r>
        <w:rPr>
          <w:rFonts w:cs="Times New Roman"/>
          <w:szCs w:val="24"/>
        </w:rPr>
        <w:t>and</w:t>
      </w:r>
      <w:r w:rsidRPr="0027541D">
        <w:rPr>
          <w:rFonts w:cs="Times New Roman"/>
          <w:szCs w:val="24"/>
        </w:rPr>
        <w:t xml:space="preserve"> all stakeholders at the reserve observed</w:t>
      </w:r>
      <w:r>
        <w:rPr>
          <w:rFonts w:cs="Times New Roman"/>
          <w:szCs w:val="24"/>
        </w:rPr>
        <w:t xml:space="preserve"> them. </w:t>
      </w:r>
      <w:r w:rsidR="00577CD6">
        <w:rPr>
          <w:rFonts w:cs="Times New Roman"/>
          <w:szCs w:val="24"/>
        </w:rPr>
        <w:t xml:space="preserve">The traditional authorities in both study areas maintained that </w:t>
      </w:r>
      <w:r w:rsidR="00562295" w:rsidRPr="0027541D">
        <w:rPr>
          <w:rFonts w:cs="Times New Roman"/>
          <w:szCs w:val="24"/>
        </w:rPr>
        <w:t xml:space="preserve">taboo days were days set aside to allow the forest </w:t>
      </w:r>
      <w:r w:rsidR="00562295">
        <w:rPr>
          <w:rFonts w:cs="Times New Roman"/>
          <w:szCs w:val="24"/>
        </w:rPr>
        <w:t xml:space="preserve">to </w:t>
      </w:r>
      <w:r w:rsidR="00562295" w:rsidRPr="0027541D">
        <w:rPr>
          <w:rFonts w:cs="Times New Roman"/>
          <w:szCs w:val="24"/>
        </w:rPr>
        <w:t>breath</w:t>
      </w:r>
      <w:r w:rsidR="00562295">
        <w:rPr>
          <w:rFonts w:cs="Times New Roman"/>
          <w:szCs w:val="24"/>
        </w:rPr>
        <w:t>e</w:t>
      </w:r>
      <w:r w:rsidR="00562295" w:rsidRPr="0027541D">
        <w:rPr>
          <w:rFonts w:cs="Times New Roman"/>
          <w:szCs w:val="24"/>
        </w:rPr>
        <w:t xml:space="preserve"> and create a conducive atmosphere for the gods and other beings who inhabit the forest to visit</w:t>
      </w:r>
      <w:r w:rsidR="00562295">
        <w:rPr>
          <w:rFonts w:cs="Times New Roman"/>
          <w:szCs w:val="24"/>
        </w:rPr>
        <w:t xml:space="preserve"> </w:t>
      </w:r>
      <w:r w:rsidR="00562295" w:rsidRPr="0027541D">
        <w:rPr>
          <w:rFonts w:cs="Times New Roman"/>
          <w:szCs w:val="24"/>
        </w:rPr>
        <w:t>without disturbances from the physical world.</w:t>
      </w:r>
      <w:r w:rsidR="00562295">
        <w:rPr>
          <w:rFonts w:cs="Times New Roman"/>
          <w:szCs w:val="24"/>
        </w:rPr>
        <w:t xml:space="preserve"> Another important reason for these taboo days was that these communities believed that these were special spiritual days on which one’s prayers were likely to receive answers or results when they prayed to their gods. </w:t>
      </w:r>
    </w:p>
    <w:p w14:paraId="4F08B844" w14:textId="54030410" w:rsidR="00562295" w:rsidRPr="0027541D" w:rsidRDefault="00562295" w:rsidP="002E44B2">
      <w:pPr>
        <w:ind w:left="0"/>
        <w:rPr>
          <w:rFonts w:cs="Times New Roman"/>
          <w:szCs w:val="24"/>
        </w:rPr>
      </w:pPr>
      <w:r w:rsidRPr="0027541D">
        <w:rPr>
          <w:rFonts w:cs="Times New Roman"/>
          <w:szCs w:val="24"/>
        </w:rPr>
        <w:lastRenderedPageBreak/>
        <w:t xml:space="preserve">The </w:t>
      </w:r>
      <w:r>
        <w:rPr>
          <w:rFonts w:cs="Times New Roman"/>
          <w:szCs w:val="24"/>
        </w:rPr>
        <w:t>primary</w:t>
      </w:r>
      <w:r w:rsidRPr="0027541D">
        <w:rPr>
          <w:rFonts w:cs="Times New Roman"/>
          <w:szCs w:val="24"/>
        </w:rPr>
        <w:t xml:space="preserve"> taboo day identified at the Bobiri </w:t>
      </w:r>
      <w:r>
        <w:rPr>
          <w:rFonts w:cs="Times New Roman"/>
          <w:szCs w:val="24"/>
        </w:rPr>
        <w:t>F</w:t>
      </w:r>
      <w:r w:rsidRPr="0027541D">
        <w:rPr>
          <w:rFonts w:cs="Times New Roman"/>
          <w:szCs w:val="24"/>
        </w:rPr>
        <w:t xml:space="preserve">orest </w:t>
      </w:r>
      <w:r>
        <w:rPr>
          <w:rFonts w:cs="Times New Roman"/>
          <w:szCs w:val="24"/>
        </w:rPr>
        <w:t>R</w:t>
      </w:r>
      <w:r w:rsidRPr="0027541D">
        <w:rPr>
          <w:rFonts w:cs="Times New Roman"/>
          <w:szCs w:val="24"/>
        </w:rPr>
        <w:t>eserve</w:t>
      </w:r>
      <w:r>
        <w:rPr>
          <w:rFonts w:cs="Times New Roman"/>
          <w:szCs w:val="24"/>
        </w:rPr>
        <w:t xml:space="preserve"> (BFR)</w:t>
      </w:r>
      <w:r w:rsidRPr="0027541D">
        <w:rPr>
          <w:rFonts w:cs="Times New Roman"/>
          <w:szCs w:val="24"/>
        </w:rPr>
        <w:t xml:space="preserve"> was the observance of Fridays as a resting day. This was attributed to the Bobiri River</w:t>
      </w:r>
      <w:r>
        <w:rPr>
          <w:rFonts w:cs="Times New Roman"/>
          <w:szCs w:val="24"/>
        </w:rPr>
        <w:t>,</w:t>
      </w:r>
      <w:r w:rsidRPr="0027541D">
        <w:rPr>
          <w:rFonts w:cs="Times New Roman"/>
          <w:szCs w:val="24"/>
        </w:rPr>
        <w:t xml:space="preserve"> whose soul day is Friday. </w:t>
      </w:r>
      <w:r>
        <w:rPr>
          <w:rFonts w:cs="Times New Roman"/>
          <w:szCs w:val="24"/>
        </w:rPr>
        <w:t xml:space="preserve">Key informant 1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w:t>
      </w:r>
      <w:r w:rsidR="00A50EEA">
        <w:rPr>
          <w:rFonts w:cs="Times New Roman"/>
          <w:szCs w:val="24"/>
        </w:rPr>
        <w:t xml:space="preserve">at Bobiri </w:t>
      </w:r>
      <w:r w:rsidRPr="0027541D">
        <w:rPr>
          <w:rFonts w:cs="Times New Roman"/>
          <w:szCs w:val="24"/>
        </w:rPr>
        <w:t>said,</w:t>
      </w:r>
    </w:p>
    <w:p w14:paraId="1C91E6BE" w14:textId="0462B0B7" w:rsidR="00562295" w:rsidRPr="0027541D" w:rsidRDefault="00562295" w:rsidP="00562295">
      <w:pPr>
        <w:ind w:left="1260" w:right="566"/>
        <w:rPr>
          <w:rFonts w:cs="Times New Roman"/>
          <w:szCs w:val="24"/>
        </w:rPr>
      </w:pPr>
      <w:r w:rsidRPr="0027541D">
        <w:rPr>
          <w:rFonts w:cs="Times New Roman"/>
          <w:i/>
          <w:iCs/>
          <w:szCs w:val="24"/>
        </w:rPr>
        <w:t xml:space="preserve">Bobiri derives its name from the Bobiri </w:t>
      </w:r>
      <w:r>
        <w:rPr>
          <w:rFonts w:cs="Times New Roman"/>
          <w:i/>
          <w:iCs/>
          <w:szCs w:val="24"/>
        </w:rPr>
        <w:t>R</w:t>
      </w:r>
      <w:r w:rsidRPr="0027541D">
        <w:rPr>
          <w:rFonts w:cs="Times New Roman"/>
          <w:i/>
          <w:iCs/>
          <w:szCs w:val="24"/>
        </w:rPr>
        <w:t xml:space="preserve">iver. The river </w:t>
      </w:r>
      <w:r w:rsidR="00A50EEA">
        <w:rPr>
          <w:rFonts w:cs="Times New Roman"/>
          <w:i/>
          <w:iCs/>
          <w:szCs w:val="24"/>
        </w:rPr>
        <w:t>is</w:t>
      </w:r>
      <w:r w:rsidRPr="0027541D">
        <w:rPr>
          <w:rFonts w:cs="Times New Roman"/>
          <w:i/>
          <w:iCs/>
          <w:szCs w:val="24"/>
        </w:rPr>
        <w:t xml:space="preserve"> not visited on Fridays</w:t>
      </w:r>
      <w:r>
        <w:rPr>
          <w:rFonts w:cs="Times New Roman"/>
          <w:i/>
          <w:iCs/>
          <w:szCs w:val="24"/>
        </w:rPr>
        <w:t>. A</w:t>
      </w:r>
      <w:r w:rsidRPr="0027541D">
        <w:rPr>
          <w:rFonts w:cs="Times New Roman"/>
          <w:i/>
          <w:iCs/>
          <w:szCs w:val="24"/>
        </w:rPr>
        <w:t xml:space="preserve">s </w:t>
      </w:r>
      <w:r>
        <w:rPr>
          <w:rFonts w:cs="Times New Roman"/>
          <w:i/>
          <w:iCs/>
          <w:szCs w:val="24"/>
        </w:rPr>
        <w:t xml:space="preserve">a </w:t>
      </w:r>
      <w:r w:rsidRPr="0027541D">
        <w:rPr>
          <w:rFonts w:cs="Times New Roman"/>
          <w:i/>
          <w:iCs/>
          <w:szCs w:val="24"/>
        </w:rPr>
        <w:t>result, it has become customary for the forest to not be visited on Fridays. This allowed the forest to breath</w:t>
      </w:r>
      <w:r>
        <w:rPr>
          <w:rFonts w:cs="Times New Roman"/>
          <w:i/>
          <w:iCs/>
          <w:szCs w:val="24"/>
        </w:rPr>
        <w:t>e</w:t>
      </w:r>
      <w:r w:rsidRPr="0027541D">
        <w:rPr>
          <w:rFonts w:cs="Times New Roman"/>
          <w:i/>
          <w:iCs/>
          <w:szCs w:val="24"/>
        </w:rPr>
        <w:t>. Only a few portions of the forest were given out for farming so that farmers could enter the forest for foodstuff on Fridays</w:t>
      </w:r>
      <w:r>
        <w:rPr>
          <w:rFonts w:cs="Times New Roman"/>
          <w:szCs w:val="24"/>
        </w:rPr>
        <w:t xml:space="preserve"> (</w:t>
      </w:r>
      <w:r w:rsidR="00A50EEA">
        <w:rPr>
          <w:rFonts w:cs="Times New Roman"/>
          <w:szCs w:val="24"/>
        </w:rPr>
        <w:t>K</w:t>
      </w:r>
      <w:r>
        <w:rPr>
          <w:rFonts w:cs="Times New Roman"/>
          <w:szCs w:val="24"/>
        </w:rPr>
        <w:t xml:space="preserve">ey informant </w:t>
      </w:r>
      <w:r w:rsidR="002E44B2">
        <w:rPr>
          <w:rFonts w:cs="Times New Roman"/>
          <w:szCs w:val="24"/>
        </w:rPr>
        <w:t xml:space="preserve">3 from </w:t>
      </w:r>
      <w:r>
        <w:rPr>
          <w:rFonts w:cs="Times New Roman"/>
          <w:szCs w:val="24"/>
        </w:rPr>
        <w:t>D.A, 8</w:t>
      </w:r>
      <w:r w:rsidRPr="00B579F4">
        <w:rPr>
          <w:rFonts w:cs="Times New Roman"/>
          <w:szCs w:val="24"/>
          <w:vertAlign w:val="superscript"/>
        </w:rPr>
        <w:t>th</w:t>
      </w:r>
      <w:r>
        <w:rPr>
          <w:rFonts w:cs="Times New Roman"/>
          <w:szCs w:val="24"/>
        </w:rPr>
        <w:t xml:space="preserve"> February 2024).</w:t>
      </w:r>
    </w:p>
    <w:p w14:paraId="244DB8ED" w14:textId="71B39665" w:rsidR="00562295" w:rsidRPr="0027541D" w:rsidRDefault="00562295" w:rsidP="002E44B2">
      <w:pPr>
        <w:spacing w:after="0"/>
        <w:ind w:left="0" w:firstLine="0"/>
        <w:rPr>
          <w:rFonts w:cs="Times New Roman"/>
          <w:szCs w:val="24"/>
        </w:rPr>
      </w:pPr>
      <w:r>
        <w:rPr>
          <w:rFonts w:cs="Times New Roman"/>
          <w:szCs w:val="24"/>
        </w:rPr>
        <w:tab/>
        <w:t xml:space="preserve">In addition to Friday taboo days, </w:t>
      </w:r>
      <w:proofErr w:type="spellStart"/>
      <w:r w:rsidRPr="0027541D">
        <w:rPr>
          <w:rFonts w:cs="Times New Roman"/>
          <w:szCs w:val="24"/>
        </w:rPr>
        <w:t>Nobewam</w:t>
      </w:r>
      <w:proofErr w:type="spellEnd"/>
      <w:r>
        <w:rPr>
          <w:rFonts w:cs="Times New Roman"/>
          <w:szCs w:val="24"/>
        </w:rPr>
        <w:t xml:space="preserve"> and other fringe communities at the </w:t>
      </w:r>
      <w:r w:rsidRPr="0027541D">
        <w:rPr>
          <w:rFonts w:cs="Times New Roman"/>
          <w:szCs w:val="24"/>
        </w:rPr>
        <w:t>reserve</w:t>
      </w:r>
      <w:r>
        <w:rPr>
          <w:rFonts w:cs="Times New Roman"/>
          <w:szCs w:val="24"/>
        </w:rPr>
        <w:t xml:space="preserve"> had other</w:t>
      </w:r>
      <w:r w:rsidR="00577CD6">
        <w:rPr>
          <w:rFonts w:cs="Times New Roman"/>
          <w:szCs w:val="24"/>
        </w:rPr>
        <w:t xml:space="preserve"> days</w:t>
      </w:r>
      <w:r w:rsidRPr="0027541D">
        <w:rPr>
          <w:rFonts w:cs="Times New Roman"/>
          <w:szCs w:val="24"/>
        </w:rPr>
        <w:t>. Here, the communit</w:t>
      </w:r>
      <w:r>
        <w:rPr>
          <w:rFonts w:cs="Times New Roman"/>
          <w:szCs w:val="24"/>
        </w:rPr>
        <w:t>ies</w:t>
      </w:r>
      <w:r w:rsidRPr="0027541D">
        <w:rPr>
          <w:rFonts w:cs="Times New Roman"/>
          <w:szCs w:val="24"/>
        </w:rPr>
        <w:t xml:space="preserve"> </w:t>
      </w:r>
      <w:r>
        <w:rPr>
          <w:rFonts w:cs="Times New Roman"/>
          <w:szCs w:val="24"/>
        </w:rPr>
        <w:t xml:space="preserve">observed a </w:t>
      </w:r>
      <w:r w:rsidR="00A50EEA">
        <w:rPr>
          <w:rFonts w:cs="Times New Roman"/>
          <w:szCs w:val="24"/>
        </w:rPr>
        <w:t>few</w:t>
      </w:r>
      <w:r>
        <w:rPr>
          <w:rFonts w:cs="Times New Roman"/>
          <w:szCs w:val="24"/>
        </w:rPr>
        <w:t xml:space="preserve"> taboo days including</w:t>
      </w:r>
      <w:r w:rsidRPr="0027541D">
        <w:rPr>
          <w:rFonts w:cs="Times New Roman"/>
          <w:szCs w:val="24"/>
        </w:rPr>
        <w:t xml:space="preserve"> ‘</w:t>
      </w:r>
      <w:proofErr w:type="spellStart"/>
      <w:r w:rsidRPr="0027541D">
        <w:rPr>
          <w:rFonts w:cs="Times New Roman"/>
          <w:i/>
          <w:iCs/>
          <w:szCs w:val="24"/>
        </w:rPr>
        <w:t>Awukudae</w:t>
      </w:r>
      <w:proofErr w:type="spellEnd"/>
      <w:r>
        <w:rPr>
          <w:rFonts w:cs="Times New Roman"/>
          <w:szCs w:val="24"/>
        </w:rPr>
        <w:t>’, ‘</w:t>
      </w:r>
      <w:proofErr w:type="spellStart"/>
      <w:r w:rsidRPr="00A96F5A">
        <w:rPr>
          <w:rFonts w:cs="Times New Roman"/>
          <w:i/>
          <w:iCs/>
          <w:szCs w:val="24"/>
        </w:rPr>
        <w:t>Awukudae</w:t>
      </w:r>
      <w:proofErr w:type="spellEnd"/>
      <w:r w:rsidRPr="00A96F5A">
        <w:rPr>
          <w:rFonts w:cs="Times New Roman"/>
          <w:i/>
          <w:iCs/>
          <w:szCs w:val="24"/>
        </w:rPr>
        <w:t xml:space="preserve"> </w:t>
      </w:r>
      <w:proofErr w:type="spellStart"/>
      <w:r w:rsidRPr="00A96F5A">
        <w:rPr>
          <w:rFonts w:cs="Times New Roman"/>
          <w:i/>
          <w:iCs/>
          <w:szCs w:val="24"/>
        </w:rPr>
        <w:t>dapaa</w:t>
      </w:r>
      <w:proofErr w:type="spellEnd"/>
      <w:r w:rsidRPr="00A96F5A">
        <w:rPr>
          <w:rFonts w:cs="Times New Roman"/>
          <w:i/>
          <w:iCs/>
          <w:szCs w:val="24"/>
        </w:rPr>
        <w:t xml:space="preserve">, </w:t>
      </w:r>
      <w:proofErr w:type="spellStart"/>
      <w:r w:rsidRPr="00A96F5A">
        <w:rPr>
          <w:rFonts w:cs="Times New Roman"/>
          <w:i/>
          <w:iCs/>
          <w:szCs w:val="24"/>
        </w:rPr>
        <w:t>Afiada</w:t>
      </w:r>
      <w:proofErr w:type="spellEnd"/>
      <w:r w:rsidRPr="00A96F5A">
        <w:rPr>
          <w:rFonts w:cs="Times New Roman"/>
          <w:i/>
          <w:iCs/>
          <w:szCs w:val="24"/>
        </w:rPr>
        <w:t xml:space="preserve"> </w:t>
      </w:r>
      <w:proofErr w:type="spellStart"/>
      <w:r w:rsidRPr="00A96F5A">
        <w:rPr>
          <w:rFonts w:cs="Times New Roman"/>
          <w:i/>
          <w:iCs/>
          <w:szCs w:val="24"/>
        </w:rPr>
        <w:t>dapaa</w:t>
      </w:r>
      <w:proofErr w:type="spellEnd"/>
      <w:r>
        <w:rPr>
          <w:rFonts w:cs="Times New Roman"/>
          <w:szCs w:val="24"/>
        </w:rPr>
        <w:t xml:space="preserve"> and </w:t>
      </w:r>
      <w:proofErr w:type="spellStart"/>
      <w:r w:rsidRPr="00A96F5A">
        <w:rPr>
          <w:rFonts w:cs="Times New Roman"/>
          <w:i/>
          <w:iCs/>
          <w:szCs w:val="24"/>
        </w:rPr>
        <w:t>M</w:t>
      </w:r>
      <w:r>
        <w:rPr>
          <w:rFonts w:cs="Times New Roman"/>
          <w:i/>
          <w:iCs/>
          <w:szCs w:val="24"/>
        </w:rPr>
        <w:t>e</w:t>
      </w:r>
      <w:r w:rsidRPr="00A96F5A">
        <w:rPr>
          <w:rFonts w:cs="Times New Roman"/>
          <w:i/>
          <w:iCs/>
          <w:szCs w:val="24"/>
        </w:rPr>
        <w:t>m</w:t>
      </w:r>
      <w:r>
        <w:rPr>
          <w:rFonts w:cs="Times New Roman"/>
          <w:i/>
          <w:iCs/>
          <w:szCs w:val="24"/>
        </w:rPr>
        <w:t>e</w:t>
      </w:r>
      <w:r w:rsidRPr="00A96F5A">
        <w:rPr>
          <w:rFonts w:cs="Times New Roman"/>
          <w:i/>
          <w:iCs/>
          <w:szCs w:val="24"/>
        </w:rPr>
        <w:t>n</w:t>
      </w:r>
      <w:r>
        <w:rPr>
          <w:rFonts w:cs="Times New Roman"/>
          <w:i/>
          <w:iCs/>
          <w:szCs w:val="24"/>
        </w:rPr>
        <w:t>e</w:t>
      </w:r>
      <w:r w:rsidRPr="00A96F5A">
        <w:rPr>
          <w:rFonts w:cs="Times New Roman"/>
          <w:i/>
          <w:iCs/>
          <w:szCs w:val="24"/>
        </w:rPr>
        <w:t>da</w:t>
      </w:r>
      <w:proofErr w:type="spellEnd"/>
      <w:r w:rsidRPr="00A96F5A">
        <w:rPr>
          <w:rFonts w:cs="Times New Roman"/>
          <w:i/>
          <w:iCs/>
          <w:szCs w:val="24"/>
        </w:rPr>
        <w:t xml:space="preserve"> </w:t>
      </w:r>
      <w:proofErr w:type="spellStart"/>
      <w:r w:rsidRPr="00A96F5A">
        <w:rPr>
          <w:rFonts w:cs="Times New Roman"/>
          <w:i/>
          <w:iCs/>
          <w:szCs w:val="24"/>
        </w:rPr>
        <w:t>dapaa</w:t>
      </w:r>
      <w:proofErr w:type="spellEnd"/>
      <w:r>
        <w:rPr>
          <w:rFonts w:cs="Times New Roman"/>
          <w:szCs w:val="24"/>
        </w:rPr>
        <w:t>.</w:t>
      </w:r>
      <w:r w:rsidRPr="0027541D">
        <w:rPr>
          <w:rFonts w:cs="Times New Roman"/>
          <w:szCs w:val="24"/>
        </w:rPr>
        <w:t xml:space="preserve"> The traditional authority at </w:t>
      </w:r>
      <w:proofErr w:type="spellStart"/>
      <w:r w:rsidRPr="0027541D">
        <w:rPr>
          <w:rFonts w:cs="Times New Roman"/>
          <w:szCs w:val="24"/>
        </w:rPr>
        <w:t>Nobewam</w:t>
      </w:r>
      <w:proofErr w:type="spellEnd"/>
      <w:r w:rsidRPr="0027541D">
        <w:rPr>
          <w:rFonts w:cs="Times New Roman"/>
          <w:szCs w:val="24"/>
        </w:rPr>
        <w:t xml:space="preserve"> added that they did not enter the forest on </w:t>
      </w:r>
      <w:r>
        <w:rPr>
          <w:rFonts w:cs="Times New Roman"/>
          <w:szCs w:val="24"/>
        </w:rPr>
        <w:t xml:space="preserve">the last </w:t>
      </w:r>
      <w:r w:rsidRPr="0027541D">
        <w:rPr>
          <w:rFonts w:cs="Times New Roman"/>
          <w:szCs w:val="24"/>
        </w:rPr>
        <w:t>Wednesday</w:t>
      </w:r>
      <w:r>
        <w:rPr>
          <w:rFonts w:cs="Times New Roman"/>
          <w:szCs w:val="24"/>
        </w:rPr>
        <w:t>s</w:t>
      </w:r>
      <w:r w:rsidRPr="0027541D">
        <w:rPr>
          <w:rFonts w:cs="Times New Roman"/>
          <w:szCs w:val="24"/>
        </w:rPr>
        <w:t xml:space="preserve"> to </w:t>
      </w:r>
      <w:proofErr w:type="spellStart"/>
      <w:r w:rsidRPr="0027541D">
        <w:rPr>
          <w:rFonts w:cs="Times New Roman"/>
          <w:i/>
          <w:iCs/>
          <w:szCs w:val="24"/>
        </w:rPr>
        <w:t>A</w:t>
      </w:r>
      <w:r>
        <w:rPr>
          <w:rFonts w:cs="Times New Roman"/>
          <w:i/>
          <w:iCs/>
          <w:szCs w:val="24"/>
        </w:rPr>
        <w:t>kwesidae</w:t>
      </w:r>
      <w:proofErr w:type="spellEnd"/>
      <w:r>
        <w:rPr>
          <w:rFonts w:cs="Times New Roman"/>
          <w:i/>
          <w:iCs/>
          <w:szCs w:val="24"/>
        </w:rPr>
        <w:t>,</w:t>
      </w:r>
      <w:r w:rsidRPr="0027541D">
        <w:rPr>
          <w:rFonts w:cs="Times New Roman"/>
          <w:szCs w:val="24"/>
        </w:rPr>
        <w:t xml:space="preserve"> whic</w:t>
      </w:r>
      <w:r>
        <w:rPr>
          <w:rFonts w:cs="Times New Roman"/>
          <w:szCs w:val="24"/>
        </w:rPr>
        <w:t xml:space="preserve">h was the </w:t>
      </w:r>
      <w:proofErr w:type="spellStart"/>
      <w:r w:rsidRPr="00A96F5A">
        <w:rPr>
          <w:rFonts w:cs="Times New Roman"/>
          <w:i/>
          <w:iCs/>
          <w:szCs w:val="24"/>
        </w:rPr>
        <w:t>Awukudae</w:t>
      </w:r>
      <w:proofErr w:type="spellEnd"/>
      <w:r w:rsidRPr="00A96F5A">
        <w:rPr>
          <w:rFonts w:cs="Times New Roman"/>
          <w:i/>
          <w:iCs/>
          <w:szCs w:val="24"/>
        </w:rPr>
        <w:t xml:space="preserve"> </w:t>
      </w:r>
      <w:proofErr w:type="spellStart"/>
      <w:r w:rsidRPr="00A96F5A">
        <w:rPr>
          <w:rFonts w:cs="Times New Roman"/>
          <w:i/>
          <w:iCs/>
          <w:szCs w:val="24"/>
        </w:rPr>
        <w:t>dapaa</w:t>
      </w:r>
      <w:proofErr w:type="spellEnd"/>
      <w:r w:rsidRPr="0027541D">
        <w:rPr>
          <w:rFonts w:cs="Times New Roman"/>
          <w:szCs w:val="24"/>
        </w:rPr>
        <w:t xml:space="preserve">. They continued that since they did not go to the farm these days, there was no way someone could cause damage to the </w:t>
      </w:r>
      <w:proofErr w:type="gramStart"/>
      <w:r w:rsidRPr="0027541D">
        <w:rPr>
          <w:rFonts w:cs="Times New Roman"/>
          <w:szCs w:val="24"/>
        </w:rPr>
        <w:t>forest</w:t>
      </w:r>
      <w:proofErr w:type="gramEnd"/>
      <w:r>
        <w:rPr>
          <w:rFonts w:cs="Times New Roman"/>
          <w:szCs w:val="24"/>
        </w:rPr>
        <w:t xml:space="preserve"> yet</w:t>
      </w:r>
      <w:r w:rsidRPr="0027541D">
        <w:rPr>
          <w:rFonts w:cs="Times New Roman"/>
          <w:szCs w:val="24"/>
        </w:rPr>
        <w:t xml:space="preserve"> </w:t>
      </w:r>
      <w:r>
        <w:rPr>
          <w:rFonts w:cs="Times New Roman"/>
          <w:szCs w:val="24"/>
        </w:rPr>
        <w:t>o</w:t>
      </w:r>
      <w:r w:rsidRPr="0027541D">
        <w:rPr>
          <w:rFonts w:cs="Times New Roman"/>
          <w:szCs w:val="24"/>
        </w:rPr>
        <w:t>ne could enter the forest only when they would not work with a cutlass</w:t>
      </w:r>
      <w:r>
        <w:rPr>
          <w:rFonts w:cs="Times New Roman"/>
          <w:szCs w:val="24"/>
        </w:rPr>
        <w:t xml:space="preserve"> (i.e. no slashing)</w:t>
      </w:r>
      <w:r w:rsidRPr="0027541D">
        <w:rPr>
          <w:rFonts w:cs="Times New Roman"/>
          <w:szCs w:val="24"/>
        </w:rPr>
        <w:t>.</w:t>
      </w:r>
    </w:p>
    <w:p w14:paraId="54BC34E3" w14:textId="718A59F3" w:rsidR="00562295" w:rsidRPr="0027541D" w:rsidRDefault="00562295" w:rsidP="002E44B2">
      <w:pPr>
        <w:spacing w:after="0"/>
        <w:ind w:left="0" w:firstLine="0"/>
      </w:pPr>
      <w:r>
        <w:rPr>
          <w:rFonts w:cs="Times New Roman"/>
          <w:szCs w:val="24"/>
        </w:rPr>
        <w:tab/>
      </w:r>
      <w:r w:rsidR="001D6B1F">
        <w:rPr>
          <w:rFonts w:cs="Times New Roman"/>
          <w:szCs w:val="24"/>
        </w:rPr>
        <w:t>K</w:t>
      </w:r>
      <w:r w:rsidRPr="0027541D">
        <w:rPr>
          <w:rFonts w:cs="Times New Roman"/>
          <w:szCs w:val="24"/>
        </w:rPr>
        <w:t xml:space="preserve">ey informant </w:t>
      </w:r>
      <w:r>
        <w:rPr>
          <w:rFonts w:cs="Times New Roman"/>
          <w:szCs w:val="24"/>
        </w:rPr>
        <w:t xml:space="preserve">1 </w:t>
      </w:r>
      <w:r w:rsidR="001D6B1F">
        <w:rPr>
          <w:rFonts w:cs="Times New Roman"/>
          <w:szCs w:val="24"/>
        </w:rPr>
        <w:t xml:space="preserve">from the FSD at the BFR </w:t>
      </w:r>
      <w:r>
        <w:rPr>
          <w:rFonts w:cs="Times New Roman"/>
          <w:szCs w:val="24"/>
        </w:rPr>
        <w:t>on 6</w:t>
      </w:r>
      <w:r w:rsidRPr="00B579F4">
        <w:rPr>
          <w:rFonts w:cs="Times New Roman"/>
          <w:szCs w:val="24"/>
          <w:vertAlign w:val="superscript"/>
        </w:rPr>
        <w:t>th</w:t>
      </w:r>
      <w:r>
        <w:rPr>
          <w:rFonts w:cs="Times New Roman"/>
          <w:szCs w:val="24"/>
        </w:rPr>
        <w:t xml:space="preserve"> February 2024 </w:t>
      </w:r>
      <w:r w:rsidRPr="0027541D">
        <w:rPr>
          <w:rFonts w:cs="Times New Roman"/>
          <w:szCs w:val="24"/>
        </w:rPr>
        <w:t xml:space="preserve">confirmed the presence of </w:t>
      </w:r>
      <w:r>
        <w:rPr>
          <w:rFonts w:cs="Times New Roman"/>
          <w:szCs w:val="24"/>
        </w:rPr>
        <w:t xml:space="preserve">these </w:t>
      </w:r>
      <w:r w:rsidRPr="0027541D">
        <w:rPr>
          <w:rFonts w:cs="Times New Roman"/>
          <w:szCs w:val="24"/>
        </w:rPr>
        <w:t>taboo days</w:t>
      </w:r>
      <w:r>
        <w:rPr>
          <w:rFonts w:cs="Times New Roman"/>
          <w:szCs w:val="24"/>
        </w:rPr>
        <w:t>,</w:t>
      </w:r>
      <w:r w:rsidRPr="0027541D">
        <w:rPr>
          <w:rFonts w:cs="Times New Roman"/>
          <w:szCs w:val="24"/>
        </w:rPr>
        <w:t xml:space="preserve"> especially Fridays</w:t>
      </w:r>
      <w:r>
        <w:rPr>
          <w:rFonts w:cs="Times New Roman"/>
          <w:szCs w:val="24"/>
        </w:rPr>
        <w:t xml:space="preserve">, and </w:t>
      </w:r>
      <w:r w:rsidR="001D6B1F">
        <w:rPr>
          <w:rFonts w:cs="Times New Roman"/>
          <w:szCs w:val="24"/>
        </w:rPr>
        <w:t xml:space="preserve">that </w:t>
      </w:r>
      <w:r w:rsidR="00577CD6">
        <w:rPr>
          <w:rFonts w:cs="Times New Roman"/>
          <w:szCs w:val="24"/>
        </w:rPr>
        <w:t xml:space="preserve">the FSD office in the district also </w:t>
      </w:r>
      <w:r>
        <w:rPr>
          <w:rFonts w:cs="Times New Roman"/>
          <w:szCs w:val="24"/>
        </w:rPr>
        <w:t>adhered to them</w:t>
      </w:r>
      <w:r w:rsidRPr="0027541D">
        <w:rPr>
          <w:rFonts w:cs="Times New Roman"/>
          <w:szCs w:val="24"/>
        </w:rPr>
        <w:t xml:space="preserve">. The informant revealed that no logging </w:t>
      </w:r>
      <w:r>
        <w:rPr>
          <w:rFonts w:cs="Times New Roman"/>
          <w:szCs w:val="24"/>
        </w:rPr>
        <w:t xml:space="preserve">or </w:t>
      </w:r>
      <w:r w:rsidRPr="0027541D">
        <w:rPr>
          <w:rFonts w:cs="Times New Roman"/>
          <w:szCs w:val="24"/>
        </w:rPr>
        <w:t>labour</w:t>
      </w:r>
      <w:r>
        <w:rPr>
          <w:rFonts w:cs="Times New Roman"/>
          <w:szCs w:val="24"/>
        </w:rPr>
        <w:t>-</w:t>
      </w:r>
      <w:r w:rsidRPr="0027541D">
        <w:rPr>
          <w:rFonts w:cs="Times New Roman"/>
          <w:szCs w:val="24"/>
        </w:rPr>
        <w:t xml:space="preserve">intensive activities were carried out </w:t>
      </w:r>
      <w:r>
        <w:rPr>
          <w:rFonts w:cs="Times New Roman"/>
          <w:szCs w:val="24"/>
        </w:rPr>
        <w:t>on these days. This also helped to</w:t>
      </w:r>
      <w:r w:rsidRPr="0027541D">
        <w:rPr>
          <w:rFonts w:cs="Times New Roman"/>
          <w:szCs w:val="24"/>
        </w:rPr>
        <w:t xml:space="preserve"> control </w:t>
      </w:r>
      <w:r>
        <w:rPr>
          <w:rFonts w:cs="Times New Roman"/>
          <w:szCs w:val="24"/>
        </w:rPr>
        <w:t xml:space="preserve">the </w:t>
      </w:r>
      <w:r w:rsidRPr="0027541D">
        <w:rPr>
          <w:rFonts w:cs="Times New Roman"/>
          <w:szCs w:val="24"/>
        </w:rPr>
        <w:t xml:space="preserve">over-exploitation of </w:t>
      </w:r>
      <w:r w:rsidR="00577CD6">
        <w:rPr>
          <w:rFonts w:cs="Times New Roman"/>
          <w:szCs w:val="24"/>
        </w:rPr>
        <w:t>timber and other resources</w:t>
      </w:r>
      <w:r>
        <w:rPr>
          <w:rFonts w:cs="Times New Roman"/>
          <w:szCs w:val="24"/>
        </w:rPr>
        <w:t xml:space="preserve"> in the reserve</w:t>
      </w:r>
      <w:r w:rsidRPr="0027541D">
        <w:rPr>
          <w:rFonts w:cs="Times New Roman"/>
          <w:szCs w:val="24"/>
        </w:rPr>
        <w:t>.</w:t>
      </w:r>
      <w:r>
        <w:rPr>
          <w:rFonts w:cs="Times New Roman"/>
          <w:szCs w:val="24"/>
        </w:rPr>
        <w:t xml:space="preserve"> The informant revealed that the FC-FSD observed these sacred days and extended them to workers and contractors. </w:t>
      </w:r>
      <w:r w:rsidRPr="0027541D">
        <w:t xml:space="preserve">In addition, the traditional </w:t>
      </w:r>
      <w:r w:rsidRPr="0027541D">
        <w:lastRenderedPageBreak/>
        <w:t xml:space="preserve">authority in </w:t>
      </w:r>
      <w:proofErr w:type="spellStart"/>
      <w:r w:rsidRPr="0027541D">
        <w:t>Nobewam</w:t>
      </w:r>
      <w:proofErr w:type="spellEnd"/>
      <w:r w:rsidRPr="0027541D">
        <w:t xml:space="preserve"> had the authority to punish community members who did things to deteriorate the forest</w:t>
      </w:r>
      <w:r>
        <w:t>, whereas</w:t>
      </w:r>
      <w:r w:rsidRPr="0027541D">
        <w:t xml:space="preserve"> the traditional authority at </w:t>
      </w:r>
      <w:proofErr w:type="spellStart"/>
      <w:r w:rsidRPr="0027541D">
        <w:t>Krofrom</w:t>
      </w:r>
      <w:proofErr w:type="spellEnd"/>
      <w:r w:rsidRPr="0027541D">
        <w:t xml:space="preserve"> had no such authority</w:t>
      </w:r>
      <w:r w:rsidR="001D6B1F">
        <w:t xml:space="preserve"> but rather the f</w:t>
      </w:r>
      <w:r>
        <w:t xml:space="preserve">orest guards punished the community members at </w:t>
      </w:r>
      <w:proofErr w:type="spellStart"/>
      <w:r>
        <w:t>Krofrom</w:t>
      </w:r>
      <w:proofErr w:type="spellEnd"/>
      <w:r w:rsidRPr="0027541D">
        <w:t xml:space="preserve">. </w:t>
      </w:r>
    </w:p>
    <w:p w14:paraId="5345CBAB" w14:textId="04E44584" w:rsidR="00562295" w:rsidRPr="0027541D" w:rsidRDefault="00562295" w:rsidP="002E44B2">
      <w:pPr>
        <w:spacing w:after="0"/>
        <w:ind w:left="0" w:firstLine="0"/>
      </w:pPr>
      <w:r>
        <w:tab/>
      </w:r>
      <w:proofErr w:type="gramStart"/>
      <w:r w:rsidRPr="0027541D">
        <w:t>Similar to</w:t>
      </w:r>
      <w:proofErr w:type="gramEnd"/>
      <w:r w:rsidRPr="0027541D">
        <w:t xml:space="preserve"> </w:t>
      </w:r>
      <w:r>
        <w:t>the BFR</w:t>
      </w:r>
      <w:r w:rsidRPr="0027541D">
        <w:t>, the communities in the SSFR also observed taboo days</w:t>
      </w:r>
      <w:r>
        <w:t xml:space="preserve"> comprising </w:t>
      </w:r>
      <w:proofErr w:type="spellStart"/>
      <w:r w:rsidRPr="00320B1C">
        <w:rPr>
          <w:i/>
          <w:iCs/>
        </w:rPr>
        <w:t>Akwesidae</w:t>
      </w:r>
      <w:proofErr w:type="spellEnd"/>
      <w:r>
        <w:t xml:space="preserve">, </w:t>
      </w:r>
      <w:proofErr w:type="spellStart"/>
      <w:r w:rsidRPr="00BD04F1">
        <w:rPr>
          <w:i/>
          <w:iCs/>
        </w:rPr>
        <w:t>Edwoada</w:t>
      </w:r>
      <w:proofErr w:type="spellEnd"/>
      <w:r w:rsidRPr="00BD04F1">
        <w:rPr>
          <w:i/>
          <w:iCs/>
        </w:rPr>
        <w:t xml:space="preserve"> </w:t>
      </w:r>
      <w:proofErr w:type="spellStart"/>
      <w:r w:rsidRPr="00BD04F1">
        <w:rPr>
          <w:i/>
          <w:iCs/>
        </w:rPr>
        <w:t>fodjour</w:t>
      </w:r>
      <w:proofErr w:type="spellEnd"/>
      <w:r>
        <w:t xml:space="preserve">, </w:t>
      </w:r>
      <w:proofErr w:type="spellStart"/>
      <w:r w:rsidRPr="00D131DF">
        <w:rPr>
          <w:i/>
          <w:iCs/>
        </w:rPr>
        <w:t>Awukuda</w:t>
      </w:r>
      <w:r>
        <w:rPr>
          <w:i/>
          <w:iCs/>
        </w:rPr>
        <w:t>e</w:t>
      </w:r>
      <w:proofErr w:type="spellEnd"/>
      <w:r>
        <w:rPr>
          <w:i/>
          <w:iCs/>
        </w:rPr>
        <w:t>,</w:t>
      </w:r>
      <w:r w:rsidRPr="00D131DF">
        <w:rPr>
          <w:i/>
          <w:iCs/>
        </w:rPr>
        <w:t xml:space="preserve"> </w:t>
      </w:r>
      <w:proofErr w:type="spellStart"/>
      <w:r w:rsidRPr="00D131DF">
        <w:rPr>
          <w:i/>
          <w:iCs/>
        </w:rPr>
        <w:t>Awukuda</w:t>
      </w:r>
      <w:r>
        <w:rPr>
          <w:i/>
          <w:iCs/>
        </w:rPr>
        <w:t>e</w:t>
      </w:r>
      <w:proofErr w:type="spellEnd"/>
      <w:r w:rsidRPr="00D131DF">
        <w:rPr>
          <w:i/>
          <w:iCs/>
        </w:rPr>
        <w:t xml:space="preserve"> </w:t>
      </w:r>
      <w:r w:rsidRPr="00BD04F1">
        <w:rPr>
          <w:i/>
          <w:iCs/>
        </w:rPr>
        <w:t xml:space="preserve">da </w:t>
      </w:r>
      <w:proofErr w:type="spellStart"/>
      <w:r w:rsidRPr="00BD04F1">
        <w:rPr>
          <w:i/>
          <w:iCs/>
        </w:rPr>
        <w:t>paa</w:t>
      </w:r>
      <w:proofErr w:type="spellEnd"/>
      <w:r>
        <w:rPr>
          <w:i/>
          <w:iCs/>
        </w:rPr>
        <w:t xml:space="preserve">, and </w:t>
      </w:r>
      <w:proofErr w:type="spellStart"/>
      <w:r>
        <w:rPr>
          <w:i/>
          <w:iCs/>
        </w:rPr>
        <w:t>Memeneda</w:t>
      </w:r>
      <w:proofErr w:type="spellEnd"/>
      <w:r>
        <w:rPr>
          <w:i/>
          <w:iCs/>
        </w:rPr>
        <w:t xml:space="preserve"> da </w:t>
      </w:r>
      <w:proofErr w:type="spellStart"/>
      <w:r>
        <w:rPr>
          <w:i/>
          <w:iCs/>
        </w:rPr>
        <w:t>paa</w:t>
      </w:r>
      <w:proofErr w:type="spellEnd"/>
      <w:r w:rsidRPr="0027541D">
        <w:rPr>
          <w:i/>
          <w:iCs/>
        </w:rPr>
        <w:t xml:space="preserve">. </w:t>
      </w:r>
      <w:r w:rsidR="001D6B1F">
        <w:t>K</w:t>
      </w:r>
      <w:r>
        <w:t>ey informant 1</w:t>
      </w:r>
      <w:r w:rsidR="002E44B2">
        <w:t>0</w:t>
      </w:r>
      <w:r>
        <w:t xml:space="preserve"> </w:t>
      </w:r>
      <w:r w:rsidR="00577CD6">
        <w:t xml:space="preserve">from the FSD </w:t>
      </w:r>
      <w:r w:rsidR="001D6B1F">
        <w:t xml:space="preserve">at SSFR </w:t>
      </w:r>
      <w:r>
        <w:t>on 4</w:t>
      </w:r>
      <w:r w:rsidRPr="00E35496">
        <w:rPr>
          <w:vertAlign w:val="superscript"/>
        </w:rPr>
        <w:t>th</w:t>
      </w:r>
      <w:r>
        <w:t xml:space="preserve"> March 202</w:t>
      </w:r>
      <w:r w:rsidR="00577CD6">
        <w:t xml:space="preserve">4 </w:t>
      </w:r>
      <w:r w:rsidRPr="0027541D">
        <w:t>confirmed that they observed the</w:t>
      </w:r>
      <w:r>
        <w:t>se taboo days</w:t>
      </w:r>
      <w:r w:rsidRPr="0027541D">
        <w:rPr>
          <w:i/>
          <w:iCs/>
        </w:rPr>
        <w:t xml:space="preserve">. </w:t>
      </w:r>
      <w:r w:rsidRPr="0027541D">
        <w:t xml:space="preserve">The representative maintained that nobody was allowed to enter the forest </w:t>
      </w:r>
      <w:r>
        <w:t>on</w:t>
      </w:r>
      <w:r w:rsidRPr="0027541D">
        <w:t xml:space="preserve"> </w:t>
      </w:r>
      <w:r w:rsidR="00577CD6">
        <w:t>any of the taboo</w:t>
      </w:r>
      <w:r w:rsidRPr="0027541D">
        <w:t xml:space="preserve"> day</w:t>
      </w:r>
      <w:r w:rsidR="00577CD6">
        <w:t>s</w:t>
      </w:r>
      <w:r w:rsidR="001D6B1F">
        <w:t xml:space="preserve"> and </w:t>
      </w:r>
      <w:r w:rsidR="001D6B1F" w:rsidRPr="001D6B1F">
        <w:t>r</w:t>
      </w:r>
      <w:r w:rsidRPr="001D6B1F">
        <w:t xml:space="preserve">esidents entered at their peril; even the FSD workers did not enter on </w:t>
      </w:r>
      <w:r w:rsidR="00577CD6" w:rsidRPr="001D6B1F">
        <w:t>taboo</w:t>
      </w:r>
      <w:r w:rsidRPr="001D6B1F">
        <w:t xml:space="preserve"> day</w:t>
      </w:r>
      <w:r w:rsidR="00577CD6" w:rsidRPr="001D6B1F">
        <w:t>s</w:t>
      </w:r>
      <w:r w:rsidRPr="0027541D">
        <w:t xml:space="preserve">. In addition, </w:t>
      </w:r>
      <w:r w:rsidR="001D6B1F">
        <w:t xml:space="preserve">key informant 12 from </w:t>
      </w:r>
      <w:r w:rsidRPr="0027541D">
        <w:t>the D</w:t>
      </w:r>
      <w:r>
        <w:t xml:space="preserve">. </w:t>
      </w:r>
      <w:r w:rsidRPr="0027541D">
        <w:t>A</w:t>
      </w:r>
      <w:r>
        <w:t>.</w:t>
      </w:r>
      <w:r w:rsidRPr="0027541D">
        <w:t xml:space="preserve"> </w:t>
      </w:r>
      <w:r w:rsidR="001D6B1F">
        <w:t>at the SSFR</w:t>
      </w:r>
      <w:r w:rsidRPr="0027541D">
        <w:t xml:space="preserve"> </w:t>
      </w:r>
      <w:r w:rsidR="001D6B1F">
        <w:t>on 12</w:t>
      </w:r>
      <w:r w:rsidR="001D6B1F" w:rsidRPr="001D6B1F">
        <w:rPr>
          <w:vertAlign w:val="superscript"/>
        </w:rPr>
        <w:t>th</w:t>
      </w:r>
      <w:r w:rsidR="001D6B1F">
        <w:t xml:space="preserve"> March 2024 </w:t>
      </w:r>
      <w:r w:rsidRPr="0027541D">
        <w:t xml:space="preserve">revealed that the community observed </w:t>
      </w:r>
      <w:proofErr w:type="spellStart"/>
      <w:r w:rsidRPr="0027541D">
        <w:rPr>
          <w:i/>
          <w:iCs/>
        </w:rPr>
        <w:t>Awuku</w:t>
      </w:r>
      <w:proofErr w:type="spellEnd"/>
      <w:r w:rsidRPr="0027541D">
        <w:rPr>
          <w:i/>
          <w:iCs/>
        </w:rPr>
        <w:t xml:space="preserve"> </w:t>
      </w:r>
      <w:proofErr w:type="spellStart"/>
      <w:r w:rsidRPr="0027541D">
        <w:rPr>
          <w:i/>
          <w:iCs/>
        </w:rPr>
        <w:t>dai</w:t>
      </w:r>
      <w:proofErr w:type="spellEnd"/>
      <w:r w:rsidRPr="0027541D">
        <w:t xml:space="preserve"> and extended it to the proceeding Thursday,</w:t>
      </w:r>
      <w:r>
        <w:t xml:space="preserve"> i.e., </w:t>
      </w:r>
      <w:proofErr w:type="spellStart"/>
      <w:r w:rsidRPr="006E2C47">
        <w:rPr>
          <w:i/>
          <w:iCs/>
        </w:rPr>
        <w:t>Awukudai</w:t>
      </w:r>
      <w:proofErr w:type="spellEnd"/>
      <w:r w:rsidRPr="006E2C47">
        <w:rPr>
          <w:i/>
          <w:iCs/>
        </w:rPr>
        <w:t xml:space="preserve"> </w:t>
      </w:r>
      <w:proofErr w:type="spellStart"/>
      <w:r w:rsidRPr="006E2C47">
        <w:rPr>
          <w:i/>
          <w:iCs/>
        </w:rPr>
        <w:t>Yawuo</w:t>
      </w:r>
      <w:proofErr w:type="spellEnd"/>
      <w:r>
        <w:t xml:space="preserve">. The focus group discussion </w:t>
      </w:r>
      <w:r w:rsidR="00577CD6">
        <w:t xml:space="preserve">4, made up of farmers, </w:t>
      </w:r>
      <w:r w:rsidR="001D6B1F">
        <w:t xml:space="preserve">held at </w:t>
      </w:r>
      <w:proofErr w:type="spellStart"/>
      <w:r w:rsidR="001D6B1F">
        <w:t>Osubeng</w:t>
      </w:r>
      <w:proofErr w:type="spellEnd"/>
      <w:r w:rsidR="001D6B1F">
        <w:t xml:space="preserve"> </w:t>
      </w:r>
      <w:r w:rsidR="00577CD6">
        <w:t>on 22</w:t>
      </w:r>
      <w:r w:rsidR="00577CD6" w:rsidRPr="00577CD6">
        <w:rPr>
          <w:vertAlign w:val="superscript"/>
        </w:rPr>
        <w:t>nd</w:t>
      </w:r>
      <w:r w:rsidR="00577CD6">
        <w:t xml:space="preserve"> March 2024</w:t>
      </w:r>
      <w:r>
        <w:t xml:space="preserve"> described how a community member went to </w:t>
      </w:r>
      <w:r w:rsidR="00577CD6">
        <w:t xml:space="preserve">a </w:t>
      </w:r>
      <w:r>
        <w:t xml:space="preserve">farm on a taboo </w:t>
      </w:r>
      <w:r w:rsidR="00595FEB">
        <w:t xml:space="preserve">day </w:t>
      </w:r>
      <w:r>
        <w:t xml:space="preserve">and </w:t>
      </w:r>
      <w:proofErr w:type="gramStart"/>
      <w:r>
        <w:t>came into contact with</w:t>
      </w:r>
      <w:proofErr w:type="gramEnd"/>
      <w:r>
        <w:t xml:space="preserve"> a spirit who made the person’s cutlass vanish before causing the person to roam the reserve for a whole day before coming home. </w:t>
      </w:r>
    </w:p>
    <w:p w14:paraId="50808A51" w14:textId="309DA863" w:rsidR="00562295" w:rsidRDefault="00562295" w:rsidP="00562295">
      <w:pPr>
        <w:pStyle w:val="BodyText"/>
        <w:spacing w:after="0"/>
        <w:ind w:left="0" w:firstLine="0"/>
      </w:pPr>
      <w:r>
        <w:tab/>
        <w:t xml:space="preserve">The data revealed that the study areas observed taboo days comprising </w:t>
      </w:r>
      <w:proofErr w:type="spellStart"/>
      <w:r w:rsidRPr="002C6064">
        <w:rPr>
          <w:i/>
          <w:iCs/>
        </w:rPr>
        <w:t>Akwesidae</w:t>
      </w:r>
      <w:proofErr w:type="spellEnd"/>
      <w:r w:rsidRPr="002C6064">
        <w:rPr>
          <w:i/>
          <w:iCs/>
        </w:rPr>
        <w:t xml:space="preserve">, </w:t>
      </w:r>
      <w:proofErr w:type="spellStart"/>
      <w:r w:rsidRPr="002C6064">
        <w:rPr>
          <w:i/>
          <w:iCs/>
        </w:rPr>
        <w:t>Edwoada</w:t>
      </w:r>
      <w:proofErr w:type="spellEnd"/>
      <w:r w:rsidRPr="002C6064">
        <w:rPr>
          <w:i/>
          <w:iCs/>
        </w:rPr>
        <w:t xml:space="preserve"> </w:t>
      </w:r>
      <w:proofErr w:type="spellStart"/>
      <w:r w:rsidRPr="002C6064">
        <w:rPr>
          <w:i/>
          <w:iCs/>
        </w:rPr>
        <w:t>fodjour</w:t>
      </w:r>
      <w:proofErr w:type="spellEnd"/>
      <w:r w:rsidRPr="002C6064">
        <w:rPr>
          <w:i/>
          <w:iCs/>
        </w:rPr>
        <w:t xml:space="preserve">, </w:t>
      </w:r>
      <w:proofErr w:type="spellStart"/>
      <w:r w:rsidRPr="002C6064">
        <w:rPr>
          <w:i/>
          <w:iCs/>
        </w:rPr>
        <w:t>Awukudae</w:t>
      </w:r>
      <w:proofErr w:type="spellEnd"/>
      <w:r w:rsidRPr="002C6064">
        <w:rPr>
          <w:i/>
          <w:iCs/>
        </w:rPr>
        <w:t xml:space="preserve">, </w:t>
      </w:r>
      <w:proofErr w:type="spellStart"/>
      <w:r w:rsidRPr="002C6064">
        <w:rPr>
          <w:i/>
          <w:iCs/>
        </w:rPr>
        <w:t>Awukudae</w:t>
      </w:r>
      <w:proofErr w:type="spellEnd"/>
      <w:r w:rsidRPr="002C6064">
        <w:rPr>
          <w:i/>
          <w:iCs/>
        </w:rPr>
        <w:t xml:space="preserve"> </w:t>
      </w:r>
      <w:proofErr w:type="spellStart"/>
      <w:r w:rsidRPr="002C6064">
        <w:rPr>
          <w:i/>
          <w:iCs/>
        </w:rPr>
        <w:t>dapaa</w:t>
      </w:r>
      <w:proofErr w:type="spellEnd"/>
      <w:r w:rsidRPr="002C6064">
        <w:rPr>
          <w:i/>
          <w:iCs/>
        </w:rPr>
        <w:t xml:space="preserve">, </w:t>
      </w:r>
      <w:proofErr w:type="spellStart"/>
      <w:r w:rsidR="001D6B1F">
        <w:rPr>
          <w:i/>
          <w:iCs/>
        </w:rPr>
        <w:t>Awukudae</w:t>
      </w:r>
      <w:proofErr w:type="spellEnd"/>
      <w:r w:rsidR="001D6B1F">
        <w:rPr>
          <w:i/>
          <w:iCs/>
        </w:rPr>
        <w:t xml:space="preserve"> </w:t>
      </w:r>
      <w:proofErr w:type="spellStart"/>
      <w:r w:rsidR="001D6B1F">
        <w:rPr>
          <w:i/>
          <w:iCs/>
        </w:rPr>
        <w:t>Yawuo</w:t>
      </w:r>
      <w:proofErr w:type="spellEnd"/>
      <w:r w:rsidR="001D6B1F">
        <w:rPr>
          <w:i/>
          <w:iCs/>
        </w:rPr>
        <w:t xml:space="preserve">, </w:t>
      </w:r>
      <w:proofErr w:type="spellStart"/>
      <w:r w:rsidRPr="002C6064">
        <w:rPr>
          <w:i/>
          <w:iCs/>
        </w:rPr>
        <w:t>Afiada</w:t>
      </w:r>
      <w:proofErr w:type="spellEnd"/>
      <w:r w:rsidRPr="002C6064">
        <w:rPr>
          <w:i/>
          <w:iCs/>
        </w:rPr>
        <w:t xml:space="preserve"> </w:t>
      </w:r>
      <w:proofErr w:type="spellStart"/>
      <w:r w:rsidRPr="002C6064">
        <w:rPr>
          <w:i/>
          <w:iCs/>
        </w:rPr>
        <w:t>dapaa</w:t>
      </w:r>
      <w:proofErr w:type="spellEnd"/>
      <w:r>
        <w:t xml:space="preserve"> and </w:t>
      </w:r>
      <w:proofErr w:type="spellStart"/>
      <w:r w:rsidRPr="002C6064">
        <w:rPr>
          <w:i/>
          <w:iCs/>
        </w:rPr>
        <w:t>Memeneda</w:t>
      </w:r>
      <w:proofErr w:type="spellEnd"/>
      <w:r w:rsidRPr="002C6064">
        <w:rPr>
          <w:i/>
          <w:iCs/>
        </w:rPr>
        <w:t xml:space="preserve"> </w:t>
      </w:r>
      <w:proofErr w:type="spellStart"/>
      <w:r w:rsidRPr="002C6064">
        <w:rPr>
          <w:i/>
          <w:iCs/>
        </w:rPr>
        <w:t>dapaa</w:t>
      </w:r>
      <w:proofErr w:type="spellEnd"/>
      <w:r>
        <w:t xml:space="preserve">. The </w:t>
      </w:r>
      <w:proofErr w:type="spellStart"/>
      <w:r>
        <w:t>Akwesidae</w:t>
      </w:r>
      <w:proofErr w:type="spellEnd"/>
      <w:r>
        <w:t xml:space="preserve"> fell every </w:t>
      </w:r>
      <w:r w:rsidR="00577CD6">
        <w:t>Sunday after every 40 days</w:t>
      </w:r>
      <w:r>
        <w:t xml:space="preserve">. Every Monday in the fortnight after </w:t>
      </w:r>
      <w:proofErr w:type="spellStart"/>
      <w:r w:rsidRPr="002C6064">
        <w:rPr>
          <w:i/>
          <w:iCs/>
        </w:rPr>
        <w:t>Akwesidae</w:t>
      </w:r>
      <w:proofErr w:type="spellEnd"/>
      <w:r>
        <w:t xml:space="preserve"> is referred to as </w:t>
      </w:r>
      <w:proofErr w:type="spellStart"/>
      <w:r w:rsidRPr="002C6064">
        <w:rPr>
          <w:i/>
          <w:iCs/>
        </w:rPr>
        <w:t>Edwoada</w:t>
      </w:r>
      <w:proofErr w:type="spellEnd"/>
      <w:r w:rsidRPr="002C6064">
        <w:rPr>
          <w:i/>
          <w:iCs/>
        </w:rPr>
        <w:t xml:space="preserve"> </w:t>
      </w:r>
      <w:proofErr w:type="spellStart"/>
      <w:r w:rsidRPr="002C6064">
        <w:rPr>
          <w:i/>
          <w:iCs/>
        </w:rPr>
        <w:t>fodjour</w:t>
      </w:r>
      <w:proofErr w:type="spellEnd"/>
      <w:r>
        <w:t xml:space="preserve">. </w:t>
      </w:r>
      <w:r w:rsidR="008D52DE">
        <w:t>Wednesday</w:t>
      </w:r>
      <w:r>
        <w:t xml:space="preserve">, a week after </w:t>
      </w:r>
      <w:proofErr w:type="spellStart"/>
      <w:r w:rsidRPr="002C6064">
        <w:rPr>
          <w:i/>
          <w:iCs/>
        </w:rPr>
        <w:t>Edwoada</w:t>
      </w:r>
      <w:proofErr w:type="spellEnd"/>
      <w:r w:rsidRPr="002C6064">
        <w:rPr>
          <w:i/>
          <w:iCs/>
        </w:rPr>
        <w:t xml:space="preserve"> </w:t>
      </w:r>
      <w:proofErr w:type="spellStart"/>
      <w:r w:rsidRPr="002C6064">
        <w:rPr>
          <w:i/>
          <w:iCs/>
        </w:rPr>
        <w:t>fodjo</w:t>
      </w:r>
      <w:r w:rsidR="001D6B1F">
        <w:rPr>
          <w:i/>
          <w:iCs/>
        </w:rPr>
        <w:t>u</w:t>
      </w:r>
      <w:r w:rsidRPr="002C6064">
        <w:rPr>
          <w:i/>
          <w:iCs/>
        </w:rPr>
        <w:t>r</w:t>
      </w:r>
      <w:proofErr w:type="spellEnd"/>
      <w:r>
        <w:t xml:space="preserve">, is considered </w:t>
      </w:r>
      <w:proofErr w:type="spellStart"/>
      <w:r w:rsidRPr="002C6064">
        <w:rPr>
          <w:i/>
          <w:iCs/>
        </w:rPr>
        <w:t>Awukudae</w:t>
      </w:r>
      <w:proofErr w:type="spellEnd"/>
      <w:r>
        <w:t xml:space="preserve">. The last Friday and Saturday </w:t>
      </w:r>
      <w:proofErr w:type="gramStart"/>
      <w:r w:rsidR="008D52DE">
        <w:t xml:space="preserve">preceding </w:t>
      </w:r>
      <w:r>
        <w:t xml:space="preserve"> </w:t>
      </w:r>
      <w:proofErr w:type="spellStart"/>
      <w:r w:rsidRPr="002C6064">
        <w:rPr>
          <w:i/>
          <w:iCs/>
        </w:rPr>
        <w:t>Akwesidae</w:t>
      </w:r>
      <w:proofErr w:type="spellEnd"/>
      <w:proofErr w:type="gramEnd"/>
      <w:r>
        <w:t xml:space="preserve"> were considered </w:t>
      </w:r>
      <w:proofErr w:type="spellStart"/>
      <w:r w:rsidRPr="002C6064">
        <w:rPr>
          <w:i/>
          <w:iCs/>
        </w:rPr>
        <w:t>Afiada</w:t>
      </w:r>
      <w:proofErr w:type="spellEnd"/>
      <w:r w:rsidRPr="002C6064">
        <w:rPr>
          <w:i/>
          <w:iCs/>
        </w:rPr>
        <w:t xml:space="preserve"> </w:t>
      </w:r>
      <w:proofErr w:type="spellStart"/>
      <w:r w:rsidR="001D6B1F">
        <w:rPr>
          <w:i/>
          <w:iCs/>
        </w:rPr>
        <w:t>fofie</w:t>
      </w:r>
      <w:proofErr w:type="spellEnd"/>
      <w:r>
        <w:t xml:space="preserve"> and </w:t>
      </w:r>
      <w:proofErr w:type="spellStart"/>
      <w:r w:rsidRPr="002C6064">
        <w:rPr>
          <w:i/>
          <w:iCs/>
        </w:rPr>
        <w:t>Memeneda</w:t>
      </w:r>
      <w:proofErr w:type="spellEnd"/>
      <w:r w:rsidRPr="002C6064">
        <w:rPr>
          <w:i/>
          <w:iCs/>
        </w:rPr>
        <w:t xml:space="preserve"> </w:t>
      </w:r>
      <w:proofErr w:type="spellStart"/>
      <w:r w:rsidRPr="002C6064">
        <w:rPr>
          <w:i/>
          <w:iCs/>
        </w:rPr>
        <w:t>dapaa</w:t>
      </w:r>
      <w:proofErr w:type="spellEnd"/>
      <w:r>
        <w:t xml:space="preserve">, respectively. All these days were set aside as taboo days to allow the forest to rest. </w:t>
      </w:r>
    </w:p>
    <w:p w14:paraId="32134E55" w14:textId="695C0D41" w:rsidR="002E44B2" w:rsidRDefault="00562295" w:rsidP="00562295">
      <w:pPr>
        <w:pStyle w:val="BodyText"/>
        <w:spacing w:after="0"/>
        <w:ind w:left="0"/>
      </w:pPr>
      <w:r>
        <w:lastRenderedPageBreak/>
        <w:t xml:space="preserve">The community members believed that the trees, vines and water resources within the various reserves were animate and rested on these days. They also believed that aside </w:t>
      </w:r>
      <w:r w:rsidR="001D6B1F">
        <w:t xml:space="preserve">from </w:t>
      </w:r>
      <w:r>
        <w:t xml:space="preserve">the gods visiting the reserves these days, they were special days to pray to the gods for results. Furthermore, the presence of these days to allow the forest to breathe </w:t>
      </w:r>
      <w:proofErr w:type="gramStart"/>
      <w:r>
        <w:t>and also</w:t>
      </w:r>
      <w:proofErr w:type="gramEnd"/>
      <w:r>
        <w:t xml:space="preserve"> reduce the exploitation of the forest resources revealed that forest conservation was intrinsically part of the traditional norms of these communities and </w:t>
      </w:r>
      <w:r w:rsidR="001D6B1F">
        <w:t xml:space="preserve">these </w:t>
      </w:r>
      <w:r>
        <w:t>ha</w:t>
      </w:r>
      <w:r w:rsidR="001D6B1F">
        <w:t>ve</w:t>
      </w:r>
      <w:r>
        <w:t xml:space="preserve"> been practi</w:t>
      </w:r>
      <w:r w:rsidR="00D54938">
        <w:t>s</w:t>
      </w:r>
      <w:r w:rsidR="008D52DE">
        <w:t>ed</w:t>
      </w:r>
      <w:r>
        <w:t xml:space="preserve"> for a long period. </w:t>
      </w:r>
    </w:p>
    <w:p w14:paraId="3336CECA" w14:textId="5BF0814D" w:rsidR="001D6B1F" w:rsidRDefault="001D6B1F" w:rsidP="00562295">
      <w:pPr>
        <w:pStyle w:val="BodyText"/>
        <w:spacing w:after="0"/>
        <w:ind w:left="0"/>
      </w:pPr>
      <w:r>
        <w:t xml:space="preserve">Furthermore, as part of the repertoire of strategies for protecting the forest, the traditional authority at </w:t>
      </w:r>
      <w:proofErr w:type="spellStart"/>
      <w:r>
        <w:t>Suminakesse</w:t>
      </w:r>
      <w:proofErr w:type="spellEnd"/>
      <w:r>
        <w:t xml:space="preserve"> banned the owning of dogs in the community. The authority revealed that hunters in the communities usually set fire to portions of the forests to force game, mostly rodents out of their holes onto the surface to be captured by their dogs, hence this method of hunting is dependent on the presence of dogs. Therefore, the absence of dogs prevented hunters from utilising this hunting method, thereby sustaining the ecosystem.</w:t>
      </w:r>
    </w:p>
    <w:p w14:paraId="37A34BD8" w14:textId="458F454A" w:rsidR="00562295" w:rsidRPr="00CB1A05" w:rsidRDefault="00562295" w:rsidP="00562295">
      <w:pPr>
        <w:pStyle w:val="BodyText"/>
        <w:spacing w:after="0"/>
        <w:ind w:left="0"/>
      </w:pPr>
      <w:r>
        <w:t>Th</w:t>
      </w:r>
      <w:r w:rsidR="002E44B2">
        <w:t>e presence of sustainable principles in traditional practices</w:t>
      </w:r>
      <w:r>
        <w:t xml:space="preserve"> supports the assertion by </w:t>
      </w:r>
      <w:r>
        <w:rPr>
          <w:rFonts w:cs="Times New Roman"/>
          <w:szCs w:val="24"/>
        </w:rPr>
        <w:t xml:space="preserve">IPBES (2022) which acknowledged that sustainable principles have been fundamental to the welfare of local communities worldwide and are upheld by their wisdom, customs, and spirituality. </w:t>
      </w:r>
      <w:proofErr w:type="spellStart"/>
      <w:r>
        <w:rPr>
          <w:rFonts w:cs="Times New Roman"/>
          <w:szCs w:val="24"/>
        </w:rPr>
        <w:t>Fromentin</w:t>
      </w:r>
      <w:proofErr w:type="spellEnd"/>
      <w:r>
        <w:rPr>
          <w:rFonts w:cs="Times New Roman"/>
          <w:szCs w:val="24"/>
        </w:rPr>
        <w:t xml:space="preserve"> et al. (2022) noted that while indigenous knowledge is generally ignored, guaranteeing the responsible utilisation of forest resources is entrenched in and sustained through their cultures.</w:t>
      </w:r>
      <w:r>
        <w:t xml:space="preserve"> </w:t>
      </w:r>
    </w:p>
    <w:p w14:paraId="0EA16674" w14:textId="3ED5278B" w:rsidR="00562295" w:rsidRDefault="00562295" w:rsidP="00562295">
      <w:pPr>
        <w:spacing w:after="0"/>
        <w:ind w:left="0"/>
      </w:pPr>
      <w:r>
        <w:rPr>
          <w:rFonts w:cs="Times New Roman"/>
          <w:szCs w:val="24"/>
        </w:rPr>
        <w:t xml:space="preserve">The presence of these taboo days </w:t>
      </w:r>
      <w:r w:rsidR="001D6B1F">
        <w:rPr>
          <w:rFonts w:cs="Times New Roman"/>
          <w:szCs w:val="24"/>
        </w:rPr>
        <w:t xml:space="preserve">and practices </w:t>
      </w:r>
      <w:r>
        <w:rPr>
          <w:rFonts w:cs="Times New Roman"/>
          <w:szCs w:val="24"/>
        </w:rPr>
        <w:t xml:space="preserve">at the Bobiri and Southern Scarp Forest </w:t>
      </w:r>
      <w:proofErr w:type="spellStart"/>
      <w:r>
        <w:rPr>
          <w:rFonts w:cs="Times New Roman"/>
          <w:szCs w:val="24"/>
        </w:rPr>
        <w:t>Reservest</w:t>
      </w:r>
      <w:proofErr w:type="spellEnd"/>
      <w:r>
        <w:rPr>
          <w:rFonts w:cs="Times New Roman"/>
          <w:szCs w:val="24"/>
        </w:rPr>
        <w:t xml:space="preserve"> was consistent with the findings of </w:t>
      </w:r>
      <w:r w:rsidRPr="00906D1B">
        <w:t>Asante et al. (2017)</w:t>
      </w:r>
      <w:r>
        <w:t xml:space="preserve">. They revealed that taboo days constituted the informal rules used in </w:t>
      </w:r>
      <w:r>
        <w:lastRenderedPageBreak/>
        <w:t>forest management. They noted that</w:t>
      </w:r>
      <w:r w:rsidRPr="00906D1B">
        <w:t xml:space="preserve"> certain days </w:t>
      </w:r>
      <w:r>
        <w:t>were</w:t>
      </w:r>
      <w:r w:rsidRPr="00906D1B">
        <w:t xml:space="preserve"> designated when woodland deities traverse</w:t>
      </w:r>
      <w:r>
        <w:t>d</w:t>
      </w:r>
      <w:r w:rsidRPr="00906D1B">
        <w:t xml:space="preserve"> forests</w:t>
      </w:r>
      <w:r>
        <w:t>. D</w:t>
      </w:r>
      <w:r w:rsidRPr="00906D1B">
        <w:t>uring these periods, the absence of human presence allow</w:t>
      </w:r>
      <w:r>
        <w:t>ed</w:t>
      </w:r>
      <w:r w:rsidRPr="00906D1B">
        <w:t xml:space="preserve"> the forest ecosystem to rejuvenate from the strains of human activities</w:t>
      </w:r>
      <w:r>
        <w:t>.</w:t>
      </w:r>
    </w:p>
    <w:p w14:paraId="0EEBD380" w14:textId="60E42078" w:rsidR="000C7937" w:rsidRPr="00D254B9" w:rsidRDefault="000C7937" w:rsidP="00562295">
      <w:pPr>
        <w:spacing w:after="0"/>
        <w:ind w:left="0"/>
        <w:rPr>
          <w:rFonts w:cs="Times New Roman"/>
          <w:sz w:val="4"/>
          <w:szCs w:val="24"/>
        </w:rPr>
      </w:pPr>
    </w:p>
    <w:p w14:paraId="081DA022" w14:textId="77777777" w:rsidR="000C7937" w:rsidRPr="0027541D" w:rsidRDefault="000C7937" w:rsidP="000C7937">
      <w:pPr>
        <w:pStyle w:val="Heading2"/>
        <w:ind w:left="0"/>
      </w:pPr>
      <w:bookmarkStart w:id="336" w:name="_Toc202197668"/>
      <w:r w:rsidRPr="0027541D">
        <w:t>Stakeholder Analysis</w:t>
      </w:r>
      <w:bookmarkEnd w:id="336"/>
    </w:p>
    <w:p w14:paraId="7394E887" w14:textId="1CF8B8E5" w:rsidR="000C7937" w:rsidRPr="0027541D" w:rsidRDefault="000C7937" w:rsidP="000C7937">
      <w:pPr>
        <w:ind w:left="0" w:firstLine="0"/>
      </w:pPr>
      <w:r>
        <w:tab/>
        <w:t xml:space="preserve">The study undertook stakeholder analysis to identify the various stakeholders and examine the power dynamics at play in the study areas. </w:t>
      </w:r>
      <w:r w:rsidRPr="0027541D">
        <w:t xml:space="preserve">The analysis involved identifying the stakeholders </w:t>
      </w:r>
      <w:r>
        <w:t xml:space="preserve">in the study areas, identifying their roles, spaces available for stakeholder engagement, the levels these engagements </w:t>
      </w:r>
      <w:r w:rsidR="003C43A5">
        <w:t>occur,</w:t>
      </w:r>
      <w:r>
        <w:t xml:space="preserve"> and the forms of power exercised by the identified stakeholders </w:t>
      </w:r>
    </w:p>
    <w:p w14:paraId="32A97B61" w14:textId="77777777" w:rsidR="000C7937" w:rsidRPr="0027541D" w:rsidRDefault="000C7937" w:rsidP="000C7937">
      <w:pPr>
        <w:ind w:left="0" w:firstLine="0"/>
      </w:pPr>
      <w:r w:rsidRPr="0027541D">
        <w:t xml:space="preserve">Stakeholders </w:t>
      </w:r>
    </w:p>
    <w:p w14:paraId="2AEF074A" w14:textId="3DF46522" w:rsidR="000C7937" w:rsidRPr="0027541D" w:rsidRDefault="000C7937" w:rsidP="000C7937">
      <w:pPr>
        <w:ind w:left="0" w:firstLine="0"/>
      </w:pPr>
      <w:r>
        <w:tab/>
      </w:r>
      <w:r w:rsidRPr="0027541D">
        <w:t xml:space="preserve">The key informant interviews revealed three major and one minor primary </w:t>
      </w:r>
      <w:proofErr w:type="gramStart"/>
      <w:r w:rsidRPr="0027541D">
        <w:t>stakeholder</w:t>
      </w:r>
      <w:r w:rsidR="00BB2804">
        <w:t>s</w:t>
      </w:r>
      <w:proofErr w:type="gramEnd"/>
      <w:r w:rsidR="00BB2804">
        <w:t xml:space="preserve"> in both BFR and SSFR</w:t>
      </w:r>
      <w:r w:rsidRPr="0027541D">
        <w:t xml:space="preserve">. The </w:t>
      </w:r>
      <w:r>
        <w:t>major</w:t>
      </w:r>
      <w:r w:rsidRPr="0027541D">
        <w:t xml:space="preserve"> stakeholders co</w:t>
      </w:r>
      <w:r>
        <w:t>mprised</w:t>
      </w:r>
      <w:r w:rsidRPr="0027541D">
        <w:t xml:space="preserve"> the </w:t>
      </w:r>
      <w:bookmarkStart w:id="337" w:name="_Hlk154002811"/>
      <w:r w:rsidRPr="0027541D">
        <w:t>CSIR-FORIG and FC-FSD</w:t>
      </w:r>
      <w:bookmarkEnd w:id="337"/>
      <w:r w:rsidRPr="0027541D">
        <w:t xml:space="preserve"> representing the F</w:t>
      </w:r>
      <w:r>
        <w:t>.</w:t>
      </w:r>
      <w:r w:rsidRPr="0027541D">
        <w:t>C</w:t>
      </w:r>
      <w:r>
        <w:t>.</w:t>
      </w:r>
      <w:r w:rsidRPr="0027541D">
        <w:t>, traditional authority</w:t>
      </w:r>
      <w:r>
        <w:t>,</w:t>
      </w:r>
      <w:r w:rsidRPr="0027541D">
        <w:t xml:space="preserve"> and assembly and unit committee members representing the district assembly. The community</w:t>
      </w:r>
      <w:r w:rsidR="00FA7E7D">
        <w:t xml:space="preserve"> members/user groups</w:t>
      </w:r>
      <w:r w:rsidRPr="0027541D">
        <w:t xml:space="preserve"> w</w:t>
      </w:r>
      <w:r w:rsidR="00FA7E7D">
        <w:t>ere</w:t>
      </w:r>
      <w:r w:rsidRPr="0027541D">
        <w:t xml:space="preserve"> seen </w:t>
      </w:r>
      <w:r>
        <w:t>as</w:t>
      </w:r>
      <w:r w:rsidRPr="0027541D">
        <w:t xml:space="preserve"> minor stakeholder</w:t>
      </w:r>
      <w:r w:rsidR="00FA7E7D">
        <w:t>s</w:t>
      </w:r>
      <w:r w:rsidRPr="0027541D">
        <w:t xml:space="preserve"> in t</w:t>
      </w:r>
      <w:r w:rsidR="00FA7E7D">
        <w:t>he management of the reserve</w:t>
      </w:r>
      <w:r w:rsidRPr="0027541D">
        <w:t xml:space="preserve">. This was further confirmed by all the community members interviewed. </w:t>
      </w:r>
      <w:proofErr w:type="spellStart"/>
      <w:r w:rsidRPr="0027541D">
        <w:t>Osubeng</w:t>
      </w:r>
      <w:proofErr w:type="spellEnd"/>
      <w:r w:rsidRPr="0027541D">
        <w:t>, a community at the SSFR</w:t>
      </w:r>
      <w:r w:rsidR="00BB2804">
        <w:t xml:space="preserve"> for instance</w:t>
      </w:r>
      <w:r>
        <w:t>,</w:t>
      </w:r>
      <w:r w:rsidRPr="0027541D">
        <w:t xml:space="preserve"> did not have an </w:t>
      </w:r>
      <w:proofErr w:type="spellStart"/>
      <w:r w:rsidRPr="0027541D">
        <w:t>Odikro</w:t>
      </w:r>
      <w:proofErr w:type="spellEnd"/>
      <w:r>
        <w:t>,</w:t>
      </w:r>
      <w:r w:rsidRPr="0027541D">
        <w:t xml:space="preserve"> so </w:t>
      </w:r>
      <w:r w:rsidR="00BB2804">
        <w:t xml:space="preserve">it was governed by </w:t>
      </w:r>
      <w:r>
        <w:t>the assemblyman and unit committe</w:t>
      </w:r>
      <w:r w:rsidR="00BB2804">
        <w:t>e</w:t>
      </w:r>
      <w:r w:rsidRPr="0027541D">
        <w:t xml:space="preserve">. </w:t>
      </w:r>
    </w:p>
    <w:p w14:paraId="2EF76D90" w14:textId="77777777" w:rsidR="000C7937" w:rsidRPr="0027541D" w:rsidRDefault="000C7937" w:rsidP="000C7937">
      <w:pPr>
        <w:ind w:left="0" w:firstLine="0"/>
      </w:pPr>
      <w:r w:rsidRPr="0027541D">
        <w:t xml:space="preserve">Roles </w:t>
      </w:r>
    </w:p>
    <w:p w14:paraId="6532F252" w14:textId="77777777" w:rsidR="000C7937" w:rsidRPr="0027541D" w:rsidRDefault="000C7937" w:rsidP="000C7937">
      <w:pPr>
        <w:spacing w:after="0"/>
        <w:ind w:left="0" w:firstLine="0"/>
        <w:rPr>
          <w:rFonts w:cs="Times New Roman"/>
          <w:szCs w:val="24"/>
        </w:rPr>
      </w:pPr>
      <w:bookmarkStart w:id="338" w:name="_Hlk152786026"/>
      <w:r w:rsidRPr="0027541D">
        <w:rPr>
          <w:rFonts w:cs="Times New Roman"/>
          <w:szCs w:val="24"/>
        </w:rPr>
        <w:t>CSIR-FORIG and FC-FSD</w:t>
      </w:r>
    </w:p>
    <w:p w14:paraId="6E8718CA" w14:textId="1C5379C4" w:rsidR="000C7937" w:rsidRDefault="000C7937" w:rsidP="008F7D23">
      <w:pPr>
        <w:spacing w:after="0"/>
        <w:ind w:left="0" w:firstLine="0"/>
      </w:pPr>
      <w:r>
        <w:tab/>
        <w:t xml:space="preserve">The roles of the FSD included sustaining forestry research, ecotourism, and conservation/environment while ensuring that economic and socio-cultural </w:t>
      </w:r>
      <w:r>
        <w:lastRenderedPageBreak/>
        <w:t xml:space="preserve">benefits were enjoyed </w:t>
      </w:r>
      <w:r w:rsidR="001D6B1F">
        <w:t xml:space="preserve">by stakeholders </w:t>
      </w:r>
      <w:r>
        <w:t>and sustained in the process. In addition, the FSD supplie</w:t>
      </w:r>
      <w:r w:rsidR="001D6B1F">
        <w:t>d</w:t>
      </w:r>
      <w:r>
        <w:t xml:space="preserve"> farmers with viable seeds, provide</w:t>
      </w:r>
      <w:r w:rsidR="001D6B1F">
        <w:t>d</w:t>
      </w:r>
      <w:r>
        <w:t xml:space="preserve"> requisite training and extension services, markets, and account</w:t>
      </w:r>
      <w:r w:rsidR="001D6B1F">
        <w:t>ed</w:t>
      </w:r>
      <w:r>
        <w:t xml:space="preserve"> for wood products, and overs</w:t>
      </w:r>
      <w:r w:rsidR="001D6B1F">
        <w:t>aw</w:t>
      </w:r>
      <w:r>
        <w:t xml:space="preserve"> financial management and overall supervision of the reserve.</w:t>
      </w:r>
    </w:p>
    <w:p w14:paraId="4FCEF7E4" w14:textId="77777777" w:rsidR="000C7937" w:rsidRPr="00192E04" w:rsidRDefault="000C7937" w:rsidP="000C7937">
      <w:pPr>
        <w:pStyle w:val="BodyText"/>
        <w:ind w:left="0" w:firstLine="0"/>
      </w:pPr>
      <w:r>
        <w:t>District Assembly Representatives</w:t>
      </w:r>
    </w:p>
    <w:p w14:paraId="5208BF11" w14:textId="107E7CD1" w:rsidR="000C7937" w:rsidRPr="00D254B9" w:rsidRDefault="000C7937" w:rsidP="000C7937">
      <w:pPr>
        <w:spacing w:after="0"/>
        <w:ind w:left="0" w:firstLine="0"/>
      </w:pPr>
      <w:r>
        <w:tab/>
      </w:r>
      <w:r w:rsidRPr="00D254B9">
        <w:t xml:space="preserve">The D.A. </w:t>
      </w:r>
      <w:r>
        <w:t xml:space="preserve">representatives </w:t>
      </w:r>
      <w:r w:rsidRPr="00D254B9">
        <w:t>w</w:t>
      </w:r>
      <w:r>
        <w:t>ere</w:t>
      </w:r>
      <w:r w:rsidRPr="00D254B9">
        <w:t xml:space="preserve"> responsible for ensuring that the rules and policies of the government were implemented. They helped CSIR-FORIG and FC-FSD supervise the reserve while ensuring that the community's views were heard in the district.</w:t>
      </w:r>
    </w:p>
    <w:p w14:paraId="3496D5D4" w14:textId="77777777" w:rsidR="000C7937" w:rsidRPr="00D254B9" w:rsidRDefault="000C7937" w:rsidP="000C7937">
      <w:pPr>
        <w:spacing w:after="0"/>
        <w:ind w:left="0" w:firstLine="0"/>
      </w:pPr>
      <w:r w:rsidRPr="00D254B9">
        <w:t>Traditional authority</w:t>
      </w:r>
    </w:p>
    <w:p w14:paraId="1995FA03" w14:textId="2233404E" w:rsidR="000C7937" w:rsidRPr="00D254B9" w:rsidRDefault="000C7937" w:rsidP="000C7937">
      <w:pPr>
        <w:spacing w:after="0"/>
        <w:ind w:left="0" w:firstLine="0"/>
      </w:pPr>
      <w:r>
        <w:tab/>
      </w:r>
      <w:r w:rsidRPr="00D254B9">
        <w:t xml:space="preserve">The traditional authority </w:t>
      </w:r>
      <w:r>
        <w:t>was</w:t>
      </w:r>
      <w:r w:rsidRPr="00D254B9">
        <w:t xml:space="preserve"> the caretaker of forest land for community members. The study noticed that traditional authority ensured that the inhabitants, whether community members or foreigners, adhered to their jurisdictions’ local norms and practices. </w:t>
      </w:r>
      <w:r w:rsidR="00DD5073">
        <w:t xml:space="preserve">In addition to the </w:t>
      </w:r>
      <w:r w:rsidRPr="00D254B9">
        <w:t>D</w:t>
      </w:r>
      <w:r w:rsidR="00DD5073">
        <w:t xml:space="preserve">. </w:t>
      </w:r>
      <w:r w:rsidRPr="00D254B9">
        <w:t>A</w:t>
      </w:r>
      <w:r w:rsidR="00DD5073">
        <w:t xml:space="preserve">. </w:t>
      </w:r>
      <w:r w:rsidRPr="00D254B9">
        <w:t xml:space="preserve"> representatives, they also played a liaison between the local government and their people. Information from community members on the location, intensity, and frequency of occurrence of bushfires and illegal chainsaw operators </w:t>
      </w:r>
      <w:r>
        <w:t>was</w:t>
      </w:r>
      <w:r w:rsidRPr="00D254B9">
        <w:t xml:space="preserve"> relayed to the appropriate task force. They also serve</w:t>
      </w:r>
      <w:r w:rsidR="0023603C">
        <w:t>d</w:t>
      </w:r>
      <w:r w:rsidRPr="00D254B9">
        <w:t xml:space="preserve"> as the point of contact between an external body and an individual who intend</w:t>
      </w:r>
      <w:r w:rsidR="0023603C">
        <w:t>ed</w:t>
      </w:r>
      <w:r w:rsidRPr="00D254B9">
        <w:t xml:space="preserve"> to undertake an activity in their community.</w:t>
      </w:r>
    </w:p>
    <w:bookmarkEnd w:id="338"/>
    <w:p w14:paraId="29A51052" w14:textId="1EAE426B" w:rsidR="000C7937" w:rsidRPr="0027541D" w:rsidRDefault="000C7937" w:rsidP="000C7937">
      <w:pPr>
        <w:spacing w:after="0"/>
        <w:ind w:left="0" w:firstLine="0"/>
      </w:pPr>
      <w:r w:rsidRPr="0027541D">
        <w:t xml:space="preserve">Community </w:t>
      </w:r>
      <w:r w:rsidR="00AE3800" w:rsidRPr="0027541D">
        <w:t>members</w:t>
      </w:r>
      <w:r>
        <w:t>/ Forest user groups</w:t>
      </w:r>
    </w:p>
    <w:p w14:paraId="3C6FDB5A" w14:textId="0707D2E7" w:rsidR="000C7937" w:rsidRDefault="000C7937" w:rsidP="00DC2321">
      <w:pPr>
        <w:spacing w:after="0"/>
        <w:ind w:left="0" w:firstLine="0"/>
        <w:rPr>
          <w:rFonts w:cs="Times New Roman"/>
          <w:szCs w:val="24"/>
        </w:rPr>
      </w:pPr>
      <w:r>
        <w:rPr>
          <w:rFonts w:cs="Times New Roman"/>
          <w:spacing w:val="14"/>
          <w:szCs w:val="24"/>
        </w:rPr>
        <w:tab/>
      </w:r>
      <w:r w:rsidR="00B269C8">
        <w:rPr>
          <w:rFonts w:cs="Times New Roman"/>
          <w:szCs w:val="24"/>
        </w:rPr>
        <w:t xml:space="preserve">The study noted that the community members supported the FSD. D.A. representatives </w:t>
      </w:r>
      <w:r w:rsidRPr="0027541D">
        <w:rPr>
          <w:rFonts w:cs="Times New Roman"/>
          <w:szCs w:val="24"/>
        </w:rPr>
        <w:t>and traditional authority</w:t>
      </w:r>
      <w:r w:rsidR="00B269C8">
        <w:rPr>
          <w:rFonts w:cs="Times New Roman"/>
          <w:szCs w:val="24"/>
        </w:rPr>
        <w:t xml:space="preserve"> to perform their roles</w:t>
      </w:r>
      <w:r w:rsidRPr="0027541D">
        <w:rPr>
          <w:rFonts w:cs="Times New Roman"/>
          <w:szCs w:val="24"/>
        </w:rPr>
        <w:t xml:space="preserve">. They did this by helping other stakeholders prevent illegal chainsaw operations by reporting offenders and helping reduce and prevent bushfires. </w:t>
      </w:r>
      <w:r w:rsidR="002E44B2">
        <w:rPr>
          <w:rFonts w:cs="Times New Roman"/>
          <w:szCs w:val="24"/>
        </w:rPr>
        <w:t xml:space="preserve">The community members </w:t>
      </w:r>
      <w:r w:rsidR="002E44B2">
        <w:rPr>
          <w:rFonts w:cs="Times New Roman"/>
          <w:szCs w:val="24"/>
        </w:rPr>
        <w:lastRenderedPageBreak/>
        <w:t xml:space="preserve">also helped to clear and protect forest boundaries in addition to planting tree seedlings supplied by the FSD. </w:t>
      </w:r>
      <w:r w:rsidRPr="0027541D">
        <w:rPr>
          <w:rFonts w:cs="Times New Roman"/>
          <w:szCs w:val="24"/>
        </w:rPr>
        <w:t>This was revealed through the focus group discussion</w:t>
      </w:r>
      <w:r w:rsidR="002E44B2">
        <w:rPr>
          <w:rFonts w:cs="Times New Roman"/>
          <w:szCs w:val="24"/>
        </w:rPr>
        <w:t>s</w:t>
      </w:r>
      <w:r>
        <w:rPr>
          <w:rFonts w:cs="Times New Roman"/>
          <w:szCs w:val="24"/>
        </w:rPr>
        <w:t xml:space="preserve"> that </w:t>
      </w:r>
      <w:r w:rsidRPr="0027541D">
        <w:rPr>
          <w:rFonts w:cs="Times New Roman"/>
          <w:szCs w:val="24"/>
        </w:rPr>
        <w:t xml:space="preserve">community members had no power to do anything </w:t>
      </w:r>
      <w:r>
        <w:rPr>
          <w:rFonts w:cs="Times New Roman"/>
          <w:szCs w:val="24"/>
        </w:rPr>
        <w:t>independently</w:t>
      </w:r>
      <w:r w:rsidRPr="0027541D">
        <w:rPr>
          <w:rFonts w:cs="Times New Roman"/>
          <w:szCs w:val="24"/>
        </w:rPr>
        <w:t xml:space="preserve">. They could only do what the traditional authority, </w:t>
      </w:r>
      <w:r>
        <w:rPr>
          <w:rFonts w:cs="Times New Roman"/>
          <w:szCs w:val="24"/>
        </w:rPr>
        <w:t>F</w:t>
      </w:r>
      <w:r w:rsidR="002E44B2">
        <w:rPr>
          <w:rFonts w:cs="Times New Roman"/>
          <w:szCs w:val="24"/>
        </w:rPr>
        <w:t>SD</w:t>
      </w:r>
      <w:r w:rsidRPr="0027541D">
        <w:rPr>
          <w:rFonts w:cs="Times New Roman"/>
          <w:szCs w:val="24"/>
        </w:rPr>
        <w:t xml:space="preserve"> or D</w:t>
      </w:r>
      <w:r w:rsidR="002E44B2">
        <w:rPr>
          <w:rFonts w:cs="Times New Roman"/>
          <w:szCs w:val="24"/>
        </w:rPr>
        <w:t>.</w:t>
      </w:r>
      <w:r w:rsidRPr="0027541D">
        <w:rPr>
          <w:rFonts w:cs="Times New Roman"/>
          <w:szCs w:val="24"/>
        </w:rPr>
        <w:t>A</w:t>
      </w:r>
      <w:r w:rsidR="002E44B2">
        <w:rPr>
          <w:rFonts w:cs="Times New Roman"/>
          <w:szCs w:val="24"/>
        </w:rPr>
        <w:t>.</w:t>
      </w:r>
      <w:r>
        <w:rPr>
          <w:rFonts w:cs="Times New Roman"/>
          <w:szCs w:val="24"/>
        </w:rPr>
        <w:t xml:space="preserve"> had</w:t>
      </w:r>
      <w:r w:rsidRPr="0027541D">
        <w:rPr>
          <w:rFonts w:cs="Times New Roman"/>
          <w:szCs w:val="24"/>
        </w:rPr>
        <w:t xml:space="preserve"> prescribed. </w:t>
      </w:r>
    </w:p>
    <w:p w14:paraId="4999AEB5" w14:textId="77777777" w:rsidR="000C7937" w:rsidRDefault="000C7937" w:rsidP="000C7937">
      <w:pPr>
        <w:pStyle w:val="Heading2"/>
        <w:ind w:left="0"/>
      </w:pPr>
      <w:bookmarkStart w:id="339" w:name="_Toc202197669"/>
      <w:r>
        <w:t>Spaces, Levels and Forms of Power</w:t>
      </w:r>
      <w:bookmarkEnd w:id="339"/>
    </w:p>
    <w:p w14:paraId="07F5209B" w14:textId="77777777" w:rsidR="006932CB" w:rsidRDefault="00E5418B" w:rsidP="00DC2321">
      <w:pPr>
        <w:spacing w:after="0"/>
        <w:ind w:left="0"/>
        <w:rPr>
          <w:rFonts w:cs="Times New Roman"/>
          <w:szCs w:val="24"/>
        </w:rPr>
      </w:pPr>
      <w:r w:rsidRPr="00E5418B">
        <w:rPr>
          <w:rFonts w:cs="Times New Roman"/>
          <w:szCs w:val="24"/>
        </w:rPr>
        <w:t xml:space="preserve">In the context of power analysis, </w:t>
      </w:r>
      <w:proofErr w:type="spellStart"/>
      <w:r w:rsidRPr="00E5418B">
        <w:rPr>
          <w:rFonts w:cs="Times New Roman"/>
          <w:szCs w:val="24"/>
        </w:rPr>
        <w:t>Gaventa</w:t>
      </w:r>
      <w:proofErr w:type="spellEnd"/>
      <w:r w:rsidRPr="00E5418B">
        <w:rPr>
          <w:rFonts w:cs="Times New Roman"/>
          <w:szCs w:val="24"/>
        </w:rPr>
        <w:t xml:space="preserve"> (2006) contends that it is crucial to examine how spaces where engagement occurs, the physical locations involved, and the hierarchical levels of engagement intersect with different forms of power present within and between them. This examination </w:t>
      </w:r>
      <w:r>
        <w:rPr>
          <w:rFonts w:cs="Times New Roman"/>
          <w:szCs w:val="24"/>
        </w:rPr>
        <w:t>was</w:t>
      </w:r>
      <w:r w:rsidRPr="00E5418B">
        <w:rPr>
          <w:rFonts w:cs="Times New Roman"/>
          <w:szCs w:val="24"/>
        </w:rPr>
        <w:t xml:space="preserve"> essential as these dimensions define and influence the extent of citizen empowerment, evaluating both its operational dynamics and the potential for participatory transformation across diverse settings.</w:t>
      </w:r>
      <w:r w:rsidR="006932CB">
        <w:rPr>
          <w:rFonts w:cs="Times New Roman"/>
          <w:szCs w:val="24"/>
        </w:rPr>
        <w:t xml:space="preserve"> </w:t>
      </w:r>
      <w:r w:rsidR="006932CB" w:rsidRPr="00E5418B">
        <w:rPr>
          <w:rFonts w:cs="Times New Roman"/>
          <w:szCs w:val="24"/>
        </w:rPr>
        <w:t>Thus, the study investigated the various types of spaces, levels, and manifestations of power within the study areas.</w:t>
      </w:r>
      <w:r w:rsidR="006932CB">
        <w:rPr>
          <w:rFonts w:cs="Times New Roman"/>
          <w:szCs w:val="24"/>
        </w:rPr>
        <w:t xml:space="preserve"> </w:t>
      </w:r>
    </w:p>
    <w:p w14:paraId="5EEC0F5E" w14:textId="28AE5BAB" w:rsidR="000C7937" w:rsidRDefault="000C7937" w:rsidP="000C7937">
      <w:pPr>
        <w:ind w:left="0" w:firstLine="0"/>
        <w:rPr>
          <w:rFonts w:cs="Times New Roman"/>
          <w:szCs w:val="24"/>
        </w:rPr>
      </w:pPr>
      <w:r>
        <w:rPr>
          <w:rFonts w:cs="Times New Roman"/>
          <w:szCs w:val="24"/>
        </w:rPr>
        <w:t>Spaces</w:t>
      </w:r>
    </w:p>
    <w:p w14:paraId="21167114" w14:textId="7D0E9DBA" w:rsidR="000C7937" w:rsidRDefault="000C7937" w:rsidP="000C7937">
      <w:pPr>
        <w:spacing w:after="0"/>
        <w:ind w:left="0"/>
        <w:rPr>
          <w:rFonts w:cs="Times New Roman"/>
          <w:szCs w:val="24"/>
        </w:rPr>
      </w:pPr>
      <w:r>
        <w:rPr>
          <w:rFonts w:cs="Times New Roman"/>
          <w:szCs w:val="24"/>
        </w:rPr>
        <w:t xml:space="preserve">In terms of space, this study noted the presence of both closed and invited spaces. Closed spaces are decision-making arenas in which decisions are made without broad consultation. The study noted that some decisions were made by the FSD without consulting the other stakeholders present in the reserve. The key informant </w:t>
      </w:r>
      <w:r w:rsidR="0023603C">
        <w:rPr>
          <w:rFonts w:cs="Times New Roman"/>
          <w:szCs w:val="24"/>
        </w:rPr>
        <w:t xml:space="preserve">7 from the traditional authority </w:t>
      </w:r>
      <w:r>
        <w:rPr>
          <w:rFonts w:cs="Times New Roman"/>
          <w:szCs w:val="24"/>
        </w:rPr>
        <w:t xml:space="preserve">at </w:t>
      </w:r>
      <w:r w:rsidR="0023603C">
        <w:rPr>
          <w:rFonts w:cs="Times New Roman"/>
          <w:szCs w:val="24"/>
        </w:rPr>
        <w:t>BFR on 26</w:t>
      </w:r>
      <w:r w:rsidR="0023603C" w:rsidRPr="0023603C">
        <w:rPr>
          <w:rFonts w:cs="Times New Roman"/>
          <w:szCs w:val="24"/>
          <w:vertAlign w:val="superscript"/>
        </w:rPr>
        <w:t>th</w:t>
      </w:r>
      <w:r w:rsidR="0023603C">
        <w:rPr>
          <w:rFonts w:cs="Times New Roman"/>
          <w:szCs w:val="24"/>
        </w:rPr>
        <w:t xml:space="preserve"> February 2024</w:t>
      </w:r>
      <w:r>
        <w:rPr>
          <w:rFonts w:cs="Times New Roman"/>
          <w:szCs w:val="24"/>
        </w:rPr>
        <w:t xml:space="preserve"> revealed that sometimes the officials of FSD met with the community to inform them of new policies or projects to be implemented or undertaken. In addition, the designation of the </w:t>
      </w:r>
      <w:r w:rsidR="0023603C">
        <w:rPr>
          <w:rFonts w:cs="Times New Roman"/>
          <w:szCs w:val="24"/>
        </w:rPr>
        <w:t>Buffer Zones at BFR</w:t>
      </w:r>
      <w:r>
        <w:rPr>
          <w:rFonts w:cs="Times New Roman"/>
          <w:szCs w:val="24"/>
        </w:rPr>
        <w:t xml:space="preserve">, as seen in the secondary data, was undertaken by the FSD without consultation with </w:t>
      </w:r>
      <w:r>
        <w:rPr>
          <w:rFonts w:cs="Times New Roman"/>
          <w:szCs w:val="24"/>
        </w:rPr>
        <w:lastRenderedPageBreak/>
        <w:t xml:space="preserve">traditional authorities, assembly members/unit committee members, or community members. This indicated the presence of a closed space in the reserve. </w:t>
      </w:r>
    </w:p>
    <w:p w14:paraId="74FCBD44" w14:textId="77777777" w:rsidR="000C7937" w:rsidRDefault="000C7937" w:rsidP="000C7937">
      <w:pPr>
        <w:ind w:left="0"/>
        <w:rPr>
          <w:rFonts w:cs="Times New Roman"/>
          <w:szCs w:val="24"/>
        </w:rPr>
      </w:pPr>
      <w:r>
        <w:rPr>
          <w:rFonts w:cs="Times New Roman"/>
          <w:szCs w:val="24"/>
        </w:rPr>
        <w:t xml:space="preserve">Similarly, the presence of a closed space could be linked to the management regime of the Bobiri Forest Reserve and the resulting management regime. In this reserve, the FSD </w:t>
      </w:r>
      <w:proofErr w:type="gramStart"/>
      <w:r>
        <w:rPr>
          <w:rFonts w:cs="Times New Roman"/>
          <w:szCs w:val="24"/>
        </w:rPr>
        <w:t>was capable of preventing</w:t>
      </w:r>
      <w:proofErr w:type="gramEnd"/>
      <w:r>
        <w:rPr>
          <w:rFonts w:cs="Times New Roman"/>
          <w:szCs w:val="24"/>
        </w:rPr>
        <w:t xml:space="preserve"> other stakeholders from using it without prior approval. As a result, the FSD does not always have to include these stakeholders in decision-making. </w:t>
      </w:r>
    </w:p>
    <w:p w14:paraId="1EF5D1F7" w14:textId="34C5F67C" w:rsidR="000C7937" w:rsidRDefault="000C7937" w:rsidP="000C7937">
      <w:pPr>
        <w:spacing w:after="0"/>
        <w:ind w:left="0"/>
        <w:rPr>
          <w:rFonts w:cs="Times New Roman"/>
          <w:szCs w:val="24"/>
        </w:rPr>
      </w:pPr>
      <w:r>
        <w:rPr>
          <w:rFonts w:cs="Times New Roman"/>
          <w:szCs w:val="24"/>
        </w:rPr>
        <w:t xml:space="preserve">In the context of invited spaces, where authorities invite relevant stakeholders in the decision-making process, the study noted the presence of such spaces. From the interviews, it was realised that sometimes the FSD held discussions with the stakeholders present in the reserve. </w:t>
      </w:r>
      <w:r w:rsidR="002E44B2">
        <w:rPr>
          <w:rFonts w:cs="Times New Roman"/>
          <w:szCs w:val="24"/>
        </w:rPr>
        <w:t xml:space="preserve">Focus </w:t>
      </w:r>
      <w:r>
        <w:rPr>
          <w:rFonts w:cs="Times New Roman"/>
          <w:szCs w:val="24"/>
        </w:rPr>
        <w:t xml:space="preserve">group discussion </w:t>
      </w:r>
      <w:r w:rsidR="002E44B2">
        <w:rPr>
          <w:rFonts w:cs="Times New Roman"/>
          <w:szCs w:val="24"/>
        </w:rPr>
        <w:t xml:space="preserve">1 </w:t>
      </w:r>
      <w:r w:rsidR="003949A3">
        <w:rPr>
          <w:rFonts w:cs="Times New Roman"/>
          <w:szCs w:val="24"/>
        </w:rPr>
        <w:t>comprising cocoa farmers at Bobiri on 16</w:t>
      </w:r>
      <w:r w:rsidR="003949A3" w:rsidRPr="003949A3">
        <w:rPr>
          <w:rFonts w:cs="Times New Roman"/>
          <w:szCs w:val="24"/>
          <w:vertAlign w:val="superscript"/>
        </w:rPr>
        <w:t>th</w:t>
      </w:r>
      <w:r w:rsidR="003949A3">
        <w:rPr>
          <w:rFonts w:cs="Times New Roman"/>
          <w:szCs w:val="24"/>
        </w:rPr>
        <w:t xml:space="preserve"> February 2024 </w:t>
      </w:r>
      <w:r>
        <w:rPr>
          <w:rFonts w:cs="Times New Roman"/>
          <w:szCs w:val="24"/>
        </w:rPr>
        <w:t xml:space="preserve">revealed that sometimes the FSD met the community before the commencement of the dry season to discuss and find solutions to issues, such as bush burning. This meant that the FSD by the nature of the management regime at the reserve engaged stakeholders before arriving at </w:t>
      </w:r>
      <w:r w:rsidR="00DA711D">
        <w:rPr>
          <w:rFonts w:cs="Times New Roman"/>
          <w:szCs w:val="24"/>
        </w:rPr>
        <w:t xml:space="preserve">some </w:t>
      </w:r>
      <w:r>
        <w:rPr>
          <w:rFonts w:cs="Times New Roman"/>
          <w:szCs w:val="24"/>
        </w:rPr>
        <w:t>decisions at the reserve. This indicated the presence of invited spaces.</w:t>
      </w:r>
    </w:p>
    <w:p w14:paraId="5784B8BC" w14:textId="6045741E" w:rsidR="000C7937" w:rsidRDefault="000C7937" w:rsidP="000C7937">
      <w:pPr>
        <w:ind w:left="0"/>
        <w:rPr>
          <w:rFonts w:cs="Times New Roman"/>
          <w:szCs w:val="24"/>
        </w:rPr>
      </w:pPr>
      <w:r>
        <w:rPr>
          <w:rFonts w:cs="Times New Roman"/>
          <w:szCs w:val="24"/>
        </w:rPr>
        <w:t>Similarly, the study identified closed spaces in the S</w:t>
      </w:r>
      <w:r w:rsidR="002E44B2">
        <w:rPr>
          <w:rFonts w:cs="Times New Roman"/>
          <w:szCs w:val="24"/>
        </w:rPr>
        <w:t>SFR</w:t>
      </w:r>
      <w:r>
        <w:rPr>
          <w:rFonts w:cs="Times New Roman"/>
          <w:szCs w:val="24"/>
        </w:rPr>
        <w:t xml:space="preserve">. Some decisions at the reserve were taken by the FSD without the input of D. A. representatives, the traditional authority, or community members. A district assembly representative maintained that most decisions concerning the reserve were made by the FSD, as seen in the secondary data. The decision on the amount of money to pay as a stumpage fee was always determined by the FSD without the involvement of other stakeholders such as the traditional authority, </w:t>
      </w:r>
      <w:r>
        <w:rPr>
          <w:rFonts w:cs="Times New Roman"/>
          <w:szCs w:val="24"/>
        </w:rPr>
        <w:lastRenderedPageBreak/>
        <w:t xml:space="preserve">district assembly representatives, or community members. Key informant </w:t>
      </w:r>
      <w:r w:rsidR="002E44B2">
        <w:rPr>
          <w:rFonts w:cs="Times New Roman"/>
          <w:szCs w:val="24"/>
        </w:rPr>
        <w:t>5</w:t>
      </w:r>
      <w:r>
        <w:rPr>
          <w:rFonts w:cs="Times New Roman"/>
          <w:szCs w:val="24"/>
        </w:rPr>
        <w:t xml:space="preserve"> from the traditional authority </w:t>
      </w:r>
      <w:r w:rsidR="0023603C">
        <w:rPr>
          <w:rFonts w:cs="Times New Roman"/>
          <w:szCs w:val="24"/>
        </w:rPr>
        <w:t xml:space="preserve">at the BFR </w:t>
      </w:r>
      <w:r>
        <w:rPr>
          <w:rFonts w:cs="Times New Roman"/>
          <w:szCs w:val="24"/>
        </w:rPr>
        <w:t>revealed the following.</w:t>
      </w:r>
    </w:p>
    <w:p w14:paraId="19AFF37E" w14:textId="7F5B3B08" w:rsidR="000C7937" w:rsidRPr="00D01FC6" w:rsidRDefault="000C7937" w:rsidP="000C7937">
      <w:pPr>
        <w:ind w:right="746" w:firstLine="0"/>
        <w:rPr>
          <w:rFonts w:cs="Times New Roman"/>
          <w:i/>
          <w:iCs/>
          <w:szCs w:val="24"/>
        </w:rPr>
      </w:pPr>
      <w:r w:rsidRPr="00D01FC6">
        <w:rPr>
          <w:rFonts w:cs="Times New Roman"/>
          <w:i/>
          <w:iCs/>
          <w:szCs w:val="24"/>
        </w:rPr>
        <w:t xml:space="preserve">We received some amount from the </w:t>
      </w:r>
      <w:r>
        <w:rPr>
          <w:rFonts w:cs="Times New Roman"/>
          <w:i/>
          <w:iCs/>
          <w:szCs w:val="24"/>
        </w:rPr>
        <w:t>FSD</w:t>
      </w:r>
      <w:r w:rsidRPr="00D01FC6">
        <w:rPr>
          <w:rFonts w:cs="Times New Roman"/>
          <w:i/>
          <w:iCs/>
          <w:szCs w:val="24"/>
        </w:rPr>
        <w:t xml:space="preserve"> as a stumpage fee, but we were not involved in deciding this amount. We did not even know the total amount paid by the contractor to the </w:t>
      </w:r>
      <w:r>
        <w:rPr>
          <w:rFonts w:cs="Times New Roman"/>
          <w:i/>
          <w:iCs/>
          <w:szCs w:val="24"/>
        </w:rPr>
        <w:t>FSD</w:t>
      </w:r>
      <w:r w:rsidRPr="00D01FC6">
        <w:rPr>
          <w:rFonts w:cs="Times New Roman"/>
          <w:i/>
          <w:iCs/>
          <w:szCs w:val="24"/>
        </w:rPr>
        <w:t>, for which the amount we received could be considered as five per cent</w:t>
      </w:r>
      <w:r w:rsidR="002E44B2">
        <w:rPr>
          <w:rFonts w:cs="Times New Roman"/>
          <w:i/>
          <w:iCs/>
          <w:szCs w:val="24"/>
        </w:rPr>
        <w:t xml:space="preserve"> (key informant 5 from the traditional authority</w:t>
      </w:r>
      <w:r w:rsidR="0023603C">
        <w:rPr>
          <w:rFonts w:cs="Times New Roman"/>
          <w:i/>
          <w:iCs/>
          <w:szCs w:val="24"/>
        </w:rPr>
        <w:t xml:space="preserve"> at BFR</w:t>
      </w:r>
      <w:r w:rsidR="002E44B2">
        <w:rPr>
          <w:rFonts w:cs="Times New Roman"/>
          <w:i/>
          <w:iCs/>
          <w:szCs w:val="24"/>
        </w:rPr>
        <w:t>, 16</w:t>
      </w:r>
      <w:r w:rsidR="002E44B2" w:rsidRPr="002E44B2">
        <w:rPr>
          <w:rFonts w:cs="Times New Roman"/>
          <w:i/>
          <w:iCs/>
          <w:szCs w:val="24"/>
          <w:vertAlign w:val="superscript"/>
        </w:rPr>
        <w:t>th</w:t>
      </w:r>
      <w:r w:rsidR="002E44B2">
        <w:rPr>
          <w:rFonts w:cs="Times New Roman"/>
          <w:i/>
          <w:iCs/>
          <w:szCs w:val="24"/>
        </w:rPr>
        <w:t xml:space="preserve"> February 2024)</w:t>
      </w:r>
      <w:r w:rsidRPr="00D01FC6">
        <w:rPr>
          <w:rFonts w:cs="Times New Roman"/>
          <w:i/>
          <w:iCs/>
          <w:szCs w:val="24"/>
        </w:rPr>
        <w:t xml:space="preserve"> </w:t>
      </w:r>
    </w:p>
    <w:p w14:paraId="1D959CDC" w14:textId="2A77EBF2" w:rsidR="000111C1" w:rsidRDefault="000C7937" w:rsidP="000C7937">
      <w:pPr>
        <w:ind w:left="0"/>
        <w:rPr>
          <w:rFonts w:cs="Times New Roman"/>
          <w:szCs w:val="24"/>
        </w:rPr>
      </w:pPr>
      <w:r>
        <w:rPr>
          <w:rFonts w:cs="Times New Roman"/>
          <w:szCs w:val="24"/>
        </w:rPr>
        <w:t xml:space="preserve">From </w:t>
      </w:r>
      <w:r w:rsidR="00BF5009">
        <w:rPr>
          <w:rFonts w:cs="Times New Roman"/>
          <w:szCs w:val="24"/>
        </w:rPr>
        <w:t xml:space="preserve">the </w:t>
      </w:r>
      <w:r>
        <w:rPr>
          <w:rFonts w:cs="Times New Roman"/>
          <w:szCs w:val="24"/>
        </w:rPr>
        <w:t xml:space="preserve">key informant </w:t>
      </w:r>
      <w:r w:rsidR="002E44B2">
        <w:rPr>
          <w:rFonts w:cs="Times New Roman"/>
          <w:szCs w:val="24"/>
        </w:rPr>
        <w:t>5</w:t>
      </w:r>
      <w:r>
        <w:rPr>
          <w:rFonts w:cs="Times New Roman"/>
          <w:szCs w:val="24"/>
        </w:rPr>
        <w:t xml:space="preserve"> statement, other relevant stakeholders in the reserve identified by the </w:t>
      </w:r>
      <w:r w:rsidR="007C53E3">
        <w:rPr>
          <w:rFonts w:cs="Times New Roman"/>
          <w:szCs w:val="24"/>
        </w:rPr>
        <w:t>RGSRA policy (2016)</w:t>
      </w:r>
      <w:r>
        <w:rPr>
          <w:rFonts w:cs="Times New Roman"/>
          <w:szCs w:val="24"/>
        </w:rPr>
        <w:t xml:space="preserve"> were not included in the FSD in deciding the amount. This constituted a closed space. </w:t>
      </w:r>
    </w:p>
    <w:p w14:paraId="0E1CF188" w14:textId="273D94F5" w:rsidR="000C7937" w:rsidRDefault="000C7937" w:rsidP="000C7937">
      <w:pPr>
        <w:ind w:left="0"/>
        <w:rPr>
          <w:rFonts w:cs="Times New Roman"/>
          <w:szCs w:val="24"/>
        </w:rPr>
      </w:pPr>
      <w:r>
        <w:rPr>
          <w:rFonts w:cs="Times New Roman"/>
          <w:szCs w:val="24"/>
        </w:rPr>
        <w:t>This study further noted the presence of invited spaces in the SSFR</w:t>
      </w:r>
      <w:r w:rsidR="00F9455F">
        <w:rPr>
          <w:rFonts w:cs="Times New Roman"/>
          <w:szCs w:val="24"/>
        </w:rPr>
        <w:t xml:space="preserve"> because s</w:t>
      </w:r>
      <w:r>
        <w:rPr>
          <w:rFonts w:cs="Times New Roman"/>
          <w:szCs w:val="24"/>
        </w:rPr>
        <w:t xml:space="preserve">lightly above 30 per cent of the respondents attested to the fact that the FSD invited them to deliberate </w:t>
      </w:r>
      <w:r w:rsidR="00F9455F">
        <w:rPr>
          <w:rFonts w:cs="Times New Roman"/>
          <w:szCs w:val="24"/>
        </w:rPr>
        <w:t>on issues concerning the reserve in the form of prevention of bushfire and illegal chainsaw operations as well as helping to protect the boundaries of the reserve</w:t>
      </w:r>
      <w:r w:rsidR="00B83402">
        <w:rPr>
          <w:rFonts w:cs="Times New Roman"/>
          <w:szCs w:val="24"/>
        </w:rPr>
        <w:t>.</w:t>
      </w:r>
      <w:r>
        <w:rPr>
          <w:rFonts w:cs="Times New Roman"/>
          <w:szCs w:val="24"/>
        </w:rPr>
        <w:t xml:space="preserve"> </w:t>
      </w:r>
    </w:p>
    <w:p w14:paraId="076AB032" w14:textId="77777777" w:rsidR="000C7937" w:rsidRDefault="000C7937" w:rsidP="000C7937">
      <w:pPr>
        <w:ind w:left="0" w:firstLine="0"/>
        <w:rPr>
          <w:rFonts w:cs="Times New Roman"/>
          <w:szCs w:val="24"/>
        </w:rPr>
      </w:pPr>
      <w:r>
        <w:rPr>
          <w:rFonts w:cs="Times New Roman"/>
          <w:szCs w:val="24"/>
        </w:rPr>
        <w:t xml:space="preserve">Levels </w:t>
      </w:r>
    </w:p>
    <w:p w14:paraId="40FFCCD5" w14:textId="6D944CE1" w:rsidR="002E44B2" w:rsidRDefault="00E5418B" w:rsidP="000C7937">
      <w:pPr>
        <w:spacing w:after="0"/>
        <w:ind w:left="0"/>
        <w:rPr>
          <w:rFonts w:cs="Times New Roman"/>
          <w:szCs w:val="24"/>
        </w:rPr>
      </w:pPr>
      <w:r w:rsidRPr="00E5418B">
        <w:rPr>
          <w:rFonts w:cs="Times New Roman"/>
          <w:szCs w:val="24"/>
        </w:rPr>
        <w:t>Levels of power, as another analytical dimension, encompass</w:t>
      </w:r>
      <w:r w:rsidR="00B83402">
        <w:rPr>
          <w:rFonts w:cs="Times New Roman"/>
          <w:szCs w:val="24"/>
        </w:rPr>
        <w:t>ed</w:t>
      </w:r>
      <w:r w:rsidRPr="00E5418B">
        <w:rPr>
          <w:rFonts w:cs="Times New Roman"/>
          <w:szCs w:val="24"/>
        </w:rPr>
        <w:t xml:space="preserve"> the various strata of authority. </w:t>
      </w:r>
      <w:r w:rsidR="000C7937">
        <w:rPr>
          <w:rFonts w:cs="Times New Roman"/>
          <w:szCs w:val="24"/>
        </w:rPr>
        <w:t>Primary data from Bobiri revealed that engagements between stakeholders usually took place at the local level.</w:t>
      </w:r>
      <w:r w:rsidR="002E133E">
        <w:rPr>
          <w:rFonts w:cs="Times New Roman"/>
          <w:szCs w:val="24"/>
        </w:rPr>
        <w:t xml:space="preserve"> The</w:t>
      </w:r>
      <w:r w:rsidR="002E133E" w:rsidRPr="00E5418B">
        <w:rPr>
          <w:rFonts w:cs="Times New Roman"/>
          <w:szCs w:val="24"/>
        </w:rPr>
        <w:t xml:space="preserve"> local level comprise</w:t>
      </w:r>
      <w:r w:rsidR="002E133E">
        <w:rPr>
          <w:rFonts w:cs="Times New Roman"/>
          <w:szCs w:val="24"/>
        </w:rPr>
        <w:t>d</w:t>
      </w:r>
      <w:r w:rsidR="002E133E" w:rsidRPr="00E5418B">
        <w:rPr>
          <w:rFonts w:cs="Times New Roman"/>
          <w:szCs w:val="24"/>
        </w:rPr>
        <w:t xml:space="preserve"> subnational administrations, councils, and community organi</w:t>
      </w:r>
      <w:r w:rsidR="002E133E">
        <w:rPr>
          <w:rFonts w:cs="Times New Roman"/>
          <w:szCs w:val="24"/>
        </w:rPr>
        <w:t>s</w:t>
      </w:r>
      <w:r w:rsidR="002E133E" w:rsidRPr="00E5418B">
        <w:rPr>
          <w:rFonts w:cs="Times New Roman"/>
          <w:szCs w:val="24"/>
        </w:rPr>
        <w:t>ations.</w:t>
      </w:r>
      <w:r w:rsidR="002E133E">
        <w:rPr>
          <w:rFonts w:cs="Times New Roman"/>
          <w:szCs w:val="24"/>
        </w:rPr>
        <w:t xml:space="preserve"> Here, </w:t>
      </w:r>
      <w:r w:rsidR="000C7937">
        <w:rPr>
          <w:rFonts w:cs="Times New Roman"/>
          <w:szCs w:val="24"/>
        </w:rPr>
        <w:t>meeting</w:t>
      </w:r>
      <w:r w:rsidR="002E133E">
        <w:rPr>
          <w:rFonts w:cs="Times New Roman"/>
          <w:szCs w:val="24"/>
        </w:rPr>
        <w:t>s</w:t>
      </w:r>
      <w:r w:rsidR="000C7937">
        <w:rPr>
          <w:rFonts w:cs="Times New Roman"/>
          <w:szCs w:val="24"/>
        </w:rPr>
        <w:t xml:space="preserve"> w</w:t>
      </w:r>
      <w:r w:rsidR="002E133E">
        <w:rPr>
          <w:rFonts w:cs="Times New Roman"/>
          <w:szCs w:val="24"/>
        </w:rPr>
        <w:t>ere</w:t>
      </w:r>
      <w:r w:rsidR="000C7937">
        <w:rPr>
          <w:rFonts w:cs="Times New Roman"/>
          <w:szCs w:val="24"/>
        </w:rPr>
        <w:t xml:space="preserve"> usually held between sub-national government</w:t>
      </w:r>
      <w:r w:rsidR="0023603C">
        <w:rPr>
          <w:rFonts w:cs="Times New Roman"/>
          <w:szCs w:val="24"/>
        </w:rPr>
        <w:t xml:space="preserve"> units</w:t>
      </w:r>
      <w:r w:rsidR="000C7937">
        <w:rPr>
          <w:rFonts w:cs="Times New Roman"/>
          <w:szCs w:val="24"/>
        </w:rPr>
        <w:t xml:space="preserve"> such as the FSD and representatives from the district assembly, the traditional </w:t>
      </w:r>
      <w:r w:rsidR="000C7937">
        <w:rPr>
          <w:rFonts w:cs="Times New Roman"/>
          <w:szCs w:val="24"/>
        </w:rPr>
        <w:lastRenderedPageBreak/>
        <w:t>authority,</w:t>
      </w:r>
      <w:r w:rsidR="002E133E">
        <w:rPr>
          <w:rFonts w:cs="Times New Roman"/>
          <w:szCs w:val="24"/>
        </w:rPr>
        <w:t xml:space="preserve"> forest user groups</w:t>
      </w:r>
      <w:r w:rsidR="000C7937">
        <w:rPr>
          <w:rFonts w:cs="Times New Roman"/>
          <w:szCs w:val="24"/>
        </w:rPr>
        <w:t xml:space="preserve"> and sometimes community members.</w:t>
      </w:r>
      <w:r w:rsidR="00856878">
        <w:rPr>
          <w:rFonts w:cs="Times New Roman"/>
          <w:szCs w:val="24"/>
        </w:rPr>
        <w:t xml:space="preserve"> K</w:t>
      </w:r>
      <w:r w:rsidR="000C7937">
        <w:rPr>
          <w:rFonts w:cs="Times New Roman"/>
          <w:szCs w:val="24"/>
        </w:rPr>
        <w:t xml:space="preserve">ey informant </w:t>
      </w:r>
      <w:r w:rsidR="002E44B2">
        <w:rPr>
          <w:rFonts w:cs="Times New Roman"/>
          <w:szCs w:val="24"/>
        </w:rPr>
        <w:t xml:space="preserve">4 </w:t>
      </w:r>
      <w:r w:rsidR="000C7937">
        <w:rPr>
          <w:rFonts w:cs="Times New Roman"/>
          <w:szCs w:val="24"/>
        </w:rPr>
        <w:t xml:space="preserve">from the </w:t>
      </w:r>
      <w:r w:rsidR="0023603C">
        <w:rPr>
          <w:rFonts w:cs="Times New Roman"/>
          <w:szCs w:val="24"/>
        </w:rPr>
        <w:t>D.A. at the BFR</w:t>
      </w:r>
      <w:r w:rsidR="000C7937">
        <w:rPr>
          <w:rFonts w:cs="Times New Roman"/>
          <w:szCs w:val="24"/>
        </w:rPr>
        <w:t xml:space="preserve"> </w:t>
      </w:r>
      <w:r w:rsidR="002E44B2">
        <w:rPr>
          <w:rFonts w:cs="Times New Roman"/>
          <w:szCs w:val="24"/>
        </w:rPr>
        <w:t>on 28</w:t>
      </w:r>
      <w:r w:rsidR="002E44B2" w:rsidRPr="002E44B2">
        <w:rPr>
          <w:rFonts w:cs="Times New Roman"/>
          <w:szCs w:val="24"/>
          <w:vertAlign w:val="superscript"/>
        </w:rPr>
        <w:t>th</w:t>
      </w:r>
      <w:r w:rsidR="002E44B2">
        <w:rPr>
          <w:rFonts w:cs="Times New Roman"/>
          <w:szCs w:val="24"/>
        </w:rPr>
        <w:t xml:space="preserve"> February 2024 </w:t>
      </w:r>
      <w:r w:rsidR="000C7937">
        <w:rPr>
          <w:rFonts w:cs="Times New Roman"/>
          <w:szCs w:val="24"/>
        </w:rPr>
        <w:t xml:space="preserve">revealed that there were various engagements among </w:t>
      </w:r>
      <w:r w:rsidR="00BF5009">
        <w:rPr>
          <w:rFonts w:cs="Times New Roman"/>
          <w:szCs w:val="24"/>
        </w:rPr>
        <w:t>the FSD, traditional authorities and the D.A.</w:t>
      </w:r>
      <w:r w:rsidR="000C7937">
        <w:rPr>
          <w:rFonts w:cs="Times New Roman"/>
          <w:szCs w:val="24"/>
        </w:rPr>
        <w:t xml:space="preserve"> </w:t>
      </w:r>
      <w:r w:rsidR="00BF5009">
        <w:rPr>
          <w:rFonts w:cs="Times New Roman"/>
          <w:szCs w:val="24"/>
        </w:rPr>
        <w:t>at</w:t>
      </w:r>
      <w:r w:rsidR="000C7937">
        <w:rPr>
          <w:rFonts w:cs="Times New Roman"/>
          <w:szCs w:val="24"/>
        </w:rPr>
        <w:t xml:space="preserve"> the </w:t>
      </w:r>
      <w:r w:rsidR="00856878">
        <w:rPr>
          <w:rFonts w:cs="Times New Roman"/>
          <w:szCs w:val="24"/>
        </w:rPr>
        <w:t xml:space="preserve">local level at the </w:t>
      </w:r>
      <w:r w:rsidR="000C7937">
        <w:rPr>
          <w:rFonts w:cs="Times New Roman"/>
          <w:szCs w:val="24"/>
        </w:rPr>
        <w:t xml:space="preserve">reserve. </w:t>
      </w:r>
      <w:r w:rsidR="00BF5009">
        <w:rPr>
          <w:rFonts w:cs="Times New Roman"/>
          <w:szCs w:val="24"/>
        </w:rPr>
        <w:t>Key informant 4 maintained that:</w:t>
      </w:r>
    </w:p>
    <w:p w14:paraId="06F1A9FE" w14:textId="35C45F2F" w:rsidR="00BF5009" w:rsidRPr="00BF5009" w:rsidRDefault="00BF5009" w:rsidP="00BF5009">
      <w:pPr>
        <w:pStyle w:val="BodyText"/>
        <w:rPr>
          <w:i/>
          <w:iCs/>
        </w:rPr>
      </w:pPr>
      <w:r>
        <w:rPr>
          <w:i/>
          <w:iCs/>
        </w:rPr>
        <w:t xml:space="preserve">Two weeks </w:t>
      </w:r>
      <w:proofErr w:type="gramStart"/>
      <w:r>
        <w:rPr>
          <w:i/>
          <w:iCs/>
        </w:rPr>
        <w:t>ago</w:t>
      </w:r>
      <w:proofErr w:type="gramEnd"/>
      <w:r>
        <w:rPr>
          <w:i/>
          <w:iCs/>
        </w:rPr>
        <w:t xml:space="preserve"> the authorities of the FSD met the traditional authorities and the D.A. representatives to inquire about the challenges we faced in protecting the reserve from illegal chainsaw operators and bushfires among others and how to mitigate these challenges to ensure sustainable management of the reserve (key informant 4 from D.A.</w:t>
      </w:r>
      <w:r w:rsidR="0023603C">
        <w:rPr>
          <w:i/>
          <w:iCs/>
        </w:rPr>
        <w:t xml:space="preserve"> at the BFR</w:t>
      </w:r>
      <w:r>
        <w:rPr>
          <w:i/>
          <w:iCs/>
        </w:rPr>
        <w:t>, 28</w:t>
      </w:r>
      <w:r w:rsidRPr="00BF5009">
        <w:rPr>
          <w:i/>
          <w:iCs/>
          <w:vertAlign w:val="superscript"/>
        </w:rPr>
        <w:t>th</w:t>
      </w:r>
      <w:r>
        <w:rPr>
          <w:i/>
          <w:iCs/>
        </w:rPr>
        <w:t xml:space="preserve"> </w:t>
      </w:r>
      <w:proofErr w:type="gramStart"/>
      <w:r>
        <w:rPr>
          <w:i/>
          <w:iCs/>
        </w:rPr>
        <w:t>February,</w:t>
      </w:r>
      <w:proofErr w:type="gramEnd"/>
      <w:r>
        <w:rPr>
          <w:i/>
          <w:iCs/>
        </w:rPr>
        <w:t xml:space="preserve"> 2024). </w:t>
      </w:r>
    </w:p>
    <w:p w14:paraId="5A38826F" w14:textId="10E34C58" w:rsidR="000C7937" w:rsidRDefault="000C7937" w:rsidP="000C7937">
      <w:pPr>
        <w:spacing w:after="0"/>
        <w:ind w:left="0"/>
        <w:rPr>
          <w:rFonts w:cs="Times New Roman"/>
          <w:szCs w:val="24"/>
        </w:rPr>
      </w:pPr>
      <w:r>
        <w:rPr>
          <w:rFonts w:cs="Times New Roman"/>
          <w:szCs w:val="24"/>
        </w:rPr>
        <w:t xml:space="preserve">The study further enquired if stakeholders such as the traditional authority, district assembly representatives, and community members utilised other decision-making platforms, such as regional, national, or global ones.  Data from the traditional authority and community members revealed that they did not utilise any other platforms aside </w:t>
      </w:r>
      <w:r w:rsidR="0023603C">
        <w:rPr>
          <w:rFonts w:cs="Times New Roman"/>
          <w:szCs w:val="24"/>
        </w:rPr>
        <w:t xml:space="preserve">from </w:t>
      </w:r>
      <w:r>
        <w:rPr>
          <w:rFonts w:cs="Times New Roman"/>
          <w:szCs w:val="24"/>
        </w:rPr>
        <w:t xml:space="preserve">the local level. All community members, together with key informant </w:t>
      </w:r>
      <w:r w:rsidR="002E44B2">
        <w:rPr>
          <w:rFonts w:cs="Times New Roman"/>
          <w:szCs w:val="24"/>
        </w:rPr>
        <w:t>7</w:t>
      </w:r>
      <w:r>
        <w:rPr>
          <w:rFonts w:cs="Times New Roman"/>
          <w:szCs w:val="24"/>
        </w:rPr>
        <w:t xml:space="preserve"> from the traditional authority</w:t>
      </w:r>
      <w:r w:rsidR="0023603C">
        <w:rPr>
          <w:rFonts w:cs="Times New Roman"/>
          <w:szCs w:val="24"/>
        </w:rPr>
        <w:t xml:space="preserve"> at the BFR</w:t>
      </w:r>
      <w:r>
        <w:rPr>
          <w:rFonts w:cs="Times New Roman"/>
          <w:szCs w:val="24"/>
        </w:rPr>
        <w:t xml:space="preserve">, maintained that aside </w:t>
      </w:r>
      <w:r w:rsidR="00727B78">
        <w:rPr>
          <w:rFonts w:cs="Times New Roman"/>
          <w:szCs w:val="24"/>
        </w:rPr>
        <w:t xml:space="preserve">from </w:t>
      </w:r>
      <w:r>
        <w:rPr>
          <w:rFonts w:cs="Times New Roman"/>
          <w:szCs w:val="24"/>
        </w:rPr>
        <w:t xml:space="preserve">the intermittent meetings, they did not attend other forms of meetings </w:t>
      </w:r>
      <w:r w:rsidR="002E44B2">
        <w:rPr>
          <w:rFonts w:cs="Times New Roman"/>
          <w:szCs w:val="24"/>
        </w:rPr>
        <w:t>concerning</w:t>
      </w:r>
      <w:r>
        <w:rPr>
          <w:rFonts w:cs="Times New Roman"/>
          <w:szCs w:val="24"/>
        </w:rPr>
        <w:t xml:space="preserve"> the reserve.   </w:t>
      </w:r>
    </w:p>
    <w:p w14:paraId="44F0CBBE" w14:textId="608DA05E" w:rsidR="000C7937" w:rsidRDefault="000C7937" w:rsidP="000C7937">
      <w:pPr>
        <w:spacing w:after="0"/>
        <w:ind w:left="0"/>
        <w:rPr>
          <w:rFonts w:cs="Times New Roman"/>
          <w:szCs w:val="24"/>
        </w:rPr>
      </w:pPr>
      <w:r>
        <w:rPr>
          <w:rFonts w:cs="Times New Roman"/>
          <w:szCs w:val="24"/>
        </w:rPr>
        <w:t xml:space="preserve">The district assembly representatives, by virtue of their positions, utilised other platforms, such as the district level. As government representatives, they were afforded opportunities to meet, dialogue, and sometimes influence policies at the district level through district meetings. Key informant </w:t>
      </w:r>
      <w:r w:rsidR="002E44B2">
        <w:rPr>
          <w:rFonts w:cs="Times New Roman"/>
          <w:szCs w:val="24"/>
        </w:rPr>
        <w:t>3</w:t>
      </w:r>
      <w:r>
        <w:rPr>
          <w:rFonts w:cs="Times New Roman"/>
          <w:szCs w:val="24"/>
        </w:rPr>
        <w:t xml:space="preserve"> from the </w:t>
      </w:r>
      <w:r w:rsidR="00727B78">
        <w:rPr>
          <w:rFonts w:cs="Times New Roman"/>
          <w:szCs w:val="24"/>
        </w:rPr>
        <w:t>D.A. at the BFR</w:t>
      </w:r>
      <w:r>
        <w:rPr>
          <w:rFonts w:cs="Times New Roman"/>
          <w:szCs w:val="24"/>
        </w:rPr>
        <w:t xml:space="preserve"> </w:t>
      </w:r>
      <w:r w:rsidR="002E44B2">
        <w:rPr>
          <w:rFonts w:cs="Times New Roman"/>
          <w:szCs w:val="24"/>
        </w:rPr>
        <w:t>on 8</w:t>
      </w:r>
      <w:r w:rsidR="002E44B2" w:rsidRPr="002E44B2">
        <w:rPr>
          <w:rFonts w:cs="Times New Roman"/>
          <w:szCs w:val="24"/>
          <w:vertAlign w:val="superscript"/>
        </w:rPr>
        <w:t>th</w:t>
      </w:r>
      <w:r w:rsidR="002E44B2">
        <w:rPr>
          <w:rFonts w:cs="Times New Roman"/>
          <w:szCs w:val="24"/>
        </w:rPr>
        <w:t xml:space="preserve"> February 2024 </w:t>
      </w:r>
      <w:r>
        <w:rPr>
          <w:rFonts w:cs="Times New Roman"/>
          <w:szCs w:val="24"/>
        </w:rPr>
        <w:t xml:space="preserve">maintained that through their statutory assembly meetings, they were sometimes able to discuss </w:t>
      </w:r>
      <w:r>
        <w:rPr>
          <w:rFonts w:cs="Times New Roman"/>
          <w:szCs w:val="24"/>
        </w:rPr>
        <w:lastRenderedPageBreak/>
        <w:t xml:space="preserve">and input issues concerning the Bobiri Reserve. On the other hand, the FSD was able to utilise the district, regional, and national decision-making levels. Key informant 1 from the FSD </w:t>
      </w:r>
      <w:r w:rsidR="00727B78">
        <w:rPr>
          <w:rFonts w:cs="Times New Roman"/>
          <w:szCs w:val="24"/>
        </w:rPr>
        <w:t xml:space="preserve">at the BFR </w:t>
      </w:r>
      <w:proofErr w:type="gramStart"/>
      <w:r w:rsidR="00727B78">
        <w:rPr>
          <w:rFonts w:cs="Times New Roman"/>
          <w:szCs w:val="24"/>
        </w:rPr>
        <w:t>on  6</w:t>
      </w:r>
      <w:proofErr w:type="gramEnd"/>
      <w:r w:rsidR="00727B78" w:rsidRPr="00727B78">
        <w:rPr>
          <w:rFonts w:cs="Times New Roman"/>
          <w:szCs w:val="24"/>
          <w:vertAlign w:val="superscript"/>
        </w:rPr>
        <w:t>th</w:t>
      </w:r>
      <w:r w:rsidR="00727B78">
        <w:rPr>
          <w:rFonts w:cs="Times New Roman"/>
          <w:szCs w:val="24"/>
        </w:rPr>
        <w:t xml:space="preserve"> February 2024 </w:t>
      </w:r>
      <w:r>
        <w:rPr>
          <w:rFonts w:cs="Times New Roman"/>
          <w:szCs w:val="24"/>
        </w:rPr>
        <w:t>revealed that through training and workshops, they were able to engage in decision-making at these levels.</w:t>
      </w:r>
    </w:p>
    <w:p w14:paraId="64C515AF" w14:textId="77777777" w:rsidR="000C7937" w:rsidRDefault="000C7937" w:rsidP="000C7937">
      <w:pPr>
        <w:ind w:left="0"/>
        <w:rPr>
          <w:rFonts w:cs="Times New Roman"/>
          <w:szCs w:val="24"/>
        </w:rPr>
      </w:pPr>
      <w:r>
        <w:rPr>
          <w:rFonts w:cs="Times New Roman"/>
          <w:szCs w:val="24"/>
        </w:rPr>
        <w:t xml:space="preserve">In the context of the SSFR, the situation was </w:t>
      </w:r>
      <w:proofErr w:type="gramStart"/>
      <w:r>
        <w:rPr>
          <w:rFonts w:cs="Times New Roman"/>
          <w:szCs w:val="24"/>
        </w:rPr>
        <w:t>similar to</w:t>
      </w:r>
      <w:proofErr w:type="gramEnd"/>
      <w:r>
        <w:rPr>
          <w:rFonts w:cs="Times New Roman"/>
          <w:szCs w:val="24"/>
        </w:rPr>
        <w:t xml:space="preserve"> that of the Bobiri Reserve. The traditional authority and community members only utilised the local-level decision-making platforms, while the district assembly representatives utilised a higher decision-making level, such as the district level, aside from the local level. As seen in the Bobiri Reserve, the FSD was able to utilise the local, district, regional, and national levels of decision-making related to the reserve.</w:t>
      </w:r>
    </w:p>
    <w:p w14:paraId="77DDB65C" w14:textId="77777777" w:rsidR="000C7937" w:rsidRDefault="000C7937" w:rsidP="000C7937">
      <w:pPr>
        <w:ind w:left="0" w:firstLine="0"/>
        <w:rPr>
          <w:rFonts w:cs="Times New Roman"/>
          <w:szCs w:val="24"/>
        </w:rPr>
      </w:pPr>
      <w:r>
        <w:rPr>
          <w:rFonts w:cs="Times New Roman"/>
          <w:szCs w:val="24"/>
        </w:rPr>
        <w:t xml:space="preserve">Forms of power </w:t>
      </w:r>
    </w:p>
    <w:p w14:paraId="7B8C333E" w14:textId="05F8047E" w:rsidR="00B063C9" w:rsidRDefault="00B063C9" w:rsidP="00B063C9">
      <w:pPr>
        <w:spacing w:after="0"/>
        <w:ind w:left="0"/>
        <w:rPr>
          <w:rFonts w:cs="Times New Roman"/>
          <w:szCs w:val="24"/>
        </w:rPr>
      </w:pPr>
      <w:r w:rsidRPr="00B063C9">
        <w:rPr>
          <w:rFonts w:cs="Times New Roman"/>
          <w:szCs w:val="24"/>
        </w:rPr>
        <w:t>In addition to spaces</w:t>
      </w:r>
      <w:r w:rsidR="00DB4890">
        <w:rPr>
          <w:rFonts w:cs="Times New Roman"/>
          <w:szCs w:val="24"/>
        </w:rPr>
        <w:t xml:space="preserve"> and levels,</w:t>
      </w:r>
      <w:r w:rsidRPr="00B063C9">
        <w:rPr>
          <w:rFonts w:cs="Times New Roman"/>
          <w:szCs w:val="24"/>
        </w:rPr>
        <w:t xml:space="preserve"> power manifests in the power cube through three distinct forms: visible, hidden, and invisible. The visible manifestation of power pertains to those who actively participate and dominate in observable decision-making processes. Conversely, the hidden form of power operates by excluding certain issues, interests, and voices from these processes, thereby keeping them off the public agenda. The invisible form of power revolves around internalized beliefs, norms, or a lack of awareness among stakeholders regarding their influence. This implies that certain voices remain silent and certain issues and inequities remain unquestioned, as </w:t>
      </w:r>
      <w:proofErr w:type="spellStart"/>
      <w:r w:rsidRPr="00B063C9">
        <w:rPr>
          <w:rFonts w:cs="Times New Roman"/>
          <w:szCs w:val="24"/>
        </w:rPr>
        <w:t>analyzed</w:t>
      </w:r>
      <w:proofErr w:type="spellEnd"/>
      <w:r w:rsidRPr="00B063C9">
        <w:rPr>
          <w:rFonts w:cs="Times New Roman"/>
          <w:szCs w:val="24"/>
        </w:rPr>
        <w:t xml:space="preserve"> by VeneKlasen and Miller (2002).</w:t>
      </w:r>
    </w:p>
    <w:p w14:paraId="01563743" w14:textId="7D27D10F" w:rsidR="000C7937" w:rsidRDefault="000C7937" w:rsidP="000C7937">
      <w:pPr>
        <w:spacing w:after="0"/>
        <w:ind w:left="0" w:firstLine="0"/>
        <w:rPr>
          <w:rFonts w:cs="Times New Roman"/>
          <w:szCs w:val="24"/>
        </w:rPr>
      </w:pPr>
      <w:r>
        <w:rPr>
          <w:rFonts w:cs="Times New Roman"/>
          <w:szCs w:val="24"/>
        </w:rPr>
        <w:t>Visible Power</w:t>
      </w:r>
    </w:p>
    <w:p w14:paraId="6392B6F1" w14:textId="4CADDFB9" w:rsidR="000C7937" w:rsidRDefault="000C7937" w:rsidP="000C7937">
      <w:pPr>
        <w:spacing w:after="0"/>
        <w:ind w:left="0"/>
        <w:rPr>
          <w:rFonts w:cs="Times New Roman"/>
          <w:szCs w:val="24"/>
        </w:rPr>
      </w:pPr>
      <w:r>
        <w:rPr>
          <w:rFonts w:cs="Times New Roman"/>
          <w:szCs w:val="24"/>
        </w:rPr>
        <w:lastRenderedPageBreak/>
        <w:t xml:space="preserve">In terms of visible power in the Bobiri Forest Reserve, the FSD had visible decision-making powers during engagements with other stakeholders. Key informant </w:t>
      </w:r>
      <w:r w:rsidR="00366DEB">
        <w:rPr>
          <w:rFonts w:cs="Times New Roman"/>
          <w:szCs w:val="24"/>
        </w:rPr>
        <w:t>6</w:t>
      </w:r>
      <w:r>
        <w:rPr>
          <w:rFonts w:cs="Times New Roman"/>
          <w:szCs w:val="24"/>
        </w:rPr>
        <w:t xml:space="preserve"> from the traditional authority</w:t>
      </w:r>
      <w:r w:rsidR="00727B78">
        <w:rPr>
          <w:rFonts w:cs="Times New Roman"/>
          <w:szCs w:val="24"/>
        </w:rPr>
        <w:t xml:space="preserve"> at the BFR</w:t>
      </w:r>
      <w:r>
        <w:rPr>
          <w:rFonts w:cs="Times New Roman"/>
          <w:szCs w:val="24"/>
        </w:rPr>
        <w:t xml:space="preserve"> </w:t>
      </w:r>
      <w:r w:rsidR="00366DEB">
        <w:rPr>
          <w:rFonts w:cs="Times New Roman"/>
          <w:szCs w:val="24"/>
        </w:rPr>
        <w:t>on 9</w:t>
      </w:r>
      <w:r w:rsidR="00366DEB" w:rsidRPr="00366DEB">
        <w:rPr>
          <w:rFonts w:cs="Times New Roman"/>
          <w:szCs w:val="24"/>
          <w:vertAlign w:val="superscript"/>
        </w:rPr>
        <w:t>th</w:t>
      </w:r>
      <w:r w:rsidR="00366DEB">
        <w:rPr>
          <w:rFonts w:cs="Times New Roman"/>
          <w:szCs w:val="24"/>
        </w:rPr>
        <w:t xml:space="preserve"> February 2024 </w:t>
      </w:r>
      <w:r>
        <w:rPr>
          <w:rFonts w:cs="Times New Roman"/>
          <w:szCs w:val="24"/>
        </w:rPr>
        <w:t>maintained that at the end of the deliberations, it could not be determined if what they contributed would be reflected in the outcome of the meeting, as the decision-making power rest</w:t>
      </w:r>
      <w:r w:rsidR="00727B78">
        <w:rPr>
          <w:rFonts w:cs="Times New Roman"/>
          <w:szCs w:val="24"/>
        </w:rPr>
        <w:t>ed</w:t>
      </w:r>
      <w:r>
        <w:rPr>
          <w:rFonts w:cs="Times New Roman"/>
          <w:szCs w:val="24"/>
        </w:rPr>
        <w:t xml:space="preserve"> with the F</w:t>
      </w:r>
      <w:r w:rsidR="00366DEB">
        <w:rPr>
          <w:rFonts w:cs="Times New Roman"/>
          <w:szCs w:val="24"/>
        </w:rPr>
        <w:t>SD</w:t>
      </w:r>
      <w:r>
        <w:rPr>
          <w:rFonts w:cs="Times New Roman"/>
          <w:szCs w:val="24"/>
        </w:rPr>
        <w:t xml:space="preserve">. All the community members interviewed also confirmed that decision-making powers resided with the FSD and that most meetings were just to inform them of what they had already decided. </w:t>
      </w:r>
    </w:p>
    <w:p w14:paraId="0E811ED6" w14:textId="418AAE90" w:rsidR="000C7937" w:rsidRDefault="000C7937" w:rsidP="000C7937">
      <w:pPr>
        <w:ind w:left="0"/>
        <w:rPr>
          <w:rFonts w:cs="Times New Roman"/>
          <w:szCs w:val="24"/>
        </w:rPr>
      </w:pPr>
      <w:r>
        <w:rPr>
          <w:rFonts w:cs="Times New Roman"/>
          <w:szCs w:val="24"/>
        </w:rPr>
        <w:t xml:space="preserve">Similarly, the FSD at the SSFR wielded visible power. The interviews revealed that the FSD mostly decided on the outcomes of deliberations. Although the participants were allowed to contribute, the final decision </w:t>
      </w:r>
      <w:r w:rsidR="00366DEB">
        <w:rPr>
          <w:rFonts w:cs="Times New Roman"/>
          <w:szCs w:val="24"/>
        </w:rPr>
        <w:t>rested</w:t>
      </w:r>
      <w:r>
        <w:rPr>
          <w:rFonts w:cs="Times New Roman"/>
          <w:szCs w:val="24"/>
        </w:rPr>
        <w:t xml:space="preserve"> with the division. This was confirmed by all participants at the reserve.</w:t>
      </w:r>
    </w:p>
    <w:p w14:paraId="0A88AA2C" w14:textId="77777777" w:rsidR="000C7937" w:rsidRDefault="000C7937" w:rsidP="000C7937">
      <w:pPr>
        <w:spacing w:after="0"/>
        <w:ind w:left="0" w:firstLine="0"/>
        <w:rPr>
          <w:rFonts w:cs="Times New Roman"/>
          <w:szCs w:val="24"/>
        </w:rPr>
      </w:pPr>
      <w:r>
        <w:rPr>
          <w:rFonts w:cs="Times New Roman"/>
          <w:szCs w:val="24"/>
        </w:rPr>
        <w:t>Hidden Power</w:t>
      </w:r>
    </w:p>
    <w:p w14:paraId="3D07C06D" w14:textId="4745EBBF" w:rsidR="00366DEB" w:rsidRDefault="000C7937" w:rsidP="000C7937">
      <w:pPr>
        <w:spacing w:after="0"/>
        <w:ind w:left="0"/>
        <w:rPr>
          <w:rFonts w:cs="Times New Roman"/>
          <w:szCs w:val="24"/>
        </w:rPr>
      </w:pPr>
      <w:r>
        <w:rPr>
          <w:rFonts w:cs="Times New Roman"/>
          <w:szCs w:val="24"/>
        </w:rPr>
        <w:t xml:space="preserve">Hidden power relates to stakeholders who </w:t>
      </w:r>
      <w:proofErr w:type="gramStart"/>
      <w:r>
        <w:rPr>
          <w:rFonts w:cs="Times New Roman"/>
          <w:szCs w:val="24"/>
        </w:rPr>
        <w:t>have the ability to</w:t>
      </w:r>
      <w:proofErr w:type="gramEnd"/>
      <w:r>
        <w:rPr>
          <w:rFonts w:cs="Times New Roman"/>
          <w:szCs w:val="24"/>
        </w:rPr>
        <w:t xml:space="preserve"> keep certain issues, interests, and voices out of the decision-making process. The data from Bobiri and the discussions thus far revealed that F</w:t>
      </w:r>
      <w:r w:rsidR="00366DEB">
        <w:rPr>
          <w:rFonts w:cs="Times New Roman"/>
          <w:szCs w:val="24"/>
        </w:rPr>
        <w:t>SD</w:t>
      </w:r>
      <w:r>
        <w:rPr>
          <w:rFonts w:cs="Times New Roman"/>
          <w:szCs w:val="24"/>
        </w:rPr>
        <w:t xml:space="preserve"> possessed hidden power. From these discussions, it was noted that the FSD had the capacity to determine what was discussed, who participated, and the outcome of the engagement. The traditional authority also possessed hidden power. This power emanated from their status as rulers of the communities. </w:t>
      </w:r>
      <w:r w:rsidR="00A61341">
        <w:rPr>
          <w:rFonts w:cs="Times New Roman"/>
          <w:szCs w:val="24"/>
        </w:rPr>
        <w:t xml:space="preserve">The traditional authorities could influence discussions and what could be discussed and with whom. </w:t>
      </w:r>
    </w:p>
    <w:p w14:paraId="37F516D4" w14:textId="452F32E7" w:rsidR="000C7937" w:rsidRDefault="000C7937" w:rsidP="000C7937">
      <w:pPr>
        <w:spacing w:after="0"/>
        <w:ind w:left="0"/>
        <w:rPr>
          <w:rFonts w:cs="Times New Roman"/>
          <w:szCs w:val="24"/>
        </w:rPr>
      </w:pPr>
      <w:r>
        <w:rPr>
          <w:rFonts w:cs="Times New Roman"/>
          <w:szCs w:val="24"/>
        </w:rPr>
        <w:t xml:space="preserve">Key informant </w:t>
      </w:r>
      <w:r w:rsidR="00366DEB">
        <w:rPr>
          <w:rFonts w:cs="Times New Roman"/>
          <w:szCs w:val="24"/>
        </w:rPr>
        <w:t>2</w:t>
      </w:r>
      <w:r>
        <w:rPr>
          <w:rFonts w:cs="Times New Roman"/>
          <w:szCs w:val="24"/>
        </w:rPr>
        <w:t xml:space="preserve"> from the FSD </w:t>
      </w:r>
      <w:r w:rsidR="00A61341">
        <w:rPr>
          <w:rFonts w:cs="Times New Roman"/>
          <w:szCs w:val="24"/>
        </w:rPr>
        <w:t xml:space="preserve">at the BFR </w:t>
      </w:r>
      <w:r w:rsidR="00366DEB">
        <w:rPr>
          <w:rFonts w:cs="Times New Roman"/>
          <w:szCs w:val="24"/>
        </w:rPr>
        <w:t>on 9</w:t>
      </w:r>
      <w:r w:rsidR="00366DEB" w:rsidRPr="00366DEB">
        <w:rPr>
          <w:rFonts w:cs="Times New Roman"/>
          <w:szCs w:val="24"/>
          <w:vertAlign w:val="superscript"/>
        </w:rPr>
        <w:t>th</w:t>
      </w:r>
      <w:r w:rsidR="00366DEB">
        <w:rPr>
          <w:rFonts w:cs="Times New Roman"/>
          <w:szCs w:val="24"/>
        </w:rPr>
        <w:t xml:space="preserve"> February 2024 </w:t>
      </w:r>
      <w:r>
        <w:rPr>
          <w:rFonts w:cs="Times New Roman"/>
          <w:szCs w:val="24"/>
        </w:rPr>
        <w:t xml:space="preserve">noted that they worked </w:t>
      </w:r>
      <w:proofErr w:type="gramStart"/>
      <w:r>
        <w:rPr>
          <w:rFonts w:cs="Times New Roman"/>
          <w:szCs w:val="24"/>
        </w:rPr>
        <w:t>hand-in-hand</w:t>
      </w:r>
      <w:proofErr w:type="gramEnd"/>
      <w:r>
        <w:rPr>
          <w:rFonts w:cs="Times New Roman"/>
          <w:szCs w:val="24"/>
        </w:rPr>
        <w:t xml:space="preserve"> with traditional authorities. This was because </w:t>
      </w:r>
      <w:r>
        <w:rPr>
          <w:rFonts w:cs="Times New Roman"/>
          <w:szCs w:val="24"/>
        </w:rPr>
        <w:lastRenderedPageBreak/>
        <w:t>nothing could be done in the various communities without the approval</w:t>
      </w:r>
      <w:r w:rsidR="00A61341">
        <w:rPr>
          <w:rFonts w:cs="Times New Roman"/>
          <w:szCs w:val="24"/>
        </w:rPr>
        <w:t xml:space="preserve"> from the traditional authorities</w:t>
      </w:r>
      <w:r>
        <w:rPr>
          <w:rFonts w:cs="Times New Roman"/>
          <w:szCs w:val="24"/>
        </w:rPr>
        <w:t>. In addition, traditional authorities provided an avenue for conflict resolution. Key informant 2 continued that during periods of conflict between the FSD and community members, they usually sought the assistance of the chiefs to resolve them. Consequently, traditional authorities c</w:t>
      </w:r>
      <w:r w:rsidR="00A61341">
        <w:rPr>
          <w:rFonts w:cs="Times New Roman"/>
          <w:szCs w:val="24"/>
        </w:rPr>
        <w:t>ould</w:t>
      </w:r>
      <w:r>
        <w:rPr>
          <w:rFonts w:cs="Times New Roman"/>
          <w:szCs w:val="24"/>
        </w:rPr>
        <w:t xml:space="preserve"> influence the decision-making processes. </w:t>
      </w:r>
    </w:p>
    <w:p w14:paraId="5079895F" w14:textId="62EA3E59" w:rsidR="000C7937" w:rsidRDefault="000C7937" w:rsidP="000C7937">
      <w:pPr>
        <w:ind w:left="0"/>
        <w:rPr>
          <w:rFonts w:cs="Times New Roman"/>
          <w:szCs w:val="24"/>
        </w:rPr>
      </w:pPr>
      <w:r>
        <w:rPr>
          <w:rFonts w:cs="Times New Roman"/>
          <w:szCs w:val="24"/>
        </w:rPr>
        <w:t xml:space="preserve">Similarly, traditional authorities in the SSFR exhibited hidden power by virtue of their position in the community. The authority served as entry points into the various communities, and thus the FSD could not undertake any activity without explicit approval. This </w:t>
      </w:r>
      <w:r w:rsidR="00366DEB">
        <w:rPr>
          <w:rFonts w:cs="Times New Roman"/>
          <w:szCs w:val="24"/>
        </w:rPr>
        <w:t>allowed them</w:t>
      </w:r>
      <w:r>
        <w:rPr>
          <w:rFonts w:cs="Times New Roman"/>
          <w:szCs w:val="24"/>
        </w:rPr>
        <w:t xml:space="preserve"> to exercise this form of power. Key informant </w:t>
      </w:r>
      <w:r w:rsidR="00366DEB">
        <w:rPr>
          <w:rFonts w:cs="Times New Roman"/>
          <w:szCs w:val="24"/>
        </w:rPr>
        <w:t>15</w:t>
      </w:r>
      <w:r>
        <w:rPr>
          <w:rFonts w:cs="Times New Roman"/>
          <w:szCs w:val="24"/>
        </w:rPr>
        <w:t xml:space="preserve"> from the traditional authority </w:t>
      </w:r>
      <w:r w:rsidR="00A61341">
        <w:rPr>
          <w:rFonts w:cs="Times New Roman"/>
          <w:szCs w:val="24"/>
        </w:rPr>
        <w:t>at the SSFR on 14</w:t>
      </w:r>
      <w:r w:rsidR="00A61341" w:rsidRPr="00A61341">
        <w:rPr>
          <w:rFonts w:cs="Times New Roman"/>
          <w:szCs w:val="24"/>
          <w:vertAlign w:val="superscript"/>
        </w:rPr>
        <w:t>th</w:t>
      </w:r>
      <w:r w:rsidR="00A61341">
        <w:rPr>
          <w:rFonts w:cs="Times New Roman"/>
          <w:szCs w:val="24"/>
        </w:rPr>
        <w:t xml:space="preserve"> March 2024 </w:t>
      </w:r>
      <w:r>
        <w:rPr>
          <w:rFonts w:cs="Times New Roman"/>
          <w:szCs w:val="24"/>
        </w:rPr>
        <w:t xml:space="preserve">revealed that, because FSD mostly </w:t>
      </w:r>
      <w:r w:rsidR="00A61341">
        <w:rPr>
          <w:rFonts w:cs="Times New Roman"/>
          <w:szCs w:val="24"/>
        </w:rPr>
        <w:t>went</w:t>
      </w:r>
      <w:r>
        <w:rPr>
          <w:rFonts w:cs="Times New Roman"/>
          <w:szCs w:val="24"/>
        </w:rPr>
        <w:t xml:space="preserve"> through them, they </w:t>
      </w:r>
      <w:r w:rsidR="00A61341">
        <w:rPr>
          <w:rFonts w:cs="Times New Roman"/>
          <w:szCs w:val="24"/>
        </w:rPr>
        <w:t>were</w:t>
      </w:r>
      <w:r>
        <w:rPr>
          <w:rFonts w:cs="Times New Roman"/>
          <w:szCs w:val="24"/>
        </w:rPr>
        <w:t xml:space="preserve"> sometimes able to influence what should be done and how it should be done. This result indicated the traditional authority’s hidden power.</w:t>
      </w:r>
    </w:p>
    <w:p w14:paraId="6197F0DA" w14:textId="77777777" w:rsidR="000C7937" w:rsidRDefault="000C7937" w:rsidP="000C7937">
      <w:pPr>
        <w:spacing w:after="0"/>
        <w:ind w:left="0" w:firstLine="0"/>
        <w:rPr>
          <w:rFonts w:cs="Times New Roman"/>
          <w:szCs w:val="24"/>
        </w:rPr>
      </w:pPr>
      <w:r>
        <w:rPr>
          <w:rFonts w:cs="Times New Roman"/>
          <w:szCs w:val="24"/>
        </w:rPr>
        <w:t xml:space="preserve">Invisible power </w:t>
      </w:r>
    </w:p>
    <w:p w14:paraId="1CFFD841" w14:textId="18B7F4A2" w:rsidR="000C7937" w:rsidRDefault="000C7937" w:rsidP="000C7937">
      <w:pPr>
        <w:spacing w:after="0"/>
        <w:ind w:left="0"/>
        <w:rPr>
          <w:rFonts w:cs="Times New Roman"/>
          <w:szCs w:val="24"/>
        </w:rPr>
      </w:pPr>
      <w:r>
        <w:rPr>
          <w:rFonts w:cs="Times New Roman"/>
          <w:szCs w:val="24"/>
        </w:rPr>
        <w:t>Invisible power had to do with internalised beliefs and norms, or a lack of awareness. This meant that certain voices did not speak out because</w:t>
      </w:r>
      <w:r w:rsidR="00BC63DE">
        <w:rPr>
          <w:rFonts w:cs="Times New Roman"/>
          <w:szCs w:val="24"/>
        </w:rPr>
        <w:t>,</w:t>
      </w:r>
      <w:r>
        <w:rPr>
          <w:rFonts w:cs="Times New Roman"/>
          <w:szCs w:val="24"/>
        </w:rPr>
        <w:t xml:space="preserve"> over time, certain practices and norms had been used to perpetuate this practice. In addition, stakeholders m</w:t>
      </w:r>
      <w:r w:rsidR="00A61341">
        <w:rPr>
          <w:rFonts w:cs="Times New Roman"/>
          <w:szCs w:val="24"/>
        </w:rPr>
        <w:t>ight</w:t>
      </w:r>
      <w:r>
        <w:rPr>
          <w:rFonts w:cs="Times New Roman"/>
          <w:szCs w:val="24"/>
        </w:rPr>
        <w:t xml:space="preserve"> not be aware of some of their rights and responsibilities in relation to reserve activities. Key informant </w:t>
      </w:r>
      <w:r w:rsidR="00366DEB">
        <w:rPr>
          <w:rFonts w:cs="Times New Roman"/>
          <w:szCs w:val="24"/>
        </w:rPr>
        <w:t>4</w:t>
      </w:r>
      <w:r>
        <w:rPr>
          <w:rFonts w:cs="Times New Roman"/>
          <w:szCs w:val="24"/>
        </w:rPr>
        <w:t xml:space="preserve"> from the traditional authority </w:t>
      </w:r>
      <w:r w:rsidR="00BC63DE">
        <w:rPr>
          <w:rFonts w:cs="Times New Roman"/>
          <w:szCs w:val="24"/>
        </w:rPr>
        <w:t xml:space="preserve">at the BFR </w:t>
      </w:r>
      <w:r w:rsidR="00366DEB">
        <w:rPr>
          <w:rFonts w:cs="Times New Roman"/>
          <w:szCs w:val="24"/>
        </w:rPr>
        <w:t>on 28</w:t>
      </w:r>
      <w:r w:rsidR="00366DEB" w:rsidRPr="00366DEB">
        <w:rPr>
          <w:rFonts w:cs="Times New Roman"/>
          <w:szCs w:val="24"/>
          <w:vertAlign w:val="superscript"/>
        </w:rPr>
        <w:t>th</w:t>
      </w:r>
      <w:r w:rsidR="00366DEB">
        <w:rPr>
          <w:rFonts w:cs="Times New Roman"/>
          <w:szCs w:val="24"/>
        </w:rPr>
        <w:t xml:space="preserve"> February 2024 </w:t>
      </w:r>
      <w:r>
        <w:rPr>
          <w:rFonts w:cs="Times New Roman"/>
          <w:szCs w:val="24"/>
        </w:rPr>
        <w:t xml:space="preserve">made it known to the study that the reserve belonged to the state and that they had no right to call for deliberations, choose how the reserve was managed, or which contribution from the other stakeholders </w:t>
      </w:r>
      <w:r w:rsidR="00BC63DE">
        <w:rPr>
          <w:rFonts w:cs="Times New Roman"/>
          <w:szCs w:val="24"/>
        </w:rPr>
        <w:t xml:space="preserve">should be </w:t>
      </w:r>
      <w:r>
        <w:rPr>
          <w:rFonts w:cs="Times New Roman"/>
          <w:szCs w:val="24"/>
        </w:rPr>
        <w:t>consider</w:t>
      </w:r>
      <w:r w:rsidR="00BC63DE">
        <w:rPr>
          <w:rFonts w:cs="Times New Roman"/>
          <w:szCs w:val="24"/>
        </w:rPr>
        <w:t>ed</w:t>
      </w:r>
      <w:r>
        <w:rPr>
          <w:rFonts w:cs="Times New Roman"/>
          <w:szCs w:val="24"/>
        </w:rPr>
        <w:t>. This statement indicate</w:t>
      </w:r>
      <w:r w:rsidR="00BC63DE">
        <w:rPr>
          <w:rFonts w:cs="Times New Roman"/>
          <w:szCs w:val="24"/>
        </w:rPr>
        <w:t>d</w:t>
      </w:r>
      <w:r>
        <w:rPr>
          <w:rFonts w:cs="Times New Roman"/>
          <w:szCs w:val="24"/>
        </w:rPr>
        <w:t xml:space="preserve"> that the</w:t>
      </w:r>
      <w:r w:rsidR="00BC63DE">
        <w:rPr>
          <w:rFonts w:cs="Times New Roman"/>
          <w:szCs w:val="24"/>
        </w:rPr>
        <w:t xml:space="preserve"> state-led</w:t>
      </w:r>
      <w:r>
        <w:rPr>
          <w:rFonts w:cs="Times New Roman"/>
          <w:szCs w:val="24"/>
        </w:rPr>
        <w:t xml:space="preserve"> </w:t>
      </w:r>
      <w:r w:rsidR="00BC63DE">
        <w:rPr>
          <w:rFonts w:cs="Times New Roman"/>
          <w:szCs w:val="24"/>
        </w:rPr>
        <w:t>management of</w:t>
      </w:r>
      <w:r>
        <w:rPr>
          <w:rFonts w:cs="Times New Roman"/>
          <w:szCs w:val="24"/>
        </w:rPr>
        <w:t xml:space="preserve"> the Bobiri Forest Reserve ha</w:t>
      </w:r>
      <w:r w:rsidR="00BC63DE">
        <w:rPr>
          <w:rFonts w:cs="Times New Roman"/>
          <w:szCs w:val="24"/>
        </w:rPr>
        <w:t>d</w:t>
      </w:r>
      <w:r>
        <w:rPr>
          <w:rFonts w:cs="Times New Roman"/>
          <w:szCs w:val="24"/>
        </w:rPr>
        <w:t xml:space="preserve"> succeeded in creating </w:t>
      </w:r>
      <w:r>
        <w:rPr>
          <w:rFonts w:cs="Times New Roman"/>
          <w:szCs w:val="24"/>
        </w:rPr>
        <w:lastRenderedPageBreak/>
        <w:t xml:space="preserve">an invisible power which has made other stakeholders grasp what they could or could not do. </w:t>
      </w:r>
    </w:p>
    <w:p w14:paraId="1E17EF29" w14:textId="15012A07" w:rsidR="000C7937" w:rsidRDefault="000C7937" w:rsidP="000C7937">
      <w:pPr>
        <w:spacing w:after="0"/>
        <w:ind w:left="0"/>
        <w:rPr>
          <w:rFonts w:cs="Times New Roman"/>
          <w:szCs w:val="24"/>
        </w:rPr>
      </w:pPr>
      <w:r>
        <w:rPr>
          <w:rFonts w:cs="Times New Roman"/>
          <w:szCs w:val="24"/>
        </w:rPr>
        <w:t xml:space="preserve">The situation in Bobiri in the context of invisible power was no different from that at the SSFR. The second </w:t>
      </w:r>
      <w:r w:rsidR="00BC63DE">
        <w:rPr>
          <w:rFonts w:cs="Times New Roman"/>
          <w:szCs w:val="24"/>
        </w:rPr>
        <w:t xml:space="preserve">focus </w:t>
      </w:r>
      <w:r>
        <w:rPr>
          <w:rFonts w:cs="Times New Roman"/>
          <w:szCs w:val="24"/>
        </w:rPr>
        <w:t xml:space="preserve">group discussion </w:t>
      </w:r>
      <w:r w:rsidR="00BC63DE">
        <w:rPr>
          <w:rFonts w:cs="Times New Roman"/>
          <w:szCs w:val="24"/>
        </w:rPr>
        <w:t xml:space="preserve">comprising farmers at </w:t>
      </w:r>
      <w:proofErr w:type="spellStart"/>
      <w:r w:rsidR="00BC63DE">
        <w:rPr>
          <w:rFonts w:cs="Times New Roman"/>
          <w:szCs w:val="24"/>
        </w:rPr>
        <w:t>Nobewam</w:t>
      </w:r>
      <w:proofErr w:type="spellEnd"/>
      <w:r w:rsidR="00BC63DE">
        <w:rPr>
          <w:rFonts w:cs="Times New Roman"/>
          <w:szCs w:val="24"/>
        </w:rPr>
        <w:t xml:space="preserve"> </w:t>
      </w:r>
      <w:r w:rsidR="00366DEB">
        <w:rPr>
          <w:rFonts w:cs="Times New Roman"/>
          <w:szCs w:val="24"/>
        </w:rPr>
        <w:t>on 22</w:t>
      </w:r>
      <w:r w:rsidR="00366DEB" w:rsidRPr="00366DEB">
        <w:rPr>
          <w:rFonts w:cs="Times New Roman"/>
          <w:szCs w:val="24"/>
          <w:vertAlign w:val="superscript"/>
        </w:rPr>
        <w:t>nd</w:t>
      </w:r>
      <w:r w:rsidR="00366DEB">
        <w:rPr>
          <w:rFonts w:cs="Times New Roman"/>
          <w:szCs w:val="24"/>
        </w:rPr>
        <w:t xml:space="preserve"> March 2024 </w:t>
      </w:r>
      <w:r>
        <w:rPr>
          <w:rFonts w:cs="Times New Roman"/>
          <w:szCs w:val="24"/>
        </w:rPr>
        <w:t xml:space="preserve">argued that the reserve belonged to the state, represented by the FSD and that no community member or stakeholder had the authority to undertake any activity that was not sanctioned by the FSD; otherwise, such a person would face repercussions. The outcome from the second group discussion showed that these participants lacked awareness of the roles and responsibilities enshrined in the FDMP (2016-2036). </w:t>
      </w:r>
    </w:p>
    <w:p w14:paraId="173EBE8E" w14:textId="33CC5909" w:rsidR="000C7937" w:rsidRDefault="000C7937" w:rsidP="000C7937">
      <w:pPr>
        <w:ind w:left="0"/>
        <w:rPr>
          <w:rFonts w:cs="Times New Roman"/>
          <w:szCs w:val="24"/>
        </w:rPr>
      </w:pPr>
      <w:r>
        <w:rPr>
          <w:rFonts w:cs="Times New Roman"/>
          <w:szCs w:val="24"/>
        </w:rPr>
        <w:t xml:space="preserve">The outcome of this study was in line with </w:t>
      </w:r>
      <w:proofErr w:type="spellStart"/>
      <w:r w:rsidRPr="00620EB5">
        <w:rPr>
          <w:rFonts w:cs="Times New Roman"/>
          <w:szCs w:val="24"/>
        </w:rPr>
        <w:t>Rabé</w:t>
      </w:r>
      <w:proofErr w:type="spellEnd"/>
      <w:r w:rsidRPr="00620EB5">
        <w:rPr>
          <w:rFonts w:cs="Times New Roman"/>
          <w:szCs w:val="24"/>
        </w:rPr>
        <w:t xml:space="preserve"> and</w:t>
      </w:r>
      <w:r>
        <w:rPr>
          <w:rFonts w:cs="Times New Roman"/>
          <w:szCs w:val="24"/>
        </w:rPr>
        <w:t xml:space="preserve"> </w:t>
      </w:r>
      <w:r w:rsidRPr="00620EB5">
        <w:rPr>
          <w:rFonts w:cs="Times New Roman"/>
          <w:szCs w:val="24"/>
        </w:rPr>
        <w:t>Kamanzi’s (2012)</w:t>
      </w:r>
      <w:r>
        <w:rPr>
          <w:rFonts w:cs="Times New Roman"/>
          <w:szCs w:val="24"/>
        </w:rPr>
        <w:t xml:space="preserve"> power analysis of community participation in Tanzania. </w:t>
      </w:r>
      <w:proofErr w:type="spellStart"/>
      <w:r w:rsidRPr="00620EB5">
        <w:rPr>
          <w:rFonts w:cs="Times New Roman"/>
          <w:szCs w:val="24"/>
        </w:rPr>
        <w:t>Rabé</w:t>
      </w:r>
      <w:proofErr w:type="spellEnd"/>
      <w:r w:rsidRPr="00620EB5">
        <w:rPr>
          <w:rFonts w:cs="Times New Roman"/>
          <w:szCs w:val="24"/>
        </w:rPr>
        <w:t xml:space="preserve"> and</w:t>
      </w:r>
      <w:r>
        <w:rPr>
          <w:rFonts w:cs="Times New Roman"/>
          <w:szCs w:val="24"/>
        </w:rPr>
        <w:t xml:space="preserve"> </w:t>
      </w:r>
      <w:r w:rsidRPr="00620EB5">
        <w:rPr>
          <w:rFonts w:cs="Times New Roman"/>
          <w:szCs w:val="24"/>
        </w:rPr>
        <w:t>Kamanzi</w:t>
      </w:r>
      <w:r>
        <w:rPr>
          <w:rFonts w:cs="Times New Roman"/>
          <w:szCs w:val="24"/>
        </w:rPr>
        <w:t xml:space="preserve"> revealed the presence </w:t>
      </w:r>
      <w:r w:rsidR="002870B3">
        <w:rPr>
          <w:rFonts w:cs="Times New Roman"/>
          <w:szCs w:val="24"/>
        </w:rPr>
        <w:t xml:space="preserve">of </w:t>
      </w:r>
      <w:r w:rsidR="00BF5009">
        <w:rPr>
          <w:rFonts w:cs="Times New Roman"/>
          <w:szCs w:val="24"/>
        </w:rPr>
        <w:t xml:space="preserve">closed and </w:t>
      </w:r>
      <w:r>
        <w:rPr>
          <w:rFonts w:cs="Times New Roman"/>
          <w:szCs w:val="24"/>
        </w:rPr>
        <w:t>invited spaces in the form of village meetings where local officials met with residents</w:t>
      </w:r>
      <w:r w:rsidR="00BF5009">
        <w:rPr>
          <w:rFonts w:cs="Times New Roman"/>
          <w:szCs w:val="24"/>
        </w:rPr>
        <w:t xml:space="preserve"> at the local level. The study further revealed the existence of hidden, invisible and visible forms of power at the </w:t>
      </w:r>
      <w:proofErr w:type="spellStart"/>
      <w:r w:rsidR="00BF5009">
        <w:rPr>
          <w:rFonts w:cs="Times New Roman"/>
          <w:szCs w:val="24"/>
        </w:rPr>
        <w:t>mitaa</w:t>
      </w:r>
      <w:proofErr w:type="spellEnd"/>
      <w:r w:rsidR="00BF5009">
        <w:rPr>
          <w:rFonts w:cs="Times New Roman"/>
          <w:szCs w:val="24"/>
        </w:rPr>
        <w:t xml:space="preserve"> villages</w:t>
      </w:r>
      <w:r>
        <w:rPr>
          <w:rFonts w:cs="Times New Roman"/>
          <w:szCs w:val="24"/>
        </w:rPr>
        <w:t xml:space="preserve">. </w:t>
      </w:r>
    </w:p>
    <w:p w14:paraId="5D210C13" w14:textId="77777777" w:rsidR="000C7937" w:rsidRPr="0027541D" w:rsidRDefault="000C7937" w:rsidP="000C7937">
      <w:pPr>
        <w:pStyle w:val="Heading2"/>
        <w:ind w:left="0"/>
      </w:pPr>
      <w:bookmarkStart w:id="340" w:name="_Toc202197670"/>
      <w:r>
        <w:t>Management</w:t>
      </w:r>
      <w:r w:rsidRPr="0027541D">
        <w:t xml:space="preserve"> Process</w:t>
      </w:r>
      <w:bookmarkEnd w:id="340"/>
    </w:p>
    <w:p w14:paraId="57D92179" w14:textId="77777777" w:rsidR="000C7937" w:rsidRPr="0027541D" w:rsidRDefault="000C7937" w:rsidP="000C7937">
      <w:pPr>
        <w:ind w:left="0" w:firstLine="0"/>
      </w:pPr>
      <w:r>
        <w:tab/>
      </w:r>
      <w:r w:rsidRPr="0027541D">
        <w:t xml:space="preserve">The </w:t>
      </w:r>
      <w:r>
        <w:t>management</w:t>
      </w:r>
      <w:r w:rsidRPr="0027541D">
        <w:t xml:space="preserve"> process </w:t>
      </w:r>
      <w:r>
        <w:t>was</w:t>
      </w:r>
      <w:r w:rsidRPr="0027541D">
        <w:t xml:space="preserve"> the core component of the local-level </w:t>
      </w:r>
      <w:r>
        <w:t>policy</w:t>
      </w:r>
      <w:r w:rsidRPr="0027541D">
        <w:t xml:space="preserve"> framework, in which in</w:t>
      </w:r>
      <w:r>
        <w:t>dividuals</w:t>
      </w:r>
      <w:r w:rsidRPr="0027541D">
        <w:t xml:space="preserve"> (acting on their own or as agents of organi</w:t>
      </w:r>
      <w:r>
        <w:t>s</w:t>
      </w:r>
      <w:r w:rsidRPr="0027541D">
        <w:t>ations) observe</w:t>
      </w:r>
      <w:r>
        <w:t>d</w:t>
      </w:r>
      <w:r w:rsidRPr="0027541D">
        <w:t xml:space="preserve"> information, select</w:t>
      </w:r>
      <w:r>
        <w:t>ed</w:t>
      </w:r>
      <w:r w:rsidRPr="0027541D">
        <w:t xml:space="preserve"> actions, engage</w:t>
      </w:r>
      <w:r>
        <w:t>d</w:t>
      </w:r>
      <w:r w:rsidRPr="0027541D">
        <w:t xml:space="preserve"> in patterns of interaction</w:t>
      </w:r>
      <w:r>
        <w:t>,</w:t>
      </w:r>
      <w:r w:rsidRPr="0027541D">
        <w:t xml:space="preserve"> and reali</w:t>
      </w:r>
      <w:r>
        <w:t>s</w:t>
      </w:r>
      <w:r w:rsidRPr="0027541D">
        <w:t>e</w:t>
      </w:r>
      <w:r>
        <w:t>d</w:t>
      </w:r>
      <w:r w:rsidRPr="0027541D">
        <w:t xml:space="preserve"> outcomes from their interaction</w:t>
      </w:r>
      <w:r>
        <w:t>s</w:t>
      </w:r>
      <w:r w:rsidRPr="0027541D">
        <w:t xml:space="preserve">. In addition, </w:t>
      </w:r>
      <w:r>
        <w:t>r</w:t>
      </w:r>
      <w:r w:rsidRPr="0027541D">
        <w:t>ational choice institutional theory highlights the need to understand how individuals and organi</w:t>
      </w:r>
      <w:r>
        <w:t>s</w:t>
      </w:r>
      <w:r w:rsidRPr="0027541D">
        <w:t>ations make rational choices wi</w:t>
      </w:r>
      <w:r>
        <w:t xml:space="preserve">thin institutional constraints. </w:t>
      </w:r>
      <w:r w:rsidRPr="0027541D">
        <w:t xml:space="preserve">In this regard, the study </w:t>
      </w:r>
      <w:r>
        <w:t xml:space="preserve">described </w:t>
      </w:r>
      <w:r w:rsidRPr="0027541D">
        <w:t xml:space="preserve">face-to-face dialogue in the form of community </w:t>
      </w:r>
      <w:r w:rsidRPr="0027541D">
        <w:lastRenderedPageBreak/>
        <w:t xml:space="preserve">engagement, motivation to participate in the </w:t>
      </w:r>
      <w:r>
        <w:t>management</w:t>
      </w:r>
      <w:r w:rsidRPr="0027541D">
        <w:t xml:space="preserve"> process</w:t>
      </w:r>
      <w:r>
        <w:t>,</w:t>
      </w:r>
      <w:r w:rsidRPr="0027541D">
        <w:t xml:space="preserve"> and benefits </w:t>
      </w:r>
      <w:r>
        <w:t>gained from participating in the processes.</w:t>
      </w:r>
    </w:p>
    <w:p w14:paraId="3FE6005D" w14:textId="77777777" w:rsidR="000C7937" w:rsidRPr="00A17D73" w:rsidRDefault="000C7937" w:rsidP="000C7937">
      <w:pPr>
        <w:pStyle w:val="Heading2"/>
        <w:ind w:left="0"/>
        <w:rPr>
          <w:rFonts w:cs="Times New Roman"/>
          <w:szCs w:val="24"/>
          <w:lang w:val="fr-FR"/>
        </w:rPr>
      </w:pPr>
      <w:bookmarkStart w:id="341" w:name="_Toc202197671"/>
      <w:r w:rsidRPr="00A17D73">
        <w:rPr>
          <w:rFonts w:cs="Times New Roman"/>
          <w:szCs w:val="24"/>
          <w:lang w:val="fr-FR"/>
        </w:rPr>
        <w:t>Face-to-face dialogue</w:t>
      </w:r>
      <w:bookmarkEnd w:id="341"/>
    </w:p>
    <w:p w14:paraId="75A8CEB7" w14:textId="77777777" w:rsidR="000C7937" w:rsidRDefault="000C7937" w:rsidP="000C7937">
      <w:pPr>
        <w:spacing w:after="0"/>
        <w:ind w:left="0"/>
        <w:rPr>
          <w:rFonts w:cs="Times New Roman"/>
          <w:szCs w:val="24"/>
        </w:rPr>
      </w:pPr>
      <w:r w:rsidRPr="00A17D73">
        <w:rPr>
          <w:lang w:val="fr-FR"/>
        </w:rPr>
        <w:t xml:space="preserve">Nielsen et al. </w:t>
      </w:r>
      <w:r>
        <w:t>(2018) argued that effective communication helps to ensure that all parties understand each other's goals, concerns, and expectations. The authors further asserted that communication was essential for building social capital, which was crucial for effective participation in forest management</w:t>
      </w:r>
      <w:r>
        <w:rPr>
          <w:rFonts w:cs="Times New Roman"/>
          <w:szCs w:val="24"/>
        </w:rPr>
        <w:t xml:space="preserve">. </w:t>
      </w:r>
    </w:p>
    <w:p w14:paraId="680F4800" w14:textId="7F41671C" w:rsidR="000C7937" w:rsidRDefault="0048404C" w:rsidP="0048404C">
      <w:pPr>
        <w:spacing w:after="0"/>
        <w:ind w:left="0"/>
        <w:rPr>
          <w:rFonts w:cs="Times New Roman"/>
          <w:szCs w:val="24"/>
        </w:rPr>
      </w:pPr>
      <w:r>
        <w:rPr>
          <w:rFonts w:cs="Times New Roman"/>
          <w:szCs w:val="24"/>
        </w:rPr>
        <w:t>Concerning</w:t>
      </w:r>
      <w:r w:rsidR="000C7937" w:rsidRPr="0027541D">
        <w:rPr>
          <w:rFonts w:cs="Times New Roman"/>
          <w:szCs w:val="24"/>
        </w:rPr>
        <w:t xml:space="preserve"> the face-to-face dialogue in the Bobiri Forest Reserve, this study describe</w:t>
      </w:r>
      <w:r w:rsidR="00586B9E">
        <w:rPr>
          <w:rFonts w:cs="Times New Roman"/>
          <w:szCs w:val="24"/>
        </w:rPr>
        <w:t>s</w:t>
      </w:r>
      <w:r w:rsidR="000C7937" w:rsidRPr="0027541D">
        <w:rPr>
          <w:rFonts w:cs="Times New Roman"/>
          <w:szCs w:val="24"/>
        </w:rPr>
        <w:t xml:space="preserve"> how often the various stakeholders in the reserve met to undertake activities such as problem identification, objective setting, undertaking monitoring and evaluation, and providing feedback for effective management of the resource, as see</w:t>
      </w:r>
      <w:r w:rsidR="000C7937">
        <w:rPr>
          <w:rFonts w:cs="Times New Roman"/>
          <w:szCs w:val="24"/>
        </w:rPr>
        <w:t xml:space="preserve">n in the conceptual framework. In addition, the study attempted to ascertain whether community members understood the goals, concerns, and expectations of the process. </w:t>
      </w:r>
    </w:p>
    <w:p w14:paraId="2D4A1C37" w14:textId="6D58D87A" w:rsidR="000C7937" w:rsidRPr="0027541D" w:rsidRDefault="000C7937" w:rsidP="000C7937">
      <w:pPr>
        <w:spacing w:after="0"/>
        <w:ind w:left="0"/>
        <w:rPr>
          <w:rFonts w:cs="Times New Roman"/>
          <w:szCs w:val="24"/>
        </w:rPr>
      </w:pPr>
      <w:r>
        <w:rPr>
          <w:rFonts w:cs="Times New Roman"/>
          <w:szCs w:val="24"/>
        </w:rPr>
        <w:t xml:space="preserve">In the context of frequency of engagement, key informant 1 </w:t>
      </w:r>
      <w:r w:rsidR="00586B9E">
        <w:rPr>
          <w:rFonts w:cs="Times New Roman"/>
          <w:szCs w:val="24"/>
        </w:rPr>
        <w:t xml:space="preserve">from the FSD at the BFR </w:t>
      </w:r>
      <w:r w:rsidR="0048404C">
        <w:rPr>
          <w:rFonts w:cs="Times New Roman"/>
          <w:szCs w:val="24"/>
        </w:rPr>
        <w:t xml:space="preserve">on </w:t>
      </w:r>
      <w:r>
        <w:rPr>
          <w:rFonts w:cs="Times New Roman"/>
          <w:szCs w:val="24"/>
        </w:rPr>
        <w:t>6</w:t>
      </w:r>
      <w:r w:rsidRPr="00E35496">
        <w:rPr>
          <w:rFonts w:cs="Times New Roman"/>
          <w:szCs w:val="24"/>
          <w:vertAlign w:val="superscript"/>
        </w:rPr>
        <w:t>th</w:t>
      </w:r>
      <w:r>
        <w:rPr>
          <w:rFonts w:cs="Times New Roman"/>
          <w:szCs w:val="24"/>
        </w:rPr>
        <w:t xml:space="preserve"> February 2024 </w:t>
      </w:r>
      <w:r w:rsidRPr="0027541D">
        <w:rPr>
          <w:rFonts w:cs="Times New Roman"/>
          <w:szCs w:val="24"/>
        </w:rPr>
        <w:t>from the</w:t>
      </w:r>
      <w:bookmarkStart w:id="342" w:name="_Hlk152750167"/>
      <w:r w:rsidR="0048404C">
        <w:rPr>
          <w:rFonts w:cs="Times New Roman"/>
          <w:szCs w:val="24"/>
        </w:rPr>
        <w:t xml:space="preserve"> FSD</w:t>
      </w:r>
      <w:r w:rsidRPr="0027541D">
        <w:rPr>
          <w:rFonts w:cs="Times New Roman"/>
          <w:szCs w:val="24"/>
        </w:rPr>
        <w:t xml:space="preserve"> </w:t>
      </w:r>
      <w:bookmarkEnd w:id="342"/>
      <w:r w:rsidRPr="0027541D">
        <w:rPr>
          <w:rFonts w:cs="Times New Roman"/>
          <w:szCs w:val="24"/>
        </w:rPr>
        <w:t xml:space="preserve">revealed that </w:t>
      </w:r>
      <w:r>
        <w:rPr>
          <w:rFonts w:cs="Times New Roman"/>
          <w:szCs w:val="24"/>
        </w:rPr>
        <w:t>FC-FSD</w:t>
      </w:r>
      <w:r w:rsidRPr="0027541D">
        <w:rPr>
          <w:rFonts w:cs="Times New Roman"/>
          <w:szCs w:val="24"/>
        </w:rPr>
        <w:t>, in charge of timber production, d</w:t>
      </w:r>
      <w:r>
        <w:rPr>
          <w:rFonts w:cs="Times New Roman"/>
          <w:szCs w:val="24"/>
        </w:rPr>
        <w:t>id</w:t>
      </w:r>
      <w:r w:rsidRPr="0027541D">
        <w:rPr>
          <w:rFonts w:cs="Times New Roman"/>
          <w:szCs w:val="24"/>
        </w:rPr>
        <w:t xml:space="preserve"> not usually meet with the community people</w:t>
      </w:r>
      <w:r>
        <w:rPr>
          <w:rFonts w:cs="Times New Roman"/>
          <w:szCs w:val="24"/>
        </w:rPr>
        <w:t>,</w:t>
      </w:r>
      <w:r w:rsidRPr="0027541D">
        <w:rPr>
          <w:rFonts w:cs="Times New Roman"/>
          <w:szCs w:val="24"/>
        </w:rPr>
        <w:t xml:space="preserve"> but CSIR-FORIG d</w:t>
      </w:r>
      <w:r>
        <w:rPr>
          <w:rFonts w:cs="Times New Roman"/>
          <w:szCs w:val="24"/>
        </w:rPr>
        <w:t>id</w:t>
      </w:r>
      <w:r w:rsidRPr="0027541D">
        <w:rPr>
          <w:rFonts w:cs="Times New Roman"/>
          <w:szCs w:val="24"/>
        </w:rPr>
        <w:t xml:space="preserve">. The FSD </w:t>
      </w:r>
      <w:r>
        <w:rPr>
          <w:rFonts w:cs="Times New Roman"/>
          <w:szCs w:val="24"/>
        </w:rPr>
        <w:t>mostly</w:t>
      </w:r>
      <w:r w:rsidRPr="0027541D">
        <w:rPr>
          <w:rFonts w:cs="Times New Roman"/>
          <w:szCs w:val="24"/>
        </w:rPr>
        <w:t xml:space="preserve"> </w:t>
      </w:r>
      <w:r>
        <w:rPr>
          <w:rFonts w:cs="Times New Roman"/>
          <w:szCs w:val="24"/>
        </w:rPr>
        <w:t xml:space="preserve">engaged </w:t>
      </w:r>
      <w:r w:rsidRPr="0027541D">
        <w:rPr>
          <w:rFonts w:cs="Times New Roman"/>
          <w:szCs w:val="24"/>
        </w:rPr>
        <w:t>individuals</w:t>
      </w:r>
      <w:r w:rsidR="00586B9E">
        <w:rPr>
          <w:rFonts w:cs="Times New Roman"/>
          <w:szCs w:val="24"/>
        </w:rPr>
        <w:t xml:space="preserve"> who approached them with interests in</w:t>
      </w:r>
      <w:r w:rsidRPr="0027541D">
        <w:rPr>
          <w:rFonts w:cs="Times New Roman"/>
          <w:szCs w:val="24"/>
        </w:rPr>
        <w:t xml:space="preserve"> off-cuts, i.e., stumps of cut timber</w:t>
      </w:r>
      <w:r>
        <w:rPr>
          <w:rFonts w:cs="Times New Roman"/>
          <w:szCs w:val="24"/>
        </w:rPr>
        <w:t xml:space="preserve"> left in the reserve</w:t>
      </w:r>
      <w:r w:rsidR="00586B9E">
        <w:rPr>
          <w:rFonts w:cs="Times New Roman"/>
          <w:szCs w:val="24"/>
        </w:rPr>
        <w:t xml:space="preserve">, not the </w:t>
      </w:r>
      <w:proofErr w:type="gramStart"/>
      <w:r w:rsidR="00586B9E">
        <w:rPr>
          <w:rFonts w:cs="Times New Roman"/>
          <w:szCs w:val="24"/>
        </w:rPr>
        <w:t>community as a whole</w:t>
      </w:r>
      <w:proofErr w:type="gramEnd"/>
      <w:r w:rsidRPr="0027541D">
        <w:rPr>
          <w:rFonts w:cs="Times New Roman"/>
          <w:szCs w:val="24"/>
        </w:rPr>
        <w:t>. M</w:t>
      </w:r>
      <w:r w:rsidR="00586B9E">
        <w:rPr>
          <w:rFonts w:cs="Times New Roman"/>
          <w:szCs w:val="24"/>
        </w:rPr>
        <w:t>eanwhile</w:t>
      </w:r>
      <w:r w:rsidRPr="0027541D">
        <w:rPr>
          <w:rFonts w:cs="Times New Roman"/>
          <w:szCs w:val="24"/>
        </w:rPr>
        <w:t>, during the disbursement of</w:t>
      </w:r>
      <w:r w:rsidR="00586B9E">
        <w:rPr>
          <w:rFonts w:cs="Times New Roman"/>
          <w:szCs w:val="24"/>
        </w:rPr>
        <w:t xml:space="preserve"> funds</w:t>
      </w:r>
      <w:r>
        <w:rPr>
          <w:rFonts w:cs="Times New Roman"/>
          <w:szCs w:val="24"/>
        </w:rPr>
        <w:t xml:space="preserve"> under the </w:t>
      </w:r>
      <w:r w:rsidR="007C53E3">
        <w:rPr>
          <w:rFonts w:cs="Times New Roman"/>
          <w:szCs w:val="24"/>
        </w:rPr>
        <w:t>RGSRA policy (2016)</w:t>
      </w:r>
      <w:r>
        <w:rPr>
          <w:rFonts w:cs="Times New Roman"/>
          <w:szCs w:val="24"/>
        </w:rPr>
        <w:t>,</w:t>
      </w:r>
      <w:r w:rsidRPr="0027541D">
        <w:rPr>
          <w:rFonts w:cs="Times New Roman"/>
          <w:szCs w:val="24"/>
        </w:rPr>
        <w:t xml:space="preserve"> FSD </w:t>
      </w:r>
      <w:r w:rsidR="0048404C">
        <w:rPr>
          <w:rFonts w:cs="Times New Roman"/>
          <w:szCs w:val="24"/>
        </w:rPr>
        <w:t>seiz</w:t>
      </w:r>
      <w:r>
        <w:rPr>
          <w:rFonts w:cs="Times New Roman"/>
          <w:szCs w:val="24"/>
        </w:rPr>
        <w:t>ed the opportu</w:t>
      </w:r>
      <w:r w:rsidRPr="0027541D">
        <w:rPr>
          <w:rFonts w:cs="Times New Roman"/>
          <w:szCs w:val="24"/>
        </w:rPr>
        <w:t>nity to engage the community</w:t>
      </w:r>
      <w:r>
        <w:rPr>
          <w:rFonts w:cs="Times New Roman"/>
          <w:szCs w:val="24"/>
        </w:rPr>
        <w:t>. Overall, the FSD at Bobiri</w:t>
      </w:r>
      <w:r w:rsidRPr="0027541D">
        <w:rPr>
          <w:rFonts w:cs="Times New Roman"/>
          <w:szCs w:val="24"/>
        </w:rPr>
        <w:t xml:space="preserve"> d</w:t>
      </w:r>
      <w:r>
        <w:rPr>
          <w:rFonts w:cs="Times New Roman"/>
          <w:szCs w:val="24"/>
        </w:rPr>
        <w:t>id</w:t>
      </w:r>
      <w:r w:rsidRPr="0027541D">
        <w:rPr>
          <w:rFonts w:cs="Times New Roman"/>
          <w:szCs w:val="24"/>
        </w:rPr>
        <w:t xml:space="preserve"> not engage</w:t>
      </w:r>
      <w:r>
        <w:rPr>
          <w:rFonts w:cs="Times New Roman"/>
          <w:szCs w:val="24"/>
        </w:rPr>
        <w:t xml:space="preserve"> the community to make them understand the goals and responsibilities inherent in the management processes, contrary to the short-term objective of the FDMP (2016-2036) which </w:t>
      </w:r>
      <w:r>
        <w:rPr>
          <w:rFonts w:cs="Times New Roman"/>
          <w:szCs w:val="24"/>
        </w:rPr>
        <w:lastRenderedPageBreak/>
        <w:t>sought to increase community participation in the decision-making processes in forest governance.</w:t>
      </w:r>
    </w:p>
    <w:p w14:paraId="0F293942" w14:textId="213F73A6" w:rsidR="000C7937" w:rsidRDefault="000C7937" w:rsidP="000C7937">
      <w:pPr>
        <w:spacing w:after="0"/>
        <w:ind w:left="0" w:firstLine="0"/>
        <w:rPr>
          <w:rFonts w:cs="Times New Roman"/>
          <w:szCs w:val="24"/>
        </w:rPr>
      </w:pPr>
      <w:r>
        <w:rPr>
          <w:rFonts w:cs="Times New Roman"/>
          <w:szCs w:val="24"/>
        </w:rPr>
        <w:tab/>
      </w:r>
      <w:r w:rsidRPr="0027541D">
        <w:rPr>
          <w:rFonts w:cs="Times New Roman"/>
          <w:szCs w:val="24"/>
        </w:rPr>
        <w:t xml:space="preserve">In the same vein, </w:t>
      </w:r>
      <w:r>
        <w:rPr>
          <w:rFonts w:cs="Times New Roman"/>
          <w:szCs w:val="24"/>
        </w:rPr>
        <w:t xml:space="preserve">key informant </w:t>
      </w:r>
      <w:r w:rsidR="0048404C">
        <w:rPr>
          <w:rFonts w:cs="Times New Roman"/>
          <w:szCs w:val="24"/>
        </w:rPr>
        <w:t>3</w:t>
      </w:r>
      <w:r>
        <w:rPr>
          <w:rFonts w:cs="Times New Roman"/>
          <w:szCs w:val="24"/>
        </w:rPr>
        <w:t xml:space="preserve"> </w:t>
      </w:r>
      <w:r w:rsidRPr="0027541D">
        <w:rPr>
          <w:rFonts w:cs="Times New Roman"/>
          <w:szCs w:val="24"/>
        </w:rPr>
        <w:t xml:space="preserve">from the </w:t>
      </w:r>
      <w:r>
        <w:rPr>
          <w:rFonts w:cs="Times New Roman"/>
          <w:szCs w:val="24"/>
        </w:rPr>
        <w:t>D.A.</w:t>
      </w:r>
      <w:r w:rsidR="0048404C">
        <w:rPr>
          <w:rFonts w:cs="Times New Roman"/>
          <w:szCs w:val="24"/>
        </w:rPr>
        <w:t xml:space="preserve"> </w:t>
      </w:r>
      <w:r w:rsidR="00586B9E">
        <w:rPr>
          <w:rFonts w:cs="Times New Roman"/>
          <w:szCs w:val="24"/>
        </w:rPr>
        <w:t xml:space="preserve">at the BFR </w:t>
      </w:r>
      <w:r w:rsidR="0048404C">
        <w:rPr>
          <w:rFonts w:cs="Times New Roman"/>
          <w:szCs w:val="24"/>
        </w:rPr>
        <w:t>on 8</w:t>
      </w:r>
      <w:r w:rsidR="0048404C" w:rsidRPr="0048404C">
        <w:rPr>
          <w:rFonts w:cs="Times New Roman"/>
          <w:szCs w:val="24"/>
          <w:vertAlign w:val="superscript"/>
        </w:rPr>
        <w:t>th</w:t>
      </w:r>
      <w:r w:rsidR="0048404C">
        <w:rPr>
          <w:rFonts w:cs="Times New Roman"/>
          <w:szCs w:val="24"/>
        </w:rPr>
        <w:t xml:space="preserve"> February 2024</w:t>
      </w:r>
      <w:r w:rsidRPr="0027541D">
        <w:rPr>
          <w:rFonts w:cs="Times New Roman"/>
          <w:szCs w:val="24"/>
        </w:rPr>
        <w:t xml:space="preserve"> </w:t>
      </w:r>
      <w:r>
        <w:rPr>
          <w:rFonts w:cs="Times New Roman"/>
          <w:szCs w:val="24"/>
        </w:rPr>
        <w:t xml:space="preserve">revealed that </w:t>
      </w:r>
      <w:r w:rsidRPr="0027541D">
        <w:rPr>
          <w:rFonts w:cs="Times New Roman"/>
          <w:szCs w:val="24"/>
        </w:rPr>
        <w:t xml:space="preserve">engagements were </w:t>
      </w:r>
      <w:r>
        <w:rPr>
          <w:rFonts w:cs="Times New Roman"/>
          <w:szCs w:val="24"/>
        </w:rPr>
        <w:t>primari</w:t>
      </w:r>
      <w:r w:rsidRPr="0027541D">
        <w:rPr>
          <w:rFonts w:cs="Times New Roman"/>
          <w:szCs w:val="24"/>
        </w:rPr>
        <w:t xml:space="preserve">ly undertaken yearly and </w:t>
      </w:r>
      <w:r>
        <w:rPr>
          <w:rFonts w:cs="Times New Roman"/>
          <w:szCs w:val="24"/>
        </w:rPr>
        <w:t>were</w:t>
      </w:r>
      <w:r w:rsidRPr="0027541D">
        <w:rPr>
          <w:rFonts w:cs="Times New Roman"/>
          <w:szCs w:val="24"/>
        </w:rPr>
        <w:t xml:space="preserve"> conducted by CSIR-FORIG, the research arm </w:t>
      </w:r>
      <w:r w:rsidR="00586B9E">
        <w:rPr>
          <w:rFonts w:cs="Times New Roman"/>
          <w:szCs w:val="24"/>
        </w:rPr>
        <w:t>at the BFR</w:t>
      </w:r>
      <w:r>
        <w:rPr>
          <w:rFonts w:cs="Times New Roman"/>
          <w:szCs w:val="24"/>
        </w:rPr>
        <w:t xml:space="preserve">. However, these engagements were undertaken among the FC-FSD, </w:t>
      </w:r>
      <w:r w:rsidRPr="0027541D">
        <w:rPr>
          <w:rFonts w:cs="Times New Roman"/>
          <w:szCs w:val="24"/>
        </w:rPr>
        <w:t>traditional authorities, ass</w:t>
      </w:r>
      <w:r>
        <w:rPr>
          <w:rFonts w:cs="Times New Roman"/>
          <w:szCs w:val="24"/>
        </w:rPr>
        <w:t>embly members,</w:t>
      </w:r>
      <w:r w:rsidRPr="0027541D">
        <w:rPr>
          <w:rFonts w:cs="Times New Roman"/>
          <w:szCs w:val="24"/>
        </w:rPr>
        <w:t xml:space="preserve"> and unit committee members. In support</w:t>
      </w:r>
      <w:r>
        <w:rPr>
          <w:rFonts w:cs="Times New Roman"/>
          <w:szCs w:val="24"/>
        </w:rPr>
        <w:t xml:space="preserve">, key informant </w:t>
      </w:r>
      <w:r w:rsidR="0048404C">
        <w:rPr>
          <w:rFonts w:cs="Times New Roman"/>
          <w:szCs w:val="24"/>
        </w:rPr>
        <w:t>7</w:t>
      </w:r>
      <w:r>
        <w:rPr>
          <w:rFonts w:cs="Times New Roman"/>
          <w:szCs w:val="24"/>
        </w:rPr>
        <w:t xml:space="preserve"> from the</w:t>
      </w:r>
      <w:r w:rsidRPr="0027541D">
        <w:rPr>
          <w:rFonts w:cs="Times New Roman"/>
          <w:szCs w:val="24"/>
        </w:rPr>
        <w:t xml:space="preserve"> traditional authority </w:t>
      </w:r>
      <w:r w:rsidR="00586B9E">
        <w:rPr>
          <w:rFonts w:cs="Times New Roman"/>
          <w:szCs w:val="24"/>
        </w:rPr>
        <w:t xml:space="preserve">at the BFR </w:t>
      </w:r>
      <w:r w:rsidR="0048404C">
        <w:rPr>
          <w:rFonts w:cs="Times New Roman"/>
          <w:szCs w:val="24"/>
        </w:rPr>
        <w:t>on 26</w:t>
      </w:r>
      <w:r w:rsidR="0048404C" w:rsidRPr="0048404C">
        <w:rPr>
          <w:rFonts w:cs="Times New Roman"/>
          <w:szCs w:val="24"/>
          <w:vertAlign w:val="superscript"/>
        </w:rPr>
        <w:t>th</w:t>
      </w:r>
      <w:r w:rsidR="0048404C">
        <w:rPr>
          <w:rFonts w:cs="Times New Roman"/>
          <w:szCs w:val="24"/>
        </w:rPr>
        <w:t xml:space="preserve"> February 2024 </w:t>
      </w:r>
      <w:r w:rsidRPr="0027541D">
        <w:rPr>
          <w:rFonts w:cs="Times New Roman"/>
          <w:szCs w:val="24"/>
        </w:rPr>
        <w:t xml:space="preserve">further </w:t>
      </w:r>
      <w:r w:rsidR="0048404C">
        <w:rPr>
          <w:rFonts w:cs="Times New Roman"/>
          <w:szCs w:val="24"/>
        </w:rPr>
        <w:t>noted</w:t>
      </w:r>
      <w:r w:rsidRPr="0027541D">
        <w:rPr>
          <w:rFonts w:cs="Times New Roman"/>
          <w:szCs w:val="24"/>
        </w:rPr>
        <w:t xml:space="preserve"> that the FC-FSD engaged the people when there was a need to pass on information. The authority added that, during these engagements, FC-FSD listen</w:t>
      </w:r>
      <w:r>
        <w:rPr>
          <w:rFonts w:cs="Times New Roman"/>
          <w:szCs w:val="24"/>
        </w:rPr>
        <w:t>ed</w:t>
      </w:r>
      <w:r w:rsidRPr="0027541D">
        <w:rPr>
          <w:rFonts w:cs="Times New Roman"/>
          <w:szCs w:val="24"/>
        </w:rPr>
        <w:t xml:space="preserve"> to what</w:t>
      </w:r>
      <w:r w:rsidR="00586B9E">
        <w:rPr>
          <w:rFonts w:cs="Times New Roman"/>
          <w:szCs w:val="24"/>
        </w:rPr>
        <w:t xml:space="preserve"> they</w:t>
      </w:r>
      <w:r w:rsidRPr="0027541D">
        <w:rPr>
          <w:rFonts w:cs="Times New Roman"/>
          <w:szCs w:val="24"/>
        </w:rPr>
        <w:t xml:space="preserve"> ha</w:t>
      </w:r>
      <w:r>
        <w:rPr>
          <w:rFonts w:cs="Times New Roman"/>
          <w:szCs w:val="24"/>
        </w:rPr>
        <w:t>d</w:t>
      </w:r>
      <w:r w:rsidRPr="0027541D">
        <w:rPr>
          <w:rFonts w:cs="Times New Roman"/>
          <w:szCs w:val="24"/>
        </w:rPr>
        <w:t xml:space="preserve"> to say concerning the issue</w:t>
      </w:r>
      <w:r>
        <w:rPr>
          <w:rFonts w:cs="Times New Roman"/>
          <w:szCs w:val="24"/>
        </w:rPr>
        <w:t>.</w:t>
      </w:r>
      <w:r w:rsidRPr="0027541D">
        <w:rPr>
          <w:rFonts w:cs="Times New Roman"/>
          <w:szCs w:val="24"/>
        </w:rPr>
        <w:t xml:space="preserve"> </w:t>
      </w:r>
      <w:r w:rsidR="0048404C">
        <w:rPr>
          <w:rFonts w:cs="Times New Roman"/>
          <w:szCs w:val="24"/>
        </w:rPr>
        <w:t xml:space="preserve">Focus </w:t>
      </w:r>
      <w:r>
        <w:rPr>
          <w:rFonts w:cs="Times New Roman"/>
          <w:szCs w:val="24"/>
        </w:rPr>
        <w:t xml:space="preserve">group discussion </w:t>
      </w:r>
      <w:r w:rsidR="0048404C">
        <w:rPr>
          <w:rFonts w:cs="Times New Roman"/>
          <w:szCs w:val="24"/>
        </w:rPr>
        <w:t>1</w:t>
      </w:r>
      <w:r w:rsidR="00586B9E">
        <w:rPr>
          <w:rFonts w:cs="Times New Roman"/>
          <w:szCs w:val="24"/>
        </w:rPr>
        <w:t xml:space="preserve">, comprising cocoa farmers in </w:t>
      </w:r>
      <w:proofErr w:type="spellStart"/>
      <w:r w:rsidR="00586B9E">
        <w:rPr>
          <w:rFonts w:cs="Times New Roman"/>
          <w:szCs w:val="24"/>
        </w:rPr>
        <w:t>Krofrom</w:t>
      </w:r>
      <w:proofErr w:type="spellEnd"/>
      <w:r w:rsidR="00586B9E">
        <w:rPr>
          <w:rFonts w:cs="Times New Roman"/>
          <w:szCs w:val="24"/>
        </w:rPr>
        <w:t xml:space="preserve"> at the BFR</w:t>
      </w:r>
      <w:r w:rsidR="0048404C">
        <w:rPr>
          <w:rFonts w:cs="Times New Roman"/>
          <w:szCs w:val="24"/>
        </w:rPr>
        <w:t xml:space="preserve"> on 16</w:t>
      </w:r>
      <w:r w:rsidR="0048404C" w:rsidRPr="0048404C">
        <w:rPr>
          <w:rFonts w:cs="Times New Roman"/>
          <w:szCs w:val="24"/>
          <w:vertAlign w:val="superscript"/>
        </w:rPr>
        <w:t>th</w:t>
      </w:r>
      <w:r w:rsidR="0048404C">
        <w:rPr>
          <w:rFonts w:cs="Times New Roman"/>
          <w:szCs w:val="24"/>
        </w:rPr>
        <w:t xml:space="preserve"> February 2024 </w:t>
      </w:r>
      <w:r>
        <w:rPr>
          <w:rFonts w:cs="Times New Roman"/>
          <w:szCs w:val="24"/>
        </w:rPr>
        <w:t>corroborated this statement</w:t>
      </w:r>
      <w:r w:rsidRPr="0027541D">
        <w:rPr>
          <w:rFonts w:cs="Times New Roman"/>
          <w:szCs w:val="24"/>
        </w:rPr>
        <w:t xml:space="preserve">. The group maintained that the FC-FSD usually met the community when </w:t>
      </w:r>
      <w:r>
        <w:rPr>
          <w:rFonts w:cs="Times New Roman"/>
          <w:szCs w:val="24"/>
        </w:rPr>
        <w:t xml:space="preserve">issues such as illegal lumbering were </w:t>
      </w:r>
      <w:r w:rsidR="0048404C">
        <w:rPr>
          <w:rFonts w:cs="Times New Roman"/>
          <w:szCs w:val="24"/>
        </w:rPr>
        <w:t>prevalent</w:t>
      </w:r>
      <w:r w:rsidRPr="0027541D">
        <w:rPr>
          <w:rFonts w:cs="Times New Roman"/>
          <w:szCs w:val="24"/>
        </w:rPr>
        <w:t xml:space="preserve">.  </w:t>
      </w:r>
    </w:p>
    <w:p w14:paraId="3B865332" w14:textId="54CF645C" w:rsidR="000C7937" w:rsidRDefault="000C7937" w:rsidP="0048404C">
      <w:pPr>
        <w:spacing w:after="0"/>
        <w:ind w:left="0"/>
        <w:rPr>
          <w:rFonts w:cs="Times New Roman"/>
          <w:szCs w:val="24"/>
        </w:rPr>
      </w:pPr>
      <w:r w:rsidRPr="0027541D">
        <w:rPr>
          <w:rFonts w:cs="Times New Roman"/>
          <w:szCs w:val="24"/>
        </w:rPr>
        <w:t xml:space="preserve">In another breath, </w:t>
      </w:r>
      <w:r w:rsidR="0048404C">
        <w:rPr>
          <w:rFonts w:cs="Times New Roman"/>
          <w:szCs w:val="24"/>
        </w:rPr>
        <w:t xml:space="preserve">key informant 6 from the </w:t>
      </w:r>
      <w:r w:rsidRPr="0027541D">
        <w:rPr>
          <w:rFonts w:cs="Times New Roman"/>
          <w:szCs w:val="24"/>
        </w:rPr>
        <w:t xml:space="preserve">traditional </w:t>
      </w:r>
      <w:r w:rsidR="0048404C">
        <w:rPr>
          <w:rFonts w:cs="Times New Roman"/>
          <w:szCs w:val="24"/>
        </w:rPr>
        <w:t>authority</w:t>
      </w:r>
      <w:r w:rsidRPr="0027541D">
        <w:rPr>
          <w:rFonts w:cs="Times New Roman"/>
          <w:szCs w:val="24"/>
        </w:rPr>
        <w:t xml:space="preserve"> </w:t>
      </w:r>
      <w:r w:rsidR="00586B9E">
        <w:rPr>
          <w:rFonts w:cs="Times New Roman"/>
          <w:szCs w:val="24"/>
        </w:rPr>
        <w:t xml:space="preserve">at the BFR </w:t>
      </w:r>
      <w:r w:rsidR="0048404C">
        <w:rPr>
          <w:rFonts w:cs="Times New Roman"/>
          <w:szCs w:val="24"/>
        </w:rPr>
        <w:t>stated</w:t>
      </w:r>
      <w:r>
        <w:rPr>
          <w:rFonts w:cs="Times New Roman"/>
          <w:szCs w:val="24"/>
        </w:rPr>
        <w:t xml:space="preserve"> the following. </w:t>
      </w:r>
    </w:p>
    <w:p w14:paraId="2B32842D" w14:textId="46ED6EAD" w:rsidR="000C7937" w:rsidRPr="0027541D" w:rsidRDefault="000C7937" w:rsidP="000C7937">
      <w:pPr>
        <w:spacing w:after="0"/>
        <w:ind w:right="746" w:firstLine="0"/>
        <w:rPr>
          <w:rFonts w:cs="Times New Roman"/>
          <w:i/>
          <w:iCs/>
          <w:szCs w:val="24"/>
        </w:rPr>
      </w:pPr>
      <w:r w:rsidRPr="00355930">
        <w:rPr>
          <w:rFonts w:cs="Times New Roman"/>
          <w:i/>
          <w:iCs/>
          <w:szCs w:val="24"/>
        </w:rPr>
        <w:t>Since I ascended the throne, we have only met the FC-FSD</w:t>
      </w:r>
      <w:r w:rsidRPr="0027541D">
        <w:rPr>
          <w:rFonts w:cs="Times New Roman"/>
          <w:i/>
          <w:iCs/>
          <w:szCs w:val="24"/>
        </w:rPr>
        <w:t xml:space="preserve"> about three weeks before your arrival. They met us with dignitaries from other countries to </w:t>
      </w:r>
      <w:r>
        <w:rPr>
          <w:rFonts w:cs="Times New Roman"/>
          <w:i/>
          <w:iCs/>
          <w:szCs w:val="24"/>
        </w:rPr>
        <w:t xml:space="preserve">determine </w:t>
      </w:r>
      <w:r w:rsidRPr="0027541D">
        <w:rPr>
          <w:rFonts w:cs="Times New Roman"/>
          <w:i/>
          <w:iCs/>
          <w:szCs w:val="24"/>
        </w:rPr>
        <w:t>how best the reserve could be conserved</w:t>
      </w:r>
      <w:r>
        <w:rPr>
          <w:rFonts w:cs="Times New Roman"/>
          <w:i/>
          <w:iCs/>
          <w:szCs w:val="24"/>
        </w:rPr>
        <w:t xml:space="preserve"> (Key informant </w:t>
      </w:r>
      <w:r w:rsidR="0048404C">
        <w:rPr>
          <w:rFonts w:cs="Times New Roman"/>
          <w:i/>
          <w:iCs/>
          <w:szCs w:val="24"/>
        </w:rPr>
        <w:t>6</w:t>
      </w:r>
      <w:r>
        <w:rPr>
          <w:rFonts w:cs="Times New Roman"/>
          <w:i/>
          <w:iCs/>
          <w:szCs w:val="24"/>
        </w:rPr>
        <w:t>, 9</w:t>
      </w:r>
      <w:r w:rsidRPr="00E11995">
        <w:rPr>
          <w:rFonts w:cs="Times New Roman"/>
          <w:i/>
          <w:iCs/>
          <w:szCs w:val="24"/>
          <w:vertAlign w:val="superscript"/>
        </w:rPr>
        <w:t>th</w:t>
      </w:r>
      <w:r>
        <w:rPr>
          <w:rFonts w:cs="Times New Roman"/>
          <w:i/>
          <w:iCs/>
          <w:szCs w:val="24"/>
        </w:rPr>
        <w:t xml:space="preserve"> February 2024).</w:t>
      </w:r>
    </w:p>
    <w:p w14:paraId="4C05721C" w14:textId="0CEF864B" w:rsidR="000C7937" w:rsidRPr="0027541D" w:rsidRDefault="000C7937" w:rsidP="000C7937">
      <w:pPr>
        <w:spacing w:after="0"/>
        <w:ind w:left="0" w:firstLine="0"/>
      </w:pPr>
      <w:r>
        <w:tab/>
      </w:r>
      <w:r w:rsidRPr="0027541D">
        <w:t>The</w:t>
      </w:r>
      <w:r>
        <w:t xml:space="preserve"> key informants confirmed these statements</w:t>
      </w:r>
      <w:r w:rsidRPr="0027541D">
        <w:t xml:space="preserve"> by </w:t>
      </w:r>
      <w:proofErr w:type="gramStart"/>
      <w:r>
        <w:t xml:space="preserve">the </w:t>
      </w:r>
      <w:r w:rsidRPr="0027541D">
        <w:t>majority of</w:t>
      </w:r>
      <w:proofErr w:type="gramEnd"/>
      <w:r w:rsidRPr="0027541D">
        <w:t xml:space="preserve"> the community members</w:t>
      </w:r>
      <w:r>
        <w:t>,</w:t>
      </w:r>
      <w:r w:rsidRPr="0027541D">
        <w:t xml:space="preserve"> who maintained that there ha</w:t>
      </w:r>
      <w:r>
        <w:t>d never been a meeting between the FC-FSD and community members. However, these engagements m</w:t>
      </w:r>
      <w:r w:rsidR="00586B9E">
        <w:t>ight</w:t>
      </w:r>
      <w:r>
        <w:t xml:space="preserve"> have been with lead stakeholders even if they had occurred</w:t>
      </w:r>
      <w:r w:rsidRPr="0027541D">
        <w:t xml:space="preserve">. </w:t>
      </w:r>
    </w:p>
    <w:p w14:paraId="07F78C1E" w14:textId="1191A31A" w:rsidR="000C7937" w:rsidRPr="0027541D" w:rsidRDefault="000C7937" w:rsidP="000C7937">
      <w:pPr>
        <w:spacing w:after="0"/>
        <w:ind w:left="0" w:firstLine="0"/>
      </w:pPr>
      <w:r>
        <w:lastRenderedPageBreak/>
        <w:tab/>
      </w:r>
      <w:r w:rsidRPr="0027541D">
        <w:t xml:space="preserve">From the discussions, it could be noted that the key informants </w:t>
      </w:r>
      <w:r>
        <w:t>believed</w:t>
      </w:r>
      <w:r w:rsidRPr="0027541D">
        <w:t xml:space="preserve"> that there was some form of engagement between the various stakeholders in the reserve</w:t>
      </w:r>
      <w:r>
        <w:t>,</w:t>
      </w:r>
      <w:r w:rsidRPr="0027541D">
        <w:t xml:space="preserve"> yet these engagements were </w:t>
      </w:r>
      <w:r w:rsidR="00EE58E8">
        <w:t xml:space="preserve">based </w:t>
      </w:r>
      <w:r w:rsidRPr="0027541D">
        <w:t xml:space="preserve">on </w:t>
      </w:r>
      <w:r w:rsidR="00EE58E8">
        <w:t>the</w:t>
      </w:r>
      <w:r w:rsidRPr="0027541D">
        <w:t xml:space="preserve"> need</w:t>
      </w:r>
      <w:r w:rsidR="00EE58E8">
        <w:t>s</w:t>
      </w:r>
      <w:r w:rsidRPr="0027541D">
        <w:t xml:space="preserve"> </w:t>
      </w:r>
      <w:r w:rsidR="00EE58E8">
        <w:t>of</w:t>
      </w:r>
      <w:r w:rsidRPr="0027541D">
        <w:t xml:space="preserve"> FC-FSD. The FC-FSD usually met these communities to engage on issues such as illegal lumbering </w:t>
      </w:r>
      <w:r w:rsidR="00EE58E8">
        <w:t xml:space="preserve">which tends to reduce the revenue generated from the sale of timber. </w:t>
      </w:r>
      <w:r w:rsidRPr="0027541D">
        <w:t>It was also revealed that, although there was a form of engagement, it was m</w:t>
      </w:r>
      <w:r w:rsidR="00EE58E8">
        <w:t>ostly</w:t>
      </w:r>
      <w:r w:rsidRPr="0027541D">
        <w:t xml:space="preserve"> between the CSIR-FORIG and FC-FSD, </w:t>
      </w:r>
      <w:r w:rsidR="00EE58E8">
        <w:t>D.A.</w:t>
      </w:r>
      <w:r w:rsidRPr="0027541D">
        <w:t xml:space="preserve"> and the traditional authority.</w:t>
      </w:r>
    </w:p>
    <w:p w14:paraId="3EC71C9C" w14:textId="4BC62254" w:rsidR="000C7937" w:rsidRPr="0027541D" w:rsidRDefault="000C7937" w:rsidP="000C7937">
      <w:pPr>
        <w:spacing w:after="0"/>
        <w:ind w:left="0" w:firstLine="0"/>
      </w:pPr>
      <w:r>
        <w:tab/>
      </w:r>
      <w:r w:rsidRPr="0027541D">
        <w:t xml:space="preserve">The situation was not different in the </w:t>
      </w:r>
      <w:r>
        <w:t>S</w:t>
      </w:r>
      <w:r w:rsidRPr="0027541D">
        <w:t xml:space="preserve">outhern </w:t>
      </w:r>
      <w:r>
        <w:t>S</w:t>
      </w:r>
      <w:r w:rsidRPr="0027541D">
        <w:t xml:space="preserve">carp </w:t>
      </w:r>
      <w:r>
        <w:t>F</w:t>
      </w:r>
      <w:r w:rsidRPr="0027541D">
        <w:t xml:space="preserve">orest </w:t>
      </w:r>
      <w:r>
        <w:t>R</w:t>
      </w:r>
      <w:r w:rsidRPr="0027541D">
        <w:t xml:space="preserve">eserve. In the context of </w:t>
      </w:r>
      <w:r>
        <w:t xml:space="preserve">the </w:t>
      </w:r>
      <w:r w:rsidRPr="0027541D">
        <w:t xml:space="preserve">frequency of engagements, </w:t>
      </w:r>
      <w:r>
        <w:t>key informant</w:t>
      </w:r>
      <w:r w:rsidRPr="0027541D">
        <w:t xml:space="preserve"> </w:t>
      </w:r>
      <w:r w:rsidR="0048404C">
        <w:t>11</w:t>
      </w:r>
      <w:r>
        <w:t xml:space="preserve"> </w:t>
      </w:r>
      <w:r w:rsidRPr="0027541D">
        <w:t xml:space="preserve">from </w:t>
      </w:r>
      <w:r>
        <w:t xml:space="preserve">the FSD </w:t>
      </w:r>
      <w:r w:rsidR="00677EF0">
        <w:t xml:space="preserve">at the SSFR </w:t>
      </w:r>
      <w:r w:rsidR="0048404C">
        <w:t>on 12</w:t>
      </w:r>
      <w:r w:rsidR="0048404C" w:rsidRPr="0048404C">
        <w:rPr>
          <w:vertAlign w:val="superscript"/>
        </w:rPr>
        <w:t>th</w:t>
      </w:r>
      <w:r w:rsidR="0048404C">
        <w:t xml:space="preserve"> March 2024 </w:t>
      </w:r>
      <w:r w:rsidRPr="0027541D">
        <w:t>noted that the</w:t>
      </w:r>
      <w:r w:rsidR="0048404C">
        <w:t xml:space="preserve"> FSD</w:t>
      </w:r>
      <w:r w:rsidRPr="0027541D">
        <w:t xml:space="preserve"> usually met the stakeholders about twice every month</w:t>
      </w:r>
      <w:r>
        <w:t>. T</w:t>
      </w:r>
      <w:r w:rsidRPr="0027541D">
        <w:t xml:space="preserve">hese engagements could not be described as quality because they </w:t>
      </w:r>
      <w:r>
        <w:t xml:space="preserve">had </w:t>
      </w:r>
      <w:r w:rsidRPr="0027541D">
        <w:t>just begun</w:t>
      </w:r>
      <w:r w:rsidR="00677EF0">
        <w:t xml:space="preserve"> about three years ago</w:t>
      </w:r>
      <w:r w:rsidRPr="0027541D">
        <w:t>. Engagement with stakeholders, especially community members</w:t>
      </w:r>
      <w:r>
        <w:t>, increased only when more issues wer</w:t>
      </w:r>
      <w:r w:rsidRPr="0027541D">
        <w:t>e discussed or resolved.</w:t>
      </w:r>
      <w:r>
        <w:t xml:space="preserve"> Notwithstanding, </w:t>
      </w:r>
      <w:r w:rsidR="00677EF0">
        <w:t>stakeholder engagements</w:t>
      </w:r>
      <w:r>
        <w:t xml:space="preserve"> did not seek to undergo the processes of building trust among stakeholders, but to mostly relay information.   </w:t>
      </w:r>
    </w:p>
    <w:p w14:paraId="77A171F9" w14:textId="394620F7" w:rsidR="000C7937" w:rsidRPr="0027541D" w:rsidRDefault="000C7937" w:rsidP="000C7937">
      <w:pPr>
        <w:spacing w:after="0"/>
        <w:ind w:left="0" w:firstLine="0"/>
      </w:pPr>
      <w:r>
        <w:tab/>
      </w:r>
      <w:r w:rsidRPr="0027541D">
        <w:t xml:space="preserve">The </w:t>
      </w:r>
      <w:r>
        <w:t xml:space="preserve">key </w:t>
      </w:r>
      <w:r w:rsidRPr="0027541D">
        <w:t>informa</w:t>
      </w:r>
      <w:r>
        <w:t>nt 1</w:t>
      </w:r>
      <w:r w:rsidR="0048404C">
        <w:t>2</w:t>
      </w:r>
      <w:r w:rsidRPr="0027541D">
        <w:t xml:space="preserve"> from the D</w:t>
      </w:r>
      <w:r>
        <w:t>.</w:t>
      </w:r>
      <w:r w:rsidRPr="0027541D">
        <w:t>A</w:t>
      </w:r>
      <w:r>
        <w:t>.</w:t>
      </w:r>
      <w:r w:rsidRPr="0027541D">
        <w:t xml:space="preserve"> </w:t>
      </w:r>
      <w:r w:rsidR="00677EF0">
        <w:t xml:space="preserve">at the SSFR </w:t>
      </w:r>
      <w:r w:rsidR="0048404C">
        <w:t>on 12</w:t>
      </w:r>
      <w:r w:rsidR="0048404C" w:rsidRPr="0048404C">
        <w:rPr>
          <w:vertAlign w:val="superscript"/>
        </w:rPr>
        <w:t>th</w:t>
      </w:r>
      <w:r w:rsidR="0048404C">
        <w:t xml:space="preserve"> March 2024 </w:t>
      </w:r>
      <w:r w:rsidRPr="0027541D">
        <w:t xml:space="preserve">had a different view from that expressed by the </w:t>
      </w:r>
      <w:r>
        <w:t>FSD</w:t>
      </w:r>
      <w:r w:rsidRPr="0027541D">
        <w:t xml:space="preserve">, which maintained that the </w:t>
      </w:r>
      <w:r>
        <w:t>FSD</w:t>
      </w:r>
      <w:r w:rsidRPr="0027541D">
        <w:t xml:space="preserve"> d</w:t>
      </w:r>
      <w:r>
        <w:t>id</w:t>
      </w:r>
      <w:r w:rsidRPr="0027541D">
        <w:t xml:space="preserve"> not engage the community. The</w:t>
      </w:r>
      <w:r w:rsidR="00CB7BB7">
        <w:t>y</w:t>
      </w:r>
      <w:r w:rsidRPr="0027541D">
        <w:t xml:space="preserve"> only engage</w:t>
      </w:r>
      <w:r>
        <w:t>d</w:t>
      </w:r>
      <w:r w:rsidRPr="0027541D">
        <w:t xml:space="preserve"> the assembly</w:t>
      </w:r>
      <w:r>
        <w:t xml:space="preserve"> </w:t>
      </w:r>
      <w:r w:rsidRPr="0027541D">
        <w:t>and unit committee members. The</w:t>
      </w:r>
      <w:r w:rsidR="0048404C">
        <w:t xml:space="preserve"> FSD</w:t>
      </w:r>
      <w:r w:rsidRPr="0027541D">
        <w:t xml:space="preserve"> c</w:t>
      </w:r>
      <w:r w:rsidR="00677EF0">
        <w:t>a</w:t>
      </w:r>
      <w:r w:rsidRPr="0027541D">
        <w:t>me with announcements and d</w:t>
      </w:r>
      <w:r w:rsidR="00677EF0">
        <w:t>id</w:t>
      </w:r>
      <w:r w:rsidRPr="0027541D">
        <w:t xml:space="preserve"> not engage. This</w:t>
      </w:r>
      <w:r>
        <w:t xml:space="preserve"> was</w:t>
      </w:r>
      <w:r w:rsidRPr="0027541D">
        <w:t xml:space="preserve"> because the</w:t>
      </w:r>
      <w:r w:rsidR="0048404C">
        <w:t xml:space="preserve"> personnel</w:t>
      </w:r>
      <w:r w:rsidRPr="0027541D">
        <w:t xml:space="preserve"> d</w:t>
      </w:r>
      <w:r>
        <w:t>id</w:t>
      </w:r>
      <w:r w:rsidRPr="0027541D">
        <w:t xml:space="preserve"> not stay close to the communities</w:t>
      </w:r>
      <w:r>
        <w:t>, which made it difficult for them to engage with them</w:t>
      </w:r>
      <w:r w:rsidRPr="0027541D">
        <w:t xml:space="preserve">. </w:t>
      </w:r>
      <w:r w:rsidR="00677EF0">
        <w:t>Key</w:t>
      </w:r>
      <w:r w:rsidRPr="0027541D">
        <w:t xml:space="preserve"> informant </w:t>
      </w:r>
      <w:r w:rsidR="0048404C">
        <w:t>13</w:t>
      </w:r>
      <w:r>
        <w:t xml:space="preserve"> from the D.</w:t>
      </w:r>
      <w:r w:rsidR="0048404C">
        <w:t xml:space="preserve"> </w:t>
      </w:r>
      <w:r>
        <w:t>A</w:t>
      </w:r>
      <w:r w:rsidR="0048404C">
        <w:t>.</w:t>
      </w:r>
      <w:r>
        <w:t xml:space="preserve"> </w:t>
      </w:r>
      <w:r w:rsidR="00677EF0">
        <w:t xml:space="preserve">at the SSFR </w:t>
      </w:r>
      <w:r>
        <w:t>on 8</w:t>
      </w:r>
      <w:r w:rsidRPr="004E66F6">
        <w:rPr>
          <w:vertAlign w:val="superscript"/>
        </w:rPr>
        <w:t>th</w:t>
      </w:r>
      <w:r>
        <w:t xml:space="preserve"> March 2024 shared</w:t>
      </w:r>
      <w:r w:rsidRPr="0027541D">
        <w:t xml:space="preserve"> how </w:t>
      </w:r>
      <w:r>
        <w:t>FSD</w:t>
      </w:r>
      <w:r w:rsidRPr="0027541D">
        <w:t xml:space="preserve"> once had consistent engagements with the community. </w:t>
      </w:r>
      <w:r w:rsidR="0048404C">
        <w:t>Key</w:t>
      </w:r>
      <w:r>
        <w:t xml:space="preserve"> informant </w:t>
      </w:r>
      <w:r w:rsidR="0048404C">
        <w:t xml:space="preserve">13 </w:t>
      </w:r>
      <w:r>
        <w:t>revealed that there</w:t>
      </w:r>
      <w:r w:rsidRPr="0027541D">
        <w:t xml:space="preserve"> was a </w:t>
      </w:r>
      <w:r w:rsidRPr="0027541D">
        <w:lastRenderedPageBreak/>
        <w:t>forest guard in the past who stayed close to the community</w:t>
      </w:r>
      <w:r>
        <w:t>,</w:t>
      </w:r>
      <w:r w:rsidRPr="0027541D">
        <w:t xml:space="preserve"> so there was frequent engagement with the communities</w:t>
      </w:r>
      <w:r>
        <w:t>,</w:t>
      </w:r>
      <w:r w:rsidRPr="0027541D">
        <w:t xml:space="preserve"> yet the current ones stayed very far</w:t>
      </w:r>
      <w:r>
        <w:t xml:space="preserve">, so they visited </w:t>
      </w:r>
      <w:proofErr w:type="gramStart"/>
      <w:r>
        <w:t>once in a while</w:t>
      </w:r>
      <w:proofErr w:type="gramEnd"/>
      <w:r>
        <w:t xml:space="preserve">, and the engagement was not </w:t>
      </w:r>
      <w:r w:rsidRPr="0027541D">
        <w:t>quality</w:t>
      </w:r>
      <w:r w:rsidR="00CB7BB7">
        <w:t xml:space="preserve"> </w:t>
      </w:r>
      <w:r w:rsidR="00677EF0">
        <w:t xml:space="preserve">engagement </w:t>
      </w:r>
      <w:r w:rsidR="00CB7BB7">
        <w:t xml:space="preserve">because it was information being passed on. </w:t>
      </w:r>
    </w:p>
    <w:p w14:paraId="079E4D7B" w14:textId="352D789C" w:rsidR="000C7937" w:rsidRDefault="000C7937" w:rsidP="000C7937">
      <w:pPr>
        <w:spacing w:after="0"/>
        <w:ind w:left="0" w:firstLine="0"/>
      </w:pPr>
      <w:r>
        <w:tab/>
        <w:t xml:space="preserve">Key informant </w:t>
      </w:r>
      <w:r w:rsidR="0048404C">
        <w:t>14</w:t>
      </w:r>
      <w:r>
        <w:t xml:space="preserve"> from the</w:t>
      </w:r>
      <w:r w:rsidRPr="0027541D">
        <w:t xml:space="preserve"> D</w:t>
      </w:r>
      <w:r>
        <w:t>.</w:t>
      </w:r>
      <w:r w:rsidR="0048404C">
        <w:t xml:space="preserve"> </w:t>
      </w:r>
      <w:r w:rsidRPr="0027541D">
        <w:t>A</w:t>
      </w:r>
      <w:r>
        <w:t>.</w:t>
      </w:r>
      <w:r w:rsidRPr="0027541D">
        <w:t xml:space="preserve"> </w:t>
      </w:r>
      <w:r w:rsidR="00677EF0">
        <w:t xml:space="preserve">at the SSFR </w:t>
      </w:r>
      <w:r w:rsidR="0048404C">
        <w:t>on 5</w:t>
      </w:r>
      <w:r w:rsidR="0048404C" w:rsidRPr="0048404C">
        <w:rPr>
          <w:vertAlign w:val="superscript"/>
        </w:rPr>
        <w:t>th</w:t>
      </w:r>
      <w:r w:rsidR="0048404C">
        <w:t xml:space="preserve"> March </w:t>
      </w:r>
      <w:r w:rsidRPr="0027541D">
        <w:t xml:space="preserve">informed the study that sometimes there </w:t>
      </w:r>
      <w:r>
        <w:t>were</w:t>
      </w:r>
      <w:r w:rsidRPr="0027541D">
        <w:t xml:space="preserve"> engagements when there </w:t>
      </w:r>
      <w:r>
        <w:t>was</w:t>
      </w:r>
      <w:r w:rsidRPr="0027541D">
        <w:t xml:space="preserve"> a change of Technical Officers (T.O). The informant revealed that every new T.O</w:t>
      </w:r>
      <w:r>
        <w:t>.</w:t>
      </w:r>
      <w:r w:rsidRPr="0027541D">
        <w:t xml:space="preserve"> ha</w:t>
      </w:r>
      <w:r>
        <w:t>d</w:t>
      </w:r>
      <w:r w:rsidRPr="0027541D">
        <w:t xml:space="preserve"> his policies for governing the forest. Therefore, any time there </w:t>
      </w:r>
      <w:r>
        <w:t>was</w:t>
      </w:r>
      <w:r w:rsidRPr="0027541D">
        <w:t xml:space="preserve"> a new T.O., the T.O. engage</w:t>
      </w:r>
      <w:r>
        <w:t>d</w:t>
      </w:r>
      <w:r w:rsidRPr="0027541D">
        <w:t xml:space="preserve"> with the community. </w:t>
      </w:r>
      <w:r>
        <w:t xml:space="preserve">The representative noted that </w:t>
      </w:r>
    </w:p>
    <w:p w14:paraId="5F0F0A13" w14:textId="4B170939" w:rsidR="000C7937" w:rsidRPr="00E11995" w:rsidRDefault="000C7937" w:rsidP="000C7937">
      <w:pPr>
        <w:spacing w:after="0"/>
        <w:ind w:left="720" w:right="656" w:firstLine="0"/>
        <w:rPr>
          <w:i/>
          <w:iCs/>
        </w:rPr>
      </w:pPr>
      <w:r w:rsidRPr="00E11995">
        <w:rPr>
          <w:i/>
          <w:iCs/>
        </w:rPr>
        <w:t>T.O.s sometimes met us to inform us of new developments from the commission. Meetings were usually held twice a year and were usually of high quality</w:t>
      </w:r>
      <w:r>
        <w:rPr>
          <w:i/>
          <w:iCs/>
        </w:rPr>
        <w:t xml:space="preserve"> (key informant </w:t>
      </w:r>
      <w:r w:rsidR="0048404C">
        <w:rPr>
          <w:i/>
          <w:iCs/>
        </w:rPr>
        <w:t>14</w:t>
      </w:r>
      <w:r>
        <w:rPr>
          <w:i/>
          <w:iCs/>
        </w:rPr>
        <w:t>, 5</w:t>
      </w:r>
      <w:r w:rsidRPr="00E11995">
        <w:rPr>
          <w:i/>
          <w:iCs/>
          <w:vertAlign w:val="superscript"/>
        </w:rPr>
        <w:t>th</w:t>
      </w:r>
      <w:r>
        <w:rPr>
          <w:i/>
          <w:iCs/>
        </w:rPr>
        <w:t xml:space="preserve"> March 2024).</w:t>
      </w:r>
    </w:p>
    <w:p w14:paraId="4CC4EE2B" w14:textId="77777777" w:rsidR="0048404C" w:rsidRDefault="000C7937" w:rsidP="000C7937">
      <w:pPr>
        <w:ind w:left="0" w:firstLine="0"/>
      </w:pPr>
      <w:r>
        <w:tab/>
      </w:r>
      <w:r w:rsidRPr="0027541D">
        <w:t xml:space="preserve">From the discussion, while </w:t>
      </w:r>
      <w:r>
        <w:t>key informant 1</w:t>
      </w:r>
      <w:r w:rsidRPr="0027541D">
        <w:t xml:space="preserve"> from the </w:t>
      </w:r>
      <w:r>
        <w:t>FSD</w:t>
      </w:r>
      <w:r w:rsidRPr="0027541D">
        <w:t xml:space="preserve"> noted that engagements were carried out at least twice a month with stakeholders, the other stakeholders noted otherwise. To them</w:t>
      </w:r>
      <w:r>
        <w:t>,</w:t>
      </w:r>
      <w:r w:rsidRPr="0027541D">
        <w:t xml:space="preserve"> there were no established or routine engagements with the </w:t>
      </w:r>
      <w:r>
        <w:t>FSD, since</w:t>
      </w:r>
      <w:r w:rsidRPr="0027541D">
        <w:t xml:space="preserve"> most of the engagements were initiated by the </w:t>
      </w:r>
      <w:r>
        <w:t>FSD</w:t>
      </w:r>
      <w:r w:rsidRPr="0027541D">
        <w:t xml:space="preserve"> either to inform them of new policies or to discuss issues with them. A few stakeholders agreed that face-to-face dialogue was not </w:t>
      </w:r>
      <w:r>
        <w:t xml:space="preserve">of quality, contrary to what the FDMP (2016-2036) aimed to achieve in the short term (2016-2020). </w:t>
      </w:r>
    </w:p>
    <w:p w14:paraId="5F02630D" w14:textId="483D68DC" w:rsidR="000C7937" w:rsidRPr="0027541D" w:rsidRDefault="000C7937" w:rsidP="0048404C">
      <w:pPr>
        <w:ind w:left="0"/>
      </w:pPr>
      <w:r w:rsidRPr="0027541D">
        <w:t xml:space="preserve">The </w:t>
      </w:r>
      <w:r w:rsidR="0048404C">
        <w:t xml:space="preserve">FDMP (2016-2036) </w:t>
      </w:r>
      <w:r w:rsidRPr="0027541D">
        <w:t>policy acknowledges that forestry issues revolve around community perspectives, beliefs, rights</w:t>
      </w:r>
      <w:r>
        <w:t>,</w:t>
      </w:r>
      <w:r w:rsidRPr="0027541D">
        <w:t xml:space="preserve"> and welfare</w:t>
      </w:r>
      <w:r>
        <w:t>;</w:t>
      </w:r>
      <w:r w:rsidRPr="0027541D">
        <w:t xml:space="preserve"> hence</w:t>
      </w:r>
      <w:r>
        <w:t>, community concerns were needed</w:t>
      </w:r>
      <w:r w:rsidRPr="0027541D">
        <w:t xml:space="preserve"> in the </w:t>
      </w:r>
      <w:r>
        <w:t>management</w:t>
      </w:r>
      <w:r w:rsidRPr="0027541D">
        <w:t xml:space="preserve"> process. </w:t>
      </w:r>
      <w:r>
        <w:t>T</w:t>
      </w:r>
      <w:r w:rsidRPr="0027541D">
        <w:t>o achieve this, the policy intended to integrate indigenous and scientific knowledge for efficient forest and wildlife management</w:t>
      </w:r>
      <w:r>
        <w:t xml:space="preserve"> through frequent community engagement</w:t>
      </w:r>
      <w:r w:rsidRPr="0027541D">
        <w:t>.</w:t>
      </w:r>
      <w:r>
        <w:t xml:space="preserve"> In addition, t</w:t>
      </w:r>
      <w:r w:rsidRPr="0027541D">
        <w:t xml:space="preserve">he </w:t>
      </w:r>
      <w:r>
        <w:t>non-</w:t>
      </w:r>
      <w:r w:rsidRPr="0027541D">
        <w:t xml:space="preserve">integration of community beliefs and </w:t>
      </w:r>
      <w:r w:rsidRPr="0027541D">
        <w:lastRenderedPageBreak/>
        <w:t>perspectives w</w:t>
      </w:r>
      <w:r>
        <w:t>ould</w:t>
      </w:r>
      <w:r w:rsidRPr="0027541D">
        <w:t xml:space="preserve"> be seen as </w:t>
      </w:r>
      <w:r>
        <w:t>demotivation that would reduce</w:t>
      </w:r>
      <w:r w:rsidRPr="0027541D">
        <w:t xml:space="preserve"> community participation</w:t>
      </w:r>
      <w:r>
        <w:t>,</w:t>
      </w:r>
      <w:r w:rsidRPr="0027541D">
        <w:t xml:space="preserve"> as stated by </w:t>
      </w:r>
      <w:r w:rsidR="00677EF0">
        <w:t xml:space="preserve">the </w:t>
      </w:r>
      <w:r w:rsidRPr="0027541D">
        <w:t xml:space="preserve">Social Exchange Theory. </w:t>
      </w:r>
    </w:p>
    <w:p w14:paraId="799ED5FE" w14:textId="77777777" w:rsidR="000C7937" w:rsidRPr="0027541D" w:rsidRDefault="000C7937" w:rsidP="000C7937">
      <w:pPr>
        <w:spacing w:after="0"/>
        <w:ind w:left="0" w:firstLine="0"/>
      </w:pPr>
      <w:r w:rsidRPr="0027541D">
        <w:t>Shared understanding</w:t>
      </w:r>
    </w:p>
    <w:p w14:paraId="5D845D2B" w14:textId="26E4218C" w:rsidR="000C7937" w:rsidRPr="0027541D" w:rsidRDefault="000C7937" w:rsidP="000C7937">
      <w:pPr>
        <w:ind w:left="0" w:firstLine="0"/>
      </w:pPr>
      <w:r>
        <w:tab/>
        <w:t>Regarding</w:t>
      </w:r>
      <w:r w:rsidRPr="0027541D">
        <w:t xml:space="preserve"> </w:t>
      </w:r>
      <w:r>
        <w:t xml:space="preserve">a </w:t>
      </w:r>
      <w:r w:rsidRPr="0027541D">
        <w:t xml:space="preserve">shared understanding </w:t>
      </w:r>
      <w:r>
        <w:t>of</w:t>
      </w:r>
      <w:r w:rsidRPr="0027541D">
        <w:t xml:space="preserve"> the </w:t>
      </w:r>
      <w:r>
        <w:t>management</w:t>
      </w:r>
      <w:r w:rsidRPr="0027541D">
        <w:t xml:space="preserve"> process, the study sought answers to themes such as commitment to the process and intermediate outcomes</w:t>
      </w:r>
      <w:r w:rsidR="00C36678">
        <w:t>. These themes were expedient to the stakeholder collaboration for legitimacy as argued by the Social Exchange Theory.</w:t>
      </w:r>
    </w:p>
    <w:p w14:paraId="39F72A0A" w14:textId="77777777" w:rsidR="000C7937" w:rsidRPr="00B2713B" w:rsidRDefault="000C7937" w:rsidP="000C7937">
      <w:pPr>
        <w:spacing w:after="0"/>
        <w:ind w:left="0" w:firstLine="0"/>
        <w:rPr>
          <w:rFonts w:cs="Times New Roman"/>
          <w:szCs w:val="24"/>
        </w:rPr>
      </w:pPr>
      <w:r w:rsidRPr="00B2713B">
        <w:rPr>
          <w:rFonts w:cs="Times New Roman"/>
          <w:szCs w:val="24"/>
        </w:rPr>
        <w:t>Commitment to the process</w:t>
      </w:r>
    </w:p>
    <w:p w14:paraId="32BDF4ED" w14:textId="215DA44B" w:rsidR="0048404C" w:rsidRDefault="000C7937" w:rsidP="000C7937">
      <w:pPr>
        <w:ind w:left="0" w:firstLine="0"/>
        <w:rPr>
          <w:rFonts w:cs="Times New Roman"/>
          <w:szCs w:val="24"/>
        </w:rPr>
      </w:pPr>
      <w:r>
        <w:rPr>
          <w:rFonts w:cs="Times New Roman"/>
          <w:szCs w:val="24"/>
        </w:rPr>
        <w:tab/>
      </w:r>
      <w:r w:rsidRPr="0027541D">
        <w:rPr>
          <w:rFonts w:cs="Times New Roman"/>
          <w:szCs w:val="24"/>
        </w:rPr>
        <w:t xml:space="preserve">This study sought to understand how committed the various stakeholders were to the </w:t>
      </w:r>
      <w:r>
        <w:rPr>
          <w:rFonts w:cs="Times New Roman"/>
          <w:szCs w:val="24"/>
        </w:rPr>
        <w:t>management</w:t>
      </w:r>
      <w:r w:rsidRPr="0027541D">
        <w:rPr>
          <w:rFonts w:cs="Times New Roman"/>
          <w:szCs w:val="24"/>
        </w:rPr>
        <w:t xml:space="preserve"> process</w:t>
      </w:r>
      <w:r>
        <w:rPr>
          <w:rFonts w:cs="Times New Roman"/>
          <w:szCs w:val="24"/>
        </w:rPr>
        <w:t xml:space="preserve"> to ensure that it achieved its objective</w:t>
      </w:r>
      <w:r w:rsidRPr="0027541D">
        <w:rPr>
          <w:rFonts w:cs="Times New Roman"/>
          <w:szCs w:val="24"/>
        </w:rPr>
        <w:t xml:space="preserve">. </w:t>
      </w:r>
      <w:r>
        <w:rPr>
          <w:rFonts w:cs="Times New Roman"/>
          <w:szCs w:val="24"/>
        </w:rPr>
        <w:t>C</w:t>
      </w:r>
      <w:r w:rsidRPr="0027541D">
        <w:rPr>
          <w:rFonts w:cs="Times New Roman"/>
          <w:szCs w:val="24"/>
        </w:rPr>
        <w:t>ommitment</w:t>
      </w:r>
      <w:r>
        <w:rPr>
          <w:rFonts w:cs="Times New Roman"/>
          <w:szCs w:val="24"/>
        </w:rPr>
        <w:t xml:space="preserve"> could be in the form of time, money, skills</w:t>
      </w:r>
      <w:r w:rsidR="00C36678">
        <w:rPr>
          <w:rFonts w:cs="Times New Roman"/>
          <w:szCs w:val="24"/>
        </w:rPr>
        <w:t xml:space="preserve"> or</w:t>
      </w:r>
      <w:r>
        <w:rPr>
          <w:rFonts w:cs="Times New Roman"/>
          <w:szCs w:val="24"/>
        </w:rPr>
        <w:t xml:space="preserve"> in-kind. The interviews with the community members, D.A. and representatives from </w:t>
      </w:r>
      <w:r w:rsidR="00C36678">
        <w:rPr>
          <w:rFonts w:cs="Times New Roman"/>
          <w:szCs w:val="24"/>
        </w:rPr>
        <w:t xml:space="preserve">the </w:t>
      </w:r>
      <w:r>
        <w:rPr>
          <w:rFonts w:cs="Times New Roman"/>
          <w:szCs w:val="24"/>
        </w:rPr>
        <w:t xml:space="preserve">traditional authorities revealed that they primarily invested </w:t>
      </w:r>
      <w:r w:rsidR="00C36678">
        <w:rPr>
          <w:rFonts w:cs="Times New Roman"/>
          <w:szCs w:val="24"/>
        </w:rPr>
        <w:t xml:space="preserve">either </w:t>
      </w:r>
      <w:r>
        <w:rPr>
          <w:rFonts w:cs="Times New Roman"/>
          <w:szCs w:val="24"/>
        </w:rPr>
        <w:t xml:space="preserve">their time </w:t>
      </w:r>
      <w:r w:rsidR="00C36678">
        <w:rPr>
          <w:rFonts w:cs="Times New Roman"/>
          <w:szCs w:val="24"/>
        </w:rPr>
        <w:t>or</w:t>
      </w:r>
      <w:r>
        <w:rPr>
          <w:rFonts w:cs="Times New Roman"/>
          <w:szCs w:val="24"/>
        </w:rPr>
        <w:t xml:space="preserve"> skills in the management </w:t>
      </w:r>
      <w:r w:rsidR="00C36678">
        <w:rPr>
          <w:rFonts w:cs="Times New Roman"/>
          <w:szCs w:val="24"/>
        </w:rPr>
        <w:t>of the reserve</w:t>
      </w:r>
      <w:r>
        <w:rPr>
          <w:rFonts w:cs="Times New Roman"/>
          <w:szCs w:val="24"/>
        </w:rPr>
        <w:t xml:space="preserve">. They noted that since they were primary stakeholders deriving different forms of benefits from the reserve, they always made time, when possible, for the reserve's activities. Key informant </w:t>
      </w:r>
      <w:r w:rsidR="0048404C">
        <w:rPr>
          <w:rFonts w:cs="Times New Roman"/>
          <w:szCs w:val="24"/>
        </w:rPr>
        <w:t>7</w:t>
      </w:r>
      <w:r>
        <w:rPr>
          <w:rFonts w:cs="Times New Roman"/>
          <w:szCs w:val="24"/>
        </w:rPr>
        <w:t xml:space="preserve"> from the traditional authority at Bobiri </w:t>
      </w:r>
      <w:r w:rsidR="0048404C">
        <w:rPr>
          <w:rFonts w:cs="Times New Roman"/>
          <w:szCs w:val="24"/>
        </w:rPr>
        <w:t>on 26</w:t>
      </w:r>
      <w:r w:rsidR="0048404C" w:rsidRPr="0048404C">
        <w:rPr>
          <w:rFonts w:cs="Times New Roman"/>
          <w:szCs w:val="24"/>
          <w:vertAlign w:val="superscript"/>
        </w:rPr>
        <w:t>th</w:t>
      </w:r>
      <w:r w:rsidR="0048404C">
        <w:rPr>
          <w:rFonts w:cs="Times New Roman"/>
          <w:szCs w:val="24"/>
        </w:rPr>
        <w:t xml:space="preserve"> February 2024 </w:t>
      </w:r>
      <w:r>
        <w:rPr>
          <w:rFonts w:cs="Times New Roman"/>
          <w:szCs w:val="24"/>
        </w:rPr>
        <w:t>noted that, because of their position, they always ensured that they were available when the FSD needed them.</w:t>
      </w:r>
    </w:p>
    <w:p w14:paraId="5A149F4B" w14:textId="086AD5DA" w:rsidR="000C7937" w:rsidRDefault="000C7937" w:rsidP="0048404C">
      <w:pPr>
        <w:ind w:left="0"/>
        <w:rPr>
          <w:rFonts w:cs="Times New Roman"/>
          <w:szCs w:val="24"/>
        </w:rPr>
      </w:pPr>
      <w:r>
        <w:rPr>
          <w:rFonts w:cs="Times New Roman"/>
          <w:szCs w:val="24"/>
        </w:rPr>
        <w:t xml:space="preserve"> </w:t>
      </w:r>
      <w:r w:rsidR="0048404C">
        <w:rPr>
          <w:rFonts w:cs="Times New Roman"/>
          <w:szCs w:val="24"/>
        </w:rPr>
        <w:t>Similarly, addressing the issue of commitment at SSFR, key</w:t>
      </w:r>
      <w:r>
        <w:rPr>
          <w:rFonts w:cs="Times New Roman"/>
          <w:szCs w:val="24"/>
        </w:rPr>
        <w:t xml:space="preserve"> informant </w:t>
      </w:r>
      <w:r w:rsidR="0048404C">
        <w:rPr>
          <w:rFonts w:cs="Times New Roman"/>
          <w:szCs w:val="24"/>
        </w:rPr>
        <w:t xml:space="preserve">15 </w:t>
      </w:r>
      <w:r>
        <w:rPr>
          <w:rFonts w:cs="Times New Roman"/>
          <w:szCs w:val="24"/>
        </w:rPr>
        <w:t xml:space="preserve">from </w:t>
      </w:r>
      <w:r w:rsidR="001565A2">
        <w:rPr>
          <w:rFonts w:cs="Times New Roman"/>
          <w:szCs w:val="24"/>
        </w:rPr>
        <w:t>the traditional authority</w:t>
      </w:r>
      <w:r>
        <w:rPr>
          <w:rFonts w:cs="Times New Roman"/>
          <w:szCs w:val="24"/>
        </w:rPr>
        <w:t xml:space="preserve"> in the </w:t>
      </w:r>
      <w:r w:rsidR="00677EF0">
        <w:rPr>
          <w:rFonts w:cs="Times New Roman"/>
          <w:szCs w:val="24"/>
        </w:rPr>
        <w:t>SSFR</w:t>
      </w:r>
      <w:r>
        <w:rPr>
          <w:rFonts w:cs="Times New Roman"/>
          <w:szCs w:val="24"/>
        </w:rPr>
        <w:t xml:space="preserve"> </w:t>
      </w:r>
      <w:r w:rsidR="001565A2">
        <w:rPr>
          <w:rFonts w:cs="Times New Roman"/>
          <w:szCs w:val="24"/>
        </w:rPr>
        <w:t>on 14</w:t>
      </w:r>
      <w:r w:rsidR="001565A2" w:rsidRPr="001565A2">
        <w:rPr>
          <w:rFonts w:cs="Times New Roman"/>
          <w:szCs w:val="24"/>
          <w:vertAlign w:val="superscript"/>
        </w:rPr>
        <w:t>th</w:t>
      </w:r>
      <w:r w:rsidR="001565A2">
        <w:rPr>
          <w:rFonts w:cs="Times New Roman"/>
          <w:szCs w:val="24"/>
        </w:rPr>
        <w:t xml:space="preserve"> March 2024 </w:t>
      </w:r>
      <w:r>
        <w:rPr>
          <w:rFonts w:cs="Times New Roman"/>
          <w:szCs w:val="24"/>
        </w:rPr>
        <w:t>revealed the following:</w:t>
      </w:r>
    </w:p>
    <w:p w14:paraId="642FDC08" w14:textId="1770DACB" w:rsidR="000C7937" w:rsidRDefault="000C7937" w:rsidP="000C7937">
      <w:pPr>
        <w:ind w:left="1260" w:right="566" w:firstLine="0"/>
        <w:rPr>
          <w:rFonts w:cs="Times New Roman"/>
          <w:i/>
          <w:iCs/>
          <w:szCs w:val="24"/>
        </w:rPr>
      </w:pPr>
      <w:r w:rsidRPr="009C61C9">
        <w:rPr>
          <w:rFonts w:cs="Times New Roman"/>
          <w:i/>
          <w:iCs/>
          <w:szCs w:val="24"/>
        </w:rPr>
        <w:t>Sometimes</w:t>
      </w:r>
      <w:r>
        <w:rPr>
          <w:rFonts w:cs="Times New Roman"/>
          <w:i/>
          <w:iCs/>
          <w:szCs w:val="24"/>
        </w:rPr>
        <w:t>,</w:t>
      </w:r>
      <w:r w:rsidRPr="009C61C9">
        <w:rPr>
          <w:rFonts w:cs="Times New Roman"/>
          <w:i/>
          <w:iCs/>
          <w:szCs w:val="24"/>
        </w:rPr>
        <w:t xml:space="preserve"> the farmers do not peg well or use small pegs to demarcate boundaries. Therefore, to prevent conflict </w:t>
      </w:r>
      <w:r w:rsidRPr="009C61C9">
        <w:rPr>
          <w:rFonts w:cs="Times New Roman"/>
          <w:i/>
          <w:iCs/>
          <w:szCs w:val="24"/>
        </w:rPr>
        <w:lastRenderedPageBreak/>
        <w:t>between the farmers and the forest guards, I take it upon myself to cut the correct peg sizes and peg at the right places</w:t>
      </w:r>
      <w:r>
        <w:rPr>
          <w:rFonts w:cs="Times New Roman"/>
          <w:i/>
          <w:iCs/>
          <w:szCs w:val="24"/>
        </w:rPr>
        <w:t>. This was one way I invested my time in the process (</w:t>
      </w:r>
      <w:r w:rsidR="001565A2">
        <w:rPr>
          <w:rFonts w:cs="Times New Roman"/>
          <w:i/>
          <w:iCs/>
          <w:szCs w:val="24"/>
        </w:rPr>
        <w:t>key informant 15</w:t>
      </w:r>
      <w:r>
        <w:rPr>
          <w:rFonts w:cs="Times New Roman"/>
          <w:i/>
          <w:iCs/>
          <w:szCs w:val="24"/>
        </w:rPr>
        <w:t>, 14</w:t>
      </w:r>
      <w:r w:rsidRPr="00122880">
        <w:rPr>
          <w:rFonts w:cs="Times New Roman"/>
          <w:i/>
          <w:iCs/>
          <w:szCs w:val="24"/>
          <w:vertAlign w:val="superscript"/>
        </w:rPr>
        <w:t>th</w:t>
      </w:r>
      <w:r>
        <w:rPr>
          <w:rFonts w:cs="Times New Roman"/>
          <w:i/>
          <w:iCs/>
          <w:szCs w:val="24"/>
        </w:rPr>
        <w:t xml:space="preserve"> March 2024).</w:t>
      </w:r>
    </w:p>
    <w:p w14:paraId="1B190C4E" w14:textId="4C1488A3" w:rsidR="000C7937" w:rsidRDefault="000C7937" w:rsidP="000C7937">
      <w:pPr>
        <w:ind w:left="0"/>
        <w:rPr>
          <w:rFonts w:cs="Times New Roman"/>
          <w:szCs w:val="24"/>
        </w:rPr>
      </w:pPr>
      <w:r>
        <w:rPr>
          <w:rFonts w:cs="Times New Roman"/>
          <w:szCs w:val="24"/>
        </w:rPr>
        <w:t>From the discussions, it could be noted that the key informant's commitment to the process was to invest their time and skill. On the other hand, most community members maintained that they were not committed to the process, with a little above 12 per cent from the Southern Scarp admitting that they were committed in terms of time and skill.</w:t>
      </w:r>
      <w:r w:rsidR="00C36678">
        <w:rPr>
          <w:rFonts w:cs="Times New Roman"/>
          <w:szCs w:val="24"/>
        </w:rPr>
        <w:t xml:space="preserve"> </w:t>
      </w:r>
    </w:p>
    <w:p w14:paraId="5CE9BAE9" w14:textId="09DDAEE7" w:rsidR="00C36678" w:rsidRPr="00C36678" w:rsidRDefault="00C36678" w:rsidP="00C36678">
      <w:pPr>
        <w:pStyle w:val="BodyText"/>
        <w:ind w:left="0" w:firstLine="0"/>
      </w:pPr>
      <w:r>
        <w:tab/>
        <w:t>The lack of commitment on the part of the community members in the management of the reserve m</w:t>
      </w:r>
      <w:r w:rsidR="00677EF0">
        <w:t>ight</w:t>
      </w:r>
      <w:r>
        <w:t xml:space="preserve"> harm the sustainable management of the reserves. This was because community members viewed outcomes or decisions of the FSD as illegitimate and did not associate themselves with these decisions. This further deepened their </w:t>
      </w:r>
      <w:r w:rsidR="00677EF0">
        <w:t>perception</w:t>
      </w:r>
      <w:r>
        <w:t xml:space="preserve"> that the reserves belonged to the state and so must be protected by the state, a notion contrary to the objectives of the FDMP which seeks to increase the commitment of the community members to ensure the legitimacy of forestry decisions.  </w:t>
      </w:r>
    </w:p>
    <w:p w14:paraId="2AF9C74E" w14:textId="77777777" w:rsidR="000C7937" w:rsidRPr="0027541D" w:rsidRDefault="000C7937" w:rsidP="000C7937">
      <w:pPr>
        <w:pStyle w:val="Heading2"/>
        <w:ind w:left="0"/>
        <w:rPr>
          <w:rFonts w:cs="Times New Roman"/>
          <w:szCs w:val="24"/>
        </w:rPr>
      </w:pPr>
      <w:bookmarkStart w:id="343" w:name="_Toc202197672"/>
      <w:r w:rsidRPr="0027541D">
        <w:rPr>
          <w:rFonts w:cs="Times New Roman"/>
          <w:szCs w:val="24"/>
        </w:rPr>
        <w:t>Intermediate outcome (benefits)</w:t>
      </w:r>
      <w:bookmarkEnd w:id="343"/>
    </w:p>
    <w:p w14:paraId="4B5FD34D" w14:textId="77777777" w:rsidR="000C7937" w:rsidRPr="0027541D" w:rsidRDefault="000C7937" w:rsidP="000C7937">
      <w:pPr>
        <w:spacing w:after="0"/>
        <w:ind w:left="0" w:firstLine="0"/>
        <w:rPr>
          <w:rFonts w:cs="Times New Roman"/>
          <w:szCs w:val="24"/>
        </w:rPr>
      </w:pPr>
      <w:r>
        <w:rPr>
          <w:rFonts w:cs="Times New Roman"/>
          <w:szCs w:val="24"/>
        </w:rPr>
        <w:tab/>
        <w:t>Small wins or benefits to all stakeholders involved in the management process were prominent among the intermediate outcome</w:t>
      </w:r>
      <w:r w:rsidRPr="0027541D">
        <w:rPr>
          <w:rFonts w:cs="Times New Roman"/>
          <w:szCs w:val="24"/>
        </w:rPr>
        <w:t>s.</w:t>
      </w:r>
      <w:r>
        <w:rPr>
          <w:rFonts w:cs="Times New Roman"/>
          <w:szCs w:val="24"/>
        </w:rPr>
        <w:t xml:space="preserve"> These small wins could be monetary,</w:t>
      </w:r>
      <w:r w:rsidRPr="0027541D">
        <w:rPr>
          <w:rFonts w:cs="Times New Roman"/>
          <w:szCs w:val="24"/>
        </w:rPr>
        <w:t xml:space="preserve"> environmental</w:t>
      </w:r>
      <w:r>
        <w:rPr>
          <w:rFonts w:cs="Times New Roman"/>
          <w:szCs w:val="24"/>
        </w:rPr>
        <w:t>, social, educational,</w:t>
      </w:r>
      <w:r w:rsidRPr="0027541D">
        <w:rPr>
          <w:rFonts w:cs="Times New Roman"/>
          <w:szCs w:val="24"/>
        </w:rPr>
        <w:t xml:space="preserve"> and</w:t>
      </w:r>
      <w:r>
        <w:rPr>
          <w:rFonts w:cs="Times New Roman"/>
          <w:szCs w:val="24"/>
        </w:rPr>
        <w:t>/or</w:t>
      </w:r>
      <w:r w:rsidRPr="0027541D">
        <w:rPr>
          <w:rFonts w:cs="Times New Roman"/>
          <w:szCs w:val="24"/>
        </w:rPr>
        <w:t xml:space="preserve"> religious. Th</w:t>
      </w:r>
      <w:r>
        <w:rPr>
          <w:rFonts w:cs="Times New Roman"/>
          <w:szCs w:val="24"/>
        </w:rPr>
        <w:t>ese</w:t>
      </w:r>
      <w:r w:rsidRPr="0027541D">
        <w:rPr>
          <w:rFonts w:cs="Times New Roman"/>
          <w:szCs w:val="24"/>
        </w:rPr>
        <w:t xml:space="preserve"> </w:t>
      </w:r>
      <w:r>
        <w:rPr>
          <w:rFonts w:cs="Times New Roman"/>
          <w:szCs w:val="24"/>
        </w:rPr>
        <w:t xml:space="preserve">gains </w:t>
      </w:r>
      <w:r w:rsidRPr="0027541D">
        <w:rPr>
          <w:rFonts w:cs="Times New Roman"/>
          <w:szCs w:val="24"/>
        </w:rPr>
        <w:t xml:space="preserve">could explain </w:t>
      </w:r>
      <w:r>
        <w:rPr>
          <w:rFonts w:cs="Times New Roman"/>
          <w:szCs w:val="24"/>
        </w:rPr>
        <w:t>why these stakeholders would choose to participate or not</w:t>
      </w:r>
      <w:r w:rsidRPr="0027541D">
        <w:rPr>
          <w:rFonts w:cs="Times New Roman"/>
          <w:szCs w:val="24"/>
        </w:rPr>
        <w:t>.</w:t>
      </w:r>
      <w:r>
        <w:rPr>
          <w:rFonts w:cs="Times New Roman"/>
          <w:szCs w:val="24"/>
        </w:rPr>
        <w:t xml:space="preserve"> </w:t>
      </w:r>
    </w:p>
    <w:p w14:paraId="214C4BCB" w14:textId="358BC1B6" w:rsidR="00C36678" w:rsidRDefault="000C7937" w:rsidP="000C7937">
      <w:pPr>
        <w:spacing w:after="0"/>
        <w:ind w:left="0" w:firstLine="0"/>
        <w:rPr>
          <w:rFonts w:cs="Times New Roman"/>
          <w:szCs w:val="24"/>
        </w:rPr>
      </w:pPr>
      <w:r>
        <w:rPr>
          <w:rFonts w:cs="Times New Roman"/>
          <w:szCs w:val="24"/>
        </w:rPr>
        <w:tab/>
        <w:t>P</w:t>
      </w:r>
      <w:r w:rsidRPr="0027541D">
        <w:rPr>
          <w:rFonts w:cs="Times New Roman"/>
          <w:szCs w:val="24"/>
        </w:rPr>
        <w:t>rovid</w:t>
      </w:r>
      <w:r>
        <w:rPr>
          <w:rFonts w:cs="Times New Roman"/>
          <w:szCs w:val="24"/>
        </w:rPr>
        <w:t>ing</w:t>
      </w:r>
      <w:r w:rsidRPr="0027541D">
        <w:rPr>
          <w:rFonts w:cs="Times New Roman"/>
          <w:szCs w:val="24"/>
        </w:rPr>
        <w:t xml:space="preserve"> answers to th</w:t>
      </w:r>
      <w:r w:rsidR="00C36678">
        <w:rPr>
          <w:rFonts w:cs="Times New Roman"/>
          <w:szCs w:val="24"/>
        </w:rPr>
        <w:t>e benefits derived by the community members in participating in forest management</w:t>
      </w:r>
      <w:r w:rsidRPr="0027541D">
        <w:rPr>
          <w:rFonts w:cs="Times New Roman"/>
          <w:szCs w:val="24"/>
        </w:rPr>
        <w:t xml:space="preserve">, the study first reviewed the </w:t>
      </w:r>
      <w:r w:rsidR="00981DFA">
        <w:rPr>
          <w:rFonts w:cs="Times New Roman"/>
          <w:szCs w:val="24"/>
        </w:rPr>
        <w:t>R</w:t>
      </w:r>
      <w:r w:rsidR="00C36678">
        <w:rPr>
          <w:rFonts w:cs="Times New Roman"/>
          <w:szCs w:val="24"/>
        </w:rPr>
        <w:t xml:space="preserve">evised </w:t>
      </w:r>
      <w:r w:rsidR="00981DFA">
        <w:rPr>
          <w:rFonts w:cs="Times New Roman"/>
          <w:szCs w:val="24"/>
        </w:rPr>
        <w:lastRenderedPageBreak/>
        <w:t>G</w:t>
      </w:r>
      <w:r w:rsidR="00C36678">
        <w:rPr>
          <w:rFonts w:cs="Times New Roman"/>
          <w:szCs w:val="24"/>
        </w:rPr>
        <w:t xml:space="preserve">uidelines on </w:t>
      </w:r>
      <w:r w:rsidRPr="0027541D">
        <w:rPr>
          <w:rFonts w:cs="Times New Roman"/>
          <w:szCs w:val="24"/>
        </w:rPr>
        <w:t>S</w:t>
      </w:r>
      <w:r w:rsidR="00C36678">
        <w:rPr>
          <w:rFonts w:cs="Times New Roman"/>
          <w:szCs w:val="24"/>
        </w:rPr>
        <w:t xml:space="preserve">ocial </w:t>
      </w:r>
      <w:r w:rsidRPr="0027541D">
        <w:rPr>
          <w:rFonts w:cs="Times New Roman"/>
          <w:szCs w:val="24"/>
        </w:rPr>
        <w:t>R</w:t>
      </w:r>
      <w:r w:rsidR="00C36678">
        <w:rPr>
          <w:rFonts w:cs="Times New Roman"/>
          <w:szCs w:val="24"/>
        </w:rPr>
        <w:t xml:space="preserve">esponsibility </w:t>
      </w:r>
      <w:r w:rsidRPr="0027541D">
        <w:rPr>
          <w:rFonts w:cs="Times New Roman"/>
          <w:szCs w:val="24"/>
        </w:rPr>
        <w:t>A</w:t>
      </w:r>
      <w:r w:rsidR="00C36678">
        <w:rPr>
          <w:rFonts w:cs="Times New Roman"/>
          <w:szCs w:val="24"/>
        </w:rPr>
        <w:t>greement policy (RGSRA) passed</w:t>
      </w:r>
      <w:r w:rsidRPr="0027541D">
        <w:rPr>
          <w:rFonts w:cs="Times New Roman"/>
          <w:szCs w:val="24"/>
        </w:rPr>
        <w:t xml:space="preserve"> in 2016. </w:t>
      </w:r>
      <w:r w:rsidR="00C36678">
        <w:rPr>
          <w:rFonts w:cs="Times New Roman"/>
          <w:szCs w:val="24"/>
        </w:rPr>
        <w:t>Benefits can be tangible and intangible. The tangible benefit consists of an amount paid to communities for protecting the timber till harvesting while the intangible benefit is in the form of capacity building through participation in the processes involved in determining the amount to be paid as stumpage fee. The participation of all the stakeholders in the study area was a process through which the RGSRA (2016) sought to ensure transparency in determining the stumpage fee.</w:t>
      </w:r>
    </w:p>
    <w:p w14:paraId="363A1441" w14:textId="352E1F60" w:rsidR="000C7937" w:rsidRPr="0027541D" w:rsidRDefault="000C7937" w:rsidP="00C36678">
      <w:pPr>
        <w:spacing w:after="0"/>
        <w:ind w:left="0"/>
        <w:rPr>
          <w:rFonts w:cs="Times New Roman"/>
          <w:szCs w:val="24"/>
        </w:rPr>
      </w:pPr>
      <w:r w:rsidRPr="0027541D">
        <w:rPr>
          <w:rFonts w:cs="Times New Roman"/>
          <w:szCs w:val="24"/>
        </w:rPr>
        <w:t xml:space="preserve">The </w:t>
      </w:r>
      <w:r w:rsidR="00C36678">
        <w:rPr>
          <w:rFonts w:cs="Times New Roman"/>
          <w:szCs w:val="24"/>
        </w:rPr>
        <w:t>RGSRA (2016)</w:t>
      </w:r>
      <w:r w:rsidRPr="0027541D">
        <w:rPr>
          <w:rFonts w:cs="Times New Roman"/>
          <w:szCs w:val="24"/>
        </w:rPr>
        <w:t xml:space="preserve"> administered by the Collaborative Resource Management Department of the Forestry Commission, seeks to enhance </w:t>
      </w:r>
      <w:r>
        <w:rPr>
          <w:rFonts w:cs="Times New Roman"/>
          <w:szCs w:val="24"/>
        </w:rPr>
        <w:t xml:space="preserve">the </w:t>
      </w:r>
      <w:r w:rsidRPr="0027541D">
        <w:rPr>
          <w:rFonts w:cs="Times New Roman"/>
          <w:szCs w:val="24"/>
        </w:rPr>
        <w:t xml:space="preserve">active participation of communities and landowners in resource management through equitable distribution of rights and benefits. Previously, the Social Responsibility Agreement (SRA) was introduced in 1998 to ensure that some direct benefits from timber harvesting accrued to Forest Fringe Communities (FFCs). </w:t>
      </w:r>
    </w:p>
    <w:p w14:paraId="6D27CEF0" w14:textId="77777777" w:rsidR="000C7937" w:rsidRPr="0027541D" w:rsidRDefault="000C7937" w:rsidP="000C7937">
      <w:pPr>
        <w:spacing w:after="0"/>
        <w:ind w:left="0" w:firstLine="0"/>
        <w:rPr>
          <w:rFonts w:cs="Times New Roman"/>
          <w:szCs w:val="24"/>
        </w:rPr>
      </w:pPr>
      <w:r>
        <w:rPr>
          <w:rFonts w:cs="Times New Roman"/>
          <w:szCs w:val="24"/>
        </w:rPr>
        <w:tab/>
      </w:r>
      <w:r w:rsidRPr="0027541D">
        <w:rPr>
          <w:rFonts w:cs="Times New Roman"/>
          <w:szCs w:val="24"/>
        </w:rPr>
        <w:t>It is expected that all legal timber</w:t>
      </w:r>
      <w:r>
        <w:rPr>
          <w:rFonts w:cs="Times New Roman"/>
          <w:szCs w:val="24"/>
        </w:rPr>
        <w:t>-suitable</w:t>
      </w:r>
      <w:r w:rsidRPr="0027541D">
        <w:rPr>
          <w:rFonts w:cs="Times New Roman"/>
          <w:szCs w:val="24"/>
        </w:rPr>
        <w:t xml:space="preserve"> holdings</w:t>
      </w:r>
      <w:r>
        <w:rPr>
          <w:rFonts w:cs="Times New Roman"/>
          <w:szCs w:val="24"/>
        </w:rPr>
        <w:t>,</w:t>
      </w:r>
      <w:r w:rsidRPr="0027541D">
        <w:rPr>
          <w:rFonts w:cs="Times New Roman"/>
          <w:szCs w:val="24"/>
        </w:rPr>
        <w:t xml:space="preserve"> such as Timber Utili</w:t>
      </w:r>
      <w:r>
        <w:rPr>
          <w:rFonts w:cs="Times New Roman"/>
          <w:szCs w:val="24"/>
        </w:rPr>
        <w:t>s</w:t>
      </w:r>
      <w:r w:rsidRPr="0027541D">
        <w:rPr>
          <w:rFonts w:cs="Times New Roman"/>
          <w:szCs w:val="24"/>
        </w:rPr>
        <w:t>ation Contracts (TUC) and permits</w:t>
      </w:r>
      <w:r>
        <w:rPr>
          <w:rFonts w:cs="Times New Roman"/>
          <w:szCs w:val="24"/>
        </w:rPr>
        <w:t>,</w:t>
      </w:r>
      <w:r w:rsidRPr="0027541D">
        <w:rPr>
          <w:rFonts w:cs="Times New Roman"/>
          <w:szCs w:val="24"/>
        </w:rPr>
        <w:t xml:space="preserve"> whether for natural forest or plantation timber</w:t>
      </w:r>
      <w:r>
        <w:rPr>
          <w:rFonts w:cs="Times New Roman"/>
          <w:szCs w:val="24"/>
        </w:rPr>
        <w:t>,</w:t>
      </w:r>
      <w:r w:rsidRPr="0027541D">
        <w:rPr>
          <w:rFonts w:cs="Times New Roman"/>
          <w:szCs w:val="24"/>
        </w:rPr>
        <w:t xml:space="preserve"> will sign an agreement with Forest Fringe Communities within five (5) kilometres of their area of operations. The SRA obligates the contractor to provide amenities, services</w:t>
      </w:r>
      <w:r>
        <w:rPr>
          <w:rFonts w:cs="Times New Roman"/>
          <w:szCs w:val="24"/>
        </w:rPr>
        <w:t>,</w:t>
      </w:r>
      <w:r w:rsidRPr="0027541D">
        <w:rPr>
          <w:rFonts w:cs="Times New Roman"/>
          <w:szCs w:val="24"/>
        </w:rPr>
        <w:t xml:space="preserve"> or benefits to assist the communities and inhabitants of the area at five per cent of the value of the stumpage fee of timber that is harvested, as stipulated in the Timber Resources Management Regulation, 1998 (LI 1649 as amended by LI 1721).  </w:t>
      </w:r>
    </w:p>
    <w:p w14:paraId="2B3AB869" w14:textId="2DBD6A8F" w:rsidR="000C7937" w:rsidRPr="0027541D" w:rsidRDefault="000C7937" w:rsidP="000C7937">
      <w:pPr>
        <w:spacing w:after="0"/>
        <w:ind w:left="0" w:firstLine="0"/>
        <w:rPr>
          <w:rFonts w:cs="Times New Roman"/>
          <w:szCs w:val="24"/>
        </w:rPr>
      </w:pPr>
      <w:r>
        <w:rPr>
          <w:rFonts w:cs="Times New Roman"/>
          <w:szCs w:val="24"/>
        </w:rPr>
        <w:tab/>
        <w:t xml:space="preserve">To address challenges associated with the SRA, the revised edition included creating awareness, establishing Local SRA Committees, opening </w:t>
      </w:r>
      <w:r>
        <w:rPr>
          <w:rFonts w:cs="Times New Roman"/>
          <w:szCs w:val="24"/>
        </w:rPr>
        <w:lastRenderedPageBreak/>
        <w:t xml:space="preserve">community / SRA bank accounts, clearly defining stakeholders' roles and responsibilities, an SRA implementation plan, and a checklist for SRA implementation. </w:t>
      </w:r>
      <w:r w:rsidRPr="0027541D">
        <w:rPr>
          <w:rFonts w:cs="Times New Roman"/>
          <w:szCs w:val="24"/>
        </w:rPr>
        <w:t xml:space="preserve">The SRA is made of 12 processes spanning from pre-negotiation and negotiation, signatories and signing of the SRA, custody of the SRA document, planning of the SRA implementation, undertaking the implementation, handling of financial transactions, deciding on </w:t>
      </w:r>
      <w:r>
        <w:rPr>
          <w:rFonts w:cs="Times New Roman"/>
          <w:szCs w:val="24"/>
        </w:rPr>
        <w:t xml:space="preserve">a </w:t>
      </w:r>
      <w:r w:rsidRPr="0027541D">
        <w:rPr>
          <w:rFonts w:cs="Times New Roman"/>
          <w:szCs w:val="24"/>
        </w:rPr>
        <w:t xml:space="preserve">proposed project, ensuring monitoring, awareness creation on local SRAS, enforcing sanctions and undertaking renegotiations. </w:t>
      </w:r>
    </w:p>
    <w:p w14:paraId="06C16B4A" w14:textId="78AACD00" w:rsidR="000C7937" w:rsidRPr="0027541D" w:rsidRDefault="000C7937" w:rsidP="000C7937">
      <w:pPr>
        <w:ind w:left="0" w:firstLine="0"/>
        <w:rPr>
          <w:rFonts w:cs="Times New Roman"/>
          <w:szCs w:val="24"/>
        </w:rPr>
      </w:pPr>
      <w:r>
        <w:rPr>
          <w:rFonts w:cs="Times New Roman"/>
          <w:szCs w:val="24"/>
        </w:rPr>
        <w:tab/>
      </w:r>
      <w:r w:rsidRPr="0027541D">
        <w:rPr>
          <w:rFonts w:cs="Times New Roman"/>
          <w:szCs w:val="24"/>
        </w:rPr>
        <w:t>The study briefly described the roles of stakeholders as outlined in the revised SRA process. The stakeholder analysis revealed that the major stakeholders in the B</w:t>
      </w:r>
      <w:r>
        <w:rPr>
          <w:rFonts w:cs="Times New Roman"/>
          <w:szCs w:val="24"/>
        </w:rPr>
        <w:t>FR</w:t>
      </w:r>
      <w:r w:rsidRPr="0027541D">
        <w:rPr>
          <w:rFonts w:cs="Times New Roman"/>
          <w:szCs w:val="24"/>
        </w:rPr>
        <w:t xml:space="preserve"> </w:t>
      </w:r>
      <w:r w:rsidR="009B4406">
        <w:rPr>
          <w:rFonts w:cs="Times New Roman"/>
          <w:szCs w:val="24"/>
        </w:rPr>
        <w:t xml:space="preserve">and the SSFR </w:t>
      </w:r>
      <w:r w:rsidRPr="0027541D">
        <w:rPr>
          <w:rFonts w:cs="Times New Roman"/>
          <w:szCs w:val="24"/>
        </w:rPr>
        <w:t xml:space="preserve">were the </w:t>
      </w:r>
      <w:r>
        <w:rPr>
          <w:rFonts w:cs="Times New Roman"/>
          <w:szCs w:val="24"/>
        </w:rPr>
        <w:t>FC</w:t>
      </w:r>
      <w:r w:rsidRPr="0027541D">
        <w:rPr>
          <w:rFonts w:cs="Times New Roman"/>
          <w:szCs w:val="24"/>
        </w:rPr>
        <w:t>, traditional authority</w:t>
      </w:r>
      <w:r>
        <w:rPr>
          <w:rFonts w:cs="Times New Roman"/>
          <w:szCs w:val="24"/>
        </w:rPr>
        <w:t>,</w:t>
      </w:r>
      <w:r w:rsidRPr="0027541D">
        <w:rPr>
          <w:rFonts w:cs="Times New Roman"/>
          <w:szCs w:val="24"/>
        </w:rPr>
        <w:t xml:space="preserve"> </w:t>
      </w:r>
      <w:r>
        <w:rPr>
          <w:rFonts w:cs="Times New Roman"/>
          <w:szCs w:val="24"/>
        </w:rPr>
        <w:t xml:space="preserve">assembly representatives, and </w:t>
      </w:r>
      <w:r w:rsidRPr="0027541D">
        <w:rPr>
          <w:rFonts w:cs="Times New Roman"/>
          <w:szCs w:val="24"/>
        </w:rPr>
        <w:t>unit committee members</w:t>
      </w:r>
      <w:r>
        <w:rPr>
          <w:rFonts w:cs="Times New Roman"/>
          <w:szCs w:val="24"/>
        </w:rPr>
        <w:t>,</w:t>
      </w:r>
      <w:r w:rsidRPr="0027541D">
        <w:rPr>
          <w:rFonts w:cs="Times New Roman"/>
          <w:szCs w:val="24"/>
        </w:rPr>
        <w:t xml:space="preserve"> with community members playing a minor role</w:t>
      </w:r>
      <w:r>
        <w:rPr>
          <w:rFonts w:cs="Times New Roman"/>
          <w:szCs w:val="24"/>
        </w:rPr>
        <w:t>. H</w:t>
      </w:r>
      <w:r w:rsidRPr="0027541D">
        <w:rPr>
          <w:rFonts w:cs="Times New Roman"/>
          <w:szCs w:val="24"/>
        </w:rPr>
        <w:t>ence</w:t>
      </w:r>
      <w:r>
        <w:rPr>
          <w:rFonts w:cs="Times New Roman"/>
          <w:szCs w:val="24"/>
        </w:rPr>
        <w:t>,</w:t>
      </w:r>
      <w:r w:rsidRPr="0027541D">
        <w:rPr>
          <w:rFonts w:cs="Times New Roman"/>
          <w:szCs w:val="24"/>
        </w:rPr>
        <w:t xml:space="preserve"> this study provides information on the roles and responsibilities of these stakeholders.</w:t>
      </w:r>
    </w:p>
    <w:p w14:paraId="453DB2E0" w14:textId="77777777" w:rsidR="000C7937" w:rsidRPr="0027541D" w:rsidRDefault="000C7937" w:rsidP="000C7937">
      <w:pPr>
        <w:spacing w:after="0"/>
        <w:ind w:left="0" w:firstLine="0"/>
      </w:pPr>
      <w:r w:rsidRPr="0027541D">
        <w:t>Traditional authority</w:t>
      </w:r>
    </w:p>
    <w:p w14:paraId="6B040FAB" w14:textId="77777777" w:rsidR="000C7937" w:rsidRPr="0027541D" w:rsidRDefault="000C7937" w:rsidP="000C7937">
      <w:pPr>
        <w:spacing w:after="0"/>
        <w:ind w:left="0" w:firstLine="0"/>
        <w:rPr>
          <w:rFonts w:cs="Times New Roman"/>
          <w:szCs w:val="24"/>
        </w:rPr>
      </w:pPr>
      <w:r>
        <w:rPr>
          <w:rFonts w:cs="Times New Roman"/>
          <w:szCs w:val="24"/>
        </w:rPr>
        <w:tab/>
      </w:r>
      <w:r w:rsidRPr="0027541D">
        <w:rPr>
          <w:rFonts w:cs="Times New Roman"/>
          <w:szCs w:val="24"/>
        </w:rPr>
        <w:t xml:space="preserve">Firstly, the policy recognises the </w:t>
      </w:r>
      <w:proofErr w:type="spellStart"/>
      <w:r w:rsidRPr="0027541D">
        <w:rPr>
          <w:rFonts w:cs="Times New Roman"/>
          <w:szCs w:val="24"/>
        </w:rPr>
        <w:t>Odikro</w:t>
      </w:r>
      <w:proofErr w:type="spellEnd"/>
      <w:r>
        <w:rPr>
          <w:rFonts w:cs="Times New Roman"/>
          <w:szCs w:val="24"/>
        </w:rPr>
        <w:t>,</w:t>
      </w:r>
      <w:r w:rsidRPr="0027541D">
        <w:rPr>
          <w:rFonts w:cs="Times New Roman"/>
          <w:szCs w:val="24"/>
        </w:rPr>
        <w:t xml:space="preserve"> </w:t>
      </w:r>
      <w:r>
        <w:rPr>
          <w:rFonts w:cs="Times New Roman"/>
          <w:szCs w:val="24"/>
        </w:rPr>
        <w:t>the caretaker chief of a community appointed mainly by the stool chief and, therefore,</w:t>
      </w:r>
      <w:r w:rsidRPr="0027541D">
        <w:rPr>
          <w:rFonts w:cs="Times New Roman"/>
          <w:szCs w:val="24"/>
        </w:rPr>
        <w:t xml:space="preserve"> pay</w:t>
      </w:r>
      <w:r>
        <w:rPr>
          <w:rFonts w:cs="Times New Roman"/>
          <w:szCs w:val="24"/>
        </w:rPr>
        <w:t>s</w:t>
      </w:r>
      <w:r w:rsidRPr="0027541D">
        <w:rPr>
          <w:rFonts w:cs="Times New Roman"/>
          <w:szCs w:val="24"/>
        </w:rPr>
        <w:t xml:space="preserve"> allegiance to the paramountcy. It also makes provisions for a stool chief</w:t>
      </w:r>
      <w:r>
        <w:rPr>
          <w:rFonts w:cs="Times New Roman"/>
          <w:szCs w:val="24"/>
        </w:rPr>
        <w:t>,</w:t>
      </w:r>
      <w:r w:rsidRPr="0027541D">
        <w:rPr>
          <w:rFonts w:cs="Times New Roman"/>
          <w:szCs w:val="24"/>
        </w:rPr>
        <w:t xml:space="preserve"> the traditional authority who has been given </w:t>
      </w:r>
      <w:r>
        <w:rPr>
          <w:rFonts w:cs="Times New Roman"/>
          <w:szCs w:val="24"/>
        </w:rPr>
        <w:t xml:space="preserve">the </w:t>
      </w:r>
      <w:r w:rsidRPr="0027541D">
        <w:rPr>
          <w:rFonts w:cs="Times New Roman"/>
          <w:szCs w:val="24"/>
        </w:rPr>
        <w:t xml:space="preserve">power to rule over a parcel of land, termed stool land, as his jurisdiction. For this study, the </w:t>
      </w:r>
      <w:proofErr w:type="spellStart"/>
      <w:r w:rsidRPr="0027541D">
        <w:rPr>
          <w:rFonts w:cs="Times New Roman"/>
          <w:szCs w:val="24"/>
        </w:rPr>
        <w:t>Odikro</w:t>
      </w:r>
      <w:proofErr w:type="spellEnd"/>
      <w:r w:rsidRPr="0027541D">
        <w:rPr>
          <w:rFonts w:cs="Times New Roman"/>
          <w:szCs w:val="24"/>
        </w:rPr>
        <w:t xml:space="preserve"> and stool chief will </w:t>
      </w:r>
      <w:r>
        <w:rPr>
          <w:rFonts w:cs="Times New Roman"/>
          <w:szCs w:val="24"/>
        </w:rPr>
        <w:t>be referred to as the local traditional authority</w:t>
      </w:r>
      <w:r w:rsidRPr="0027541D">
        <w:rPr>
          <w:rFonts w:cs="Times New Roman"/>
          <w:szCs w:val="24"/>
        </w:rPr>
        <w:t xml:space="preserve">. </w:t>
      </w:r>
    </w:p>
    <w:p w14:paraId="15D9FA3A" w14:textId="3E81B564" w:rsidR="000C7937" w:rsidRPr="0027541D" w:rsidRDefault="000C7937" w:rsidP="000C7937">
      <w:pPr>
        <w:spacing w:after="0"/>
        <w:ind w:left="0" w:firstLine="0"/>
        <w:rPr>
          <w:rFonts w:cs="Times New Roman"/>
          <w:szCs w:val="24"/>
        </w:rPr>
      </w:pPr>
      <w:r>
        <w:rPr>
          <w:rFonts w:cs="Times New Roman"/>
          <w:szCs w:val="24"/>
        </w:rPr>
        <w:tab/>
      </w:r>
      <w:r w:rsidRPr="0027541D">
        <w:rPr>
          <w:rFonts w:cs="Times New Roman"/>
          <w:szCs w:val="24"/>
        </w:rPr>
        <w:t>During the negotiation stage, the traditional authority</w:t>
      </w:r>
      <w:r>
        <w:rPr>
          <w:rFonts w:cs="Times New Roman"/>
          <w:szCs w:val="24"/>
        </w:rPr>
        <w:t>,</w:t>
      </w:r>
      <w:r w:rsidRPr="0027541D">
        <w:rPr>
          <w:rFonts w:cs="Times New Roman"/>
          <w:szCs w:val="24"/>
        </w:rPr>
        <w:t xml:space="preserve"> aside being the leader of the LSRAC, was responsible for ensuring that the SRA </w:t>
      </w:r>
      <w:r>
        <w:rPr>
          <w:rFonts w:cs="Times New Roman"/>
          <w:szCs w:val="24"/>
        </w:rPr>
        <w:t>amount</w:t>
      </w:r>
      <w:r w:rsidRPr="0027541D">
        <w:rPr>
          <w:rFonts w:cs="Times New Roman"/>
          <w:szCs w:val="24"/>
        </w:rPr>
        <w:t xml:space="preserve"> negotiated directly benefits the local populace and </w:t>
      </w:r>
      <w:r>
        <w:rPr>
          <w:rFonts w:cs="Times New Roman"/>
          <w:szCs w:val="24"/>
        </w:rPr>
        <w:t xml:space="preserve">that </w:t>
      </w:r>
      <w:r w:rsidRPr="0027541D">
        <w:rPr>
          <w:rFonts w:cs="Times New Roman"/>
          <w:szCs w:val="24"/>
        </w:rPr>
        <w:t xml:space="preserve">the documents were properly signed and dated during the signing stage. They also ensured that </w:t>
      </w:r>
      <w:r w:rsidRPr="0027541D">
        <w:rPr>
          <w:rFonts w:cs="Times New Roman"/>
          <w:szCs w:val="24"/>
        </w:rPr>
        <w:lastRenderedPageBreak/>
        <w:t xml:space="preserve">copies of the signed documents </w:t>
      </w:r>
      <w:r>
        <w:rPr>
          <w:rFonts w:cs="Times New Roman"/>
          <w:szCs w:val="24"/>
        </w:rPr>
        <w:t>we</w:t>
      </w:r>
      <w:r w:rsidRPr="0027541D">
        <w:rPr>
          <w:rFonts w:cs="Times New Roman"/>
          <w:szCs w:val="24"/>
        </w:rPr>
        <w:t xml:space="preserve">re kept safely for reference and monitoring. Finally, the traditional authority </w:t>
      </w:r>
      <w:r>
        <w:rPr>
          <w:rFonts w:cs="Times New Roman"/>
          <w:szCs w:val="24"/>
        </w:rPr>
        <w:t>ensured</w:t>
      </w:r>
      <w:r w:rsidRPr="0027541D">
        <w:rPr>
          <w:rFonts w:cs="Times New Roman"/>
          <w:szCs w:val="24"/>
        </w:rPr>
        <w:t xml:space="preserve"> that signed documents </w:t>
      </w:r>
      <w:r>
        <w:rPr>
          <w:rFonts w:cs="Times New Roman"/>
          <w:szCs w:val="24"/>
        </w:rPr>
        <w:t>we</w:t>
      </w:r>
      <w:r w:rsidRPr="0027541D">
        <w:rPr>
          <w:rFonts w:cs="Times New Roman"/>
          <w:szCs w:val="24"/>
        </w:rPr>
        <w:t>re properly maintained</w:t>
      </w:r>
      <w:r>
        <w:rPr>
          <w:rFonts w:cs="Times New Roman"/>
          <w:szCs w:val="24"/>
        </w:rPr>
        <w:t>. T</w:t>
      </w:r>
      <w:r w:rsidRPr="0027541D">
        <w:rPr>
          <w:rFonts w:cs="Times New Roman"/>
          <w:szCs w:val="24"/>
        </w:rPr>
        <w:t xml:space="preserve">hey also ensured that the implementation </w:t>
      </w:r>
      <w:r>
        <w:rPr>
          <w:rFonts w:cs="Times New Roman"/>
          <w:szCs w:val="24"/>
        </w:rPr>
        <w:t>wa</w:t>
      </w:r>
      <w:r w:rsidRPr="0027541D">
        <w:rPr>
          <w:rFonts w:cs="Times New Roman"/>
          <w:szCs w:val="24"/>
        </w:rPr>
        <w:t>s what was agreed or negotiated for</w:t>
      </w:r>
      <w:r>
        <w:rPr>
          <w:rFonts w:cs="Times New Roman"/>
          <w:szCs w:val="24"/>
        </w:rPr>
        <w:t>, together with developing and agreeing on an implementation plan that</w:t>
      </w:r>
      <w:r w:rsidRPr="0027541D">
        <w:rPr>
          <w:rFonts w:cs="Times New Roman"/>
          <w:szCs w:val="24"/>
        </w:rPr>
        <w:t xml:space="preserve"> would serve as the basis for monitoring implementation. </w:t>
      </w:r>
    </w:p>
    <w:p w14:paraId="2A24CDAF" w14:textId="38A082FA" w:rsidR="008C04E4" w:rsidRDefault="000C7937" w:rsidP="000C7937">
      <w:pPr>
        <w:spacing w:after="0"/>
        <w:ind w:left="0" w:firstLine="0"/>
        <w:rPr>
          <w:rFonts w:cs="Times New Roman"/>
          <w:szCs w:val="24"/>
        </w:rPr>
      </w:pPr>
      <w:r>
        <w:rPr>
          <w:rFonts w:cs="Times New Roman"/>
          <w:szCs w:val="24"/>
        </w:rPr>
        <w:tab/>
      </w:r>
      <w:r w:rsidRPr="0027541D">
        <w:rPr>
          <w:rFonts w:cs="Times New Roman"/>
          <w:szCs w:val="24"/>
        </w:rPr>
        <w:t>The interviews with the traditional authorit</w:t>
      </w:r>
      <w:r w:rsidR="001565A2">
        <w:rPr>
          <w:rFonts w:cs="Times New Roman"/>
          <w:szCs w:val="24"/>
        </w:rPr>
        <w:t>ies</w:t>
      </w:r>
      <w:r w:rsidRPr="0027541D">
        <w:rPr>
          <w:rFonts w:cs="Times New Roman"/>
          <w:szCs w:val="24"/>
        </w:rPr>
        <w:t xml:space="preserve"> at the Bobiri Forest Reserve </w:t>
      </w:r>
      <w:r w:rsidR="008C04E4">
        <w:rPr>
          <w:rFonts w:cs="Times New Roman"/>
          <w:szCs w:val="24"/>
        </w:rPr>
        <w:t xml:space="preserve">concerning their participation, the amount </w:t>
      </w:r>
      <w:proofErr w:type="gramStart"/>
      <w:r w:rsidR="008C04E4">
        <w:rPr>
          <w:rFonts w:cs="Times New Roman"/>
          <w:szCs w:val="24"/>
        </w:rPr>
        <w:t>received</w:t>
      </w:r>
      <w:proofErr w:type="gramEnd"/>
      <w:r w:rsidR="008C04E4">
        <w:rPr>
          <w:rFonts w:cs="Times New Roman"/>
          <w:szCs w:val="24"/>
        </w:rPr>
        <w:t xml:space="preserve"> and usage </w:t>
      </w:r>
      <w:r w:rsidRPr="0027541D">
        <w:rPr>
          <w:rFonts w:cs="Times New Roman"/>
          <w:szCs w:val="24"/>
        </w:rPr>
        <w:t xml:space="preserve">revealed that even though </w:t>
      </w:r>
      <w:r w:rsidR="008C04E4">
        <w:rPr>
          <w:rFonts w:cs="Times New Roman"/>
          <w:szCs w:val="24"/>
        </w:rPr>
        <w:t>some of the traditional authorities</w:t>
      </w:r>
      <w:r w:rsidRPr="0027541D">
        <w:rPr>
          <w:rFonts w:cs="Times New Roman"/>
          <w:szCs w:val="24"/>
        </w:rPr>
        <w:t xml:space="preserve"> had participated in some of the</w:t>
      </w:r>
      <w:r w:rsidR="008C04E4">
        <w:rPr>
          <w:rFonts w:cs="Times New Roman"/>
          <w:szCs w:val="24"/>
        </w:rPr>
        <w:t xml:space="preserve"> </w:t>
      </w:r>
      <w:r w:rsidRPr="0027541D">
        <w:rPr>
          <w:rFonts w:cs="Times New Roman"/>
          <w:szCs w:val="24"/>
        </w:rPr>
        <w:t>processes</w:t>
      </w:r>
      <w:r w:rsidR="009B4406">
        <w:rPr>
          <w:rFonts w:cs="Times New Roman"/>
          <w:szCs w:val="24"/>
        </w:rPr>
        <w:t>,</w:t>
      </w:r>
      <w:r w:rsidRPr="0027541D">
        <w:rPr>
          <w:rFonts w:cs="Times New Roman"/>
          <w:szCs w:val="24"/>
        </w:rPr>
        <w:t xml:space="preserve"> they did not know that it was part of the responsibilities </w:t>
      </w:r>
      <w:r>
        <w:rPr>
          <w:rFonts w:cs="Times New Roman"/>
          <w:szCs w:val="24"/>
        </w:rPr>
        <w:t xml:space="preserve">stipulated in </w:t>
      </w:r>
      <w:r w:rsidRPr="0027541D">
        <w:rPr>
          <w:rFonts w:cs="Times New Roman"/>
          <w:szCs w:val="24"/>
        </w:rPr>
        <w:t xml:space="preserve">the </w:t>
      </w:r>
      <w:r w:rsidR="008C04E4">
        <w:rPr>
          <w:rFonts w:cs="Times New Roman"/>
          <w:szCs w:val="24"/>
        </w:rPr>
        <w:t>RGSRA (2016)</w:t>
      </w:r>
      <w:r w:rsidRPr="0027541D">
        <w:rPr>
          <w:rFonts w:cs="Times New Roman"/>
          <w:szCs w:val="24"/>
        </w:rPr>
        <w:t xml:space="preserve">. </w:t>
      </w:r>
      <w:r w:rsidR="008C04E4">
        <w:rPr>
          <w:rFonts w:cs="Times New Roman"/>
          <w:szCs w:val="24"/>
        </w:rPr>
        <w:t>The</w:t>
      </w:r>
      <w:r w:rsidRPr="0027541D">
        <w:rPr>
          <w:rFonts w:cs="Times New Roman"/>
          <w:szCs w:val="24"/>
        </w:rPr>
        <w:t xml:space="preserve"> traditional authorities were unaware that they were expected to be involved in the signing </w:t>
      </w:r>
      <w:r>
        <w:rPr>
          <w:rFonts w:cs="Times New Roman"/>
          <w:szCs w:val="24"/>
        </w:rPr>
        <w:t xml:space="preserve">and </w:t>
      </w:r>
      <w:r w:rsidRPr="0027541D">
        <w:rPr>
          <w:rFonts w:cs="Times New Roman"/>
          <w:szCs w:val="24"/>
        </w:rPr>
        <w:t xml:space="preserve">custody of the documents as enshrined in the policy. </w:t>
      </w:r>
    </w:p>
    <w:p w14:paraId="60F3727D" w14:textId="605D0B5F" w:rsidR="008C04E4" w:rsidRPr="0027541D" w:rsidRDefault="000C7937" w:rsidP="009B4406">
      <w:pPr>
        <w:spacing w:after="0"/>
        <w:ind w:left="0"/>
        <w:rPr>
          <w:rFonts w:cs="Times New Roman"/>
          <w:szCs w:val="24"/>
        </w:rPr>
      </w:pPr>
      <w:r w:rsidRPr="0027541D">
        <w:rPr>
          <w:rFonts w:cs="Times New Roman"/>
          <w:szCs w:val="24"/>
        </w:rPr>
        <w:t xml:space="preserve">The study further noted that they were not involved in </w:t>
      </w:r>
      <w:r>
        <w:rPr>
          <w:rFonts w:cs="Times New Roman"/>
          <w:szCs w:val="24"/>
        </w:rPr>
        <w:t>negotiating</w:t>
      </w:r>
      <w:r w:rsidRPr="0027541D">
        <w:rPr>
          <w:rFonts w:cs="Times New Roman"/>
          <w:szCs w:val="24"/>
        </w:rPr>
        <w:t xml:space="preserve"> the five per cent st</w:t>
      </w:r>
      <w:r>
        <w:rPr>
          <w:rFonts w:cs="Times New Roman"/>
          <w:szCs w:val="24"/>
        </w:rPr>
        <w:t>u</w:t>
      </w:r>
      <w:r w:rsidRPr="0027541D">
        <w:rPr>
          <w:rFonts w:cs="Times New Roman"/>
          <w:szCs w:val="24"/>
        </w:rPr>
        <w:t xml:space="preserve">mpage fee as stated in the </w:t>
      </w:r>
      <w:proofErr w:type="gramStart"/>
      <w:r w:rsidRPr="0027541D">
        <w:rPr>
          <w:rFonts w:cs="Times New Roman"/>
          <w:szCs w:val="24"/>
        </w:rPr>
        <w:t>policy, but</w:t>
      </w:r>
      <w:proofErr w:type="gramEnd"/>
      <w:r w:rsidRPr="0027541D">
        <w:rPr>
          <w:rFonts w:cs="Times New Roman"/>
          <w:szCs w:val="24"/>
        </w:rPr>
        <w:t xml:space="preserve"> were only involved in determining </w:t>
      </w:r>
      <w:r>
        <w:rPr>
          <w:rFonts w:cs="Times New Roman"/>
          <w:szCs w:val="24"/>
        </w:rPr>
        <w:t>what the five per cent</w:t>
      </w:r>
      <w:r w:rsidRPr="0027541D">
        <w:rPr>
          <w:rFonts w:cs="Times New Roman"/>
          <w:szCs w:val="24"/>
        </w:rPr>
        <w:t xml:space="preserve"> </w:t>
      </w:r>
      <w:r>
        <w:rPr>
          <w:rFonts w:cs="Times New Roman"/>
          <w:szCs w:val="24"/>
        </w:rPr>
        <w:t>stumpage fee was to</w:t>
      </w:r>
      <w:r w:rsidRPr="0027541D">
        <w:rPr>
          <w:rFonts w:cs="Times New Roman"/>
          <w:szCs w:val="24"/>
        </w:rPr>
        <w:t xml:space="preserve"> be used for</w:t>
      </w:r>
      <w:r>
        <w:rPr>
          <w:rFonts w:cs="Times New Roman"/>
          <w:szCs w:val="24"/>
        </w:rPr>
        <w:t xml:space="preserve"> and monitoring the project.</w:t>
      </w:r>
      <w:r w:rsidR="008C04E4">
        <w:rPr>
          <w:rFonts w:cs="Times New Roman"/>
          <w:szCs w:val="24"/>
        </w:rPr>
        <w:t xml:space="preserve"> In the context of usage, key informant 8 from the traditional authority</w:t>
      </w:r>
      <w:r w:rsidR="008C04E4" w:rsidRPr="0027541D">
        <w:rPr>
          <w:rFonts w:cs="Times New Roman"/>
          <w:szCs w:val="24"/>
        </w:rPr>
        <w:t xml:space="preserve"> </w:t>
      </w:r>
      <w:r w:rsidR="008C04E4">
        <w:rPr>
          <w:rFonts w:cs="Times New Roman"/>
          <w:szCs w:val="24"/>
        </w:rPr>
        <w:t>on the 23</w:t>
      </w:r>
      <w:r w:rsidR="008C04E4" w:rsidRPr="00C01930">
        <w:rPr>
          <w:rFonts w:cs="Times New Roman"/>
          <w:szCs w:val="24"/>
          <w:vertAlign w:val="superscript"/>
        </w:rPr>
        <w:t>rd</w:t>
      </w:r>
      <w:r w:rsidR="008C04E4">
        <w:rPr>
          <w:rFonts w:cs="Times New Roman"/>
          <w:szCs w:val="24"/>
        </w:rPr>
        <w:t xml:space="preserve"> of February 2024 </w:t>
      </w:r>
      <w:r w:rsidR="008C04E4" w:rsidRPr="0027541D">
        <w:rPr>
          <w:rFonts w:cs="Times New Roman"/>
          <w:szCs w:val="24"/>
        </w:rPr>
        <w:t xml:space="preserve">maintained that </w:t>
      </w:r>
      <w:r w:rsidR="008C04E4">
        <w:rPr>
          <w:rFonts w:cs="Times New Roman"/>
          <w:szCs w:val="24"/>
        </w:rPr>
        <w:t xml:space="preserve">the traditional authorities had </w:t>
      </w:r>
      <w:r w:rsidR="008C04E4" w:rsidRPr="0027541D">
        <w:rPr>
          <w:rFonts w:cs="Times New Roman"/>
          <w:szCs w:val="24"/>
        </w:rPr>
        <w:t xml:space="preserve">decided to use the </w:t>
      </w:r>
      <w:r w:rsidR="008C04E4">
        <w:rPr>
          <w:rFonts w:cs="Times New Roman"/>
          <w:szCs w:val="24"/>
        </w:rPr>
        <w:t xml:space="preserve">amount due them under the </w:t>
      </w:r>
      <w:r w:rsidR="008C04E4" w:rsidRPr="0027541D">
        <w:rPr>
          <w:rFonts w:cs="Times New Roman"/>
          <w:szCs w:val="24"/>
        </w:rPr>
        <w:t xml:space="preserve">SRA to </w:t>
      </w:r>
      <w:r w:rsidR="008C04E4">
        <w:rPr>
          <w:rFonts w:cs="Times New Roman"/>
          <w:szCs w:val="24"/>
        </w:rPr>
        <w:t>construct</w:t>
      </w:r>
      <w:r w:rsidR="008C04E4" w:rsidRPr="0027541D">
        <w:rPr>
          <w:rFonts w:cs="Times New Roman"/>
          <w:szCs w:val="24"/>
        </w:rPr>
        <w:t xml:space="preserve"> a market and a police station for</w:t>
      </w:r>
      <w:r w:rsidR="008C04E4">
        <w:rPr>
          <w:rFonts w:cs="Times New Roman"/>
          <w:szCs w:val="24"/>
        </w:rPr>
        <w:t xml:space="preserve"> the</w:t>
      </w:r>
      <w:r w:rsidR="008C04E4" w:rsidRPr="0027541D">
        <w:rPr>
          <w:rFonts w:cs="Times New Roman"/>
          <w:szCs w:val="24"/>
        </w:rPr>
        <w:t xml:space="preserve"> communities</w:t>
      </w:r>
      <w:r w:rsidR="008C04E4">
        <w:rPr>
          <w:rFonts w:cs="Times New Roman"/>
          <w:szCs w:val="24"/>
        </w:rPr>
        <w:t xml:space="preserve"> of </w:t>
      </w:r>
      <w:proofErr w:type="spellStart"/>
      <w:r w:rsidR="008C04E4">
        <w:rPr>
          <w:rFonts w:cs="Times New Roman"/>
          <w:szCs w:val="24"/>
        </w:rPr>
        <w:t>Kubease</w:t>
      </w:r>
      <w:proofErr w:type="spellEnd"/>
      <w:r w:rsidR="008C04E4">
        <w:rPr>
          <w:rFonts w:cs="Times New Roman"/>
          <w:szCs w:val="24"/>
        </w:rPr>
        <w:t xml:space="preserve">, </w:t>
      </w:r>
      <w:proofErr w:type="spellStart"/>
      <w:r w:rsidR="008C04E4">
        <w:rPr>
          <w:rFonts w:cs="Times New Roman"/>
          <w:szCs w:val="24"/>
        </w:rPr>
        <w:t>Nobewam</w:t>
      </w:r>
      <w:proofErr w:type="spellEnd"/>
      <w:r w:rsidR="008C04E4">
        <w:rPr>
          <w:rFonts w:cs="Times New Roman"/>
          <w:szCs w:val="24"/>
        </w:rPr>
        <w:t xml:space="preserve">, New Koforidua and </w:t>
      </w:r>
      <w:proofErr w:type="spellStart"/>
      <w:r w:rsidR="008C04E4">
        <w:rPr>
          <w:rFonts w:cs="Times New Roman"/>
          <w:szCs w:val="24"/>
        </w:rPr>
        <w:t>Duampompo</w:t>
      </w:r>
      <w:proofErr w:type="spellEnd"/>
      <w:r w:rsidR="008C04E4">
        <w:rPr>
          <w:rFonts w:cs="Times New Roman"/>
          <w:szCs w:val="24"/>
        </w:rPr>
        <w:t>,</w:t>
      </w:r>
      <w:r w:rsidR="008C04E4" w:rsidRPr="0027541D">
        <w:rPr>
          <w:rFonts w:cs="Times New Roman"/>
          <w:szCs w:val="24"/>
        </w:rPr>
        <w:t xml:space="preserve"> and th</w:t>
      </w:r>
      <w:r w:rsidR="008C04E4">
        <w:rPr>
          <w:rFonts w:cs="Times New Roman"/>
          <w:szCs w:val="24"/>
        </w:rPr>
        <w:t>is statement was confirmed by all the named traditional authorities</w:t>
      </w:r>
      <w:r w:rsidR="008C04E4" w:rsidRPr="0027541D">
        <w:rPr>
          <w:rFonts w:cs="Times New Roman"/>
          <w:szCs w:val="24"/>
        </w:rPr>
        <w:t xml:space="preserve">. </w:t>
      </w:r>
    </w:p>
    <w:p w14:paraId="4BDF01DD" w14:textId="73FB7B93" w:rsidR="008C04E4" w:rsidRDefault="000C7937" w:rsidP="00AE3800">
      <w:pPr>
        <w:ind w:left="0"/>
        <w:rPr>
          <w:rFonts w:cs="Times New Roman"/>
          <w:szCs w:val="24"/>
        </w:rPr>
      </w:pPr>
      <w:r w:rsidRPr="0027541D">
        <w:rPr>
          <w:rFonts w:cs="Times New Roman"/>
          <w:szCs w:val="24"/>
        </w:rPr>
        <w:t>Th</w:t>
      </w:r>
      <w:r>
        <w:rPr>
          <w:rFonts w:cs="Times New Roman"/>
          <w:szCs w:val="24"/>
        </w:rPr>
        <w:t>e situation</w:t>
      </w:r>
      <w:r w:rsidRPr="0027541D">
        <w:rPr>
          <w:rFonts w:cs="Times New Roman"/>
          <w:szCs w:val="24"/>
        </w:rPr>
        <w:t xml:space="preserve"> was different for </w:t>
      </w:r>
      <w:proofErr w:type="spellStart"/>
      <w:r w:rsidRPr="0027541D">
        <w:rPr>
          <w:rFonts w:cs="Times New Roman"/>
          <w:szCs w:val="24"/>
        </w:rPr>
        <w:t>Krofrom</w:t>
      </w:r>
      <w:proofErr w:type="spellEnd"/>
      <w:r w:rsidRPr="0027541D">
        <w:rPr>
          <w:rFonts w:cs="Times New Roman"/>
          <w:szCs w:val="24"/>
        </w:rPr>
        <w:t xml:space="preserve">. Here, the traditional authority had no idea </w:t>
      </w:r>
      <w:r>
        <w:rPr>
          <w:rFonts w:cs="Times New Roman"/>
          <w:szCs w:val="24"/>
        </w:rPr>
        <w:t xml:space="preserve">if any amount relating to </w:t>
      </w:r>
      <w:r w:rsidRPr="0027541D">
        <w:rPr>
          <w:rFonts w:cs="Times New Roman"/>
          <w:szCs w:val="24"/>
        </w:rPr>
        <w:t xml:space="preserve">SRA </w:t>
      </w:r>
      <w:r>
        <w:rPr>
          <w:rFonts w:cs="Times New Roman"/>
          <w:szCs w:val="24"/>
        </w:rPr>
        <w:t>had ever been paid to the community,</w:t>
      </w:r>
      <w:r w:rsidRPr="0027541D">
        <w:rPr>
          <w:rFonts w:cs="Times New Roman"/>
          <w:szCs w:val="24"/>
        </w:rPr>
        <w:t xml:space="preserve"> yet the 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rep</w:t>
      </w:r>
      <w:r>
        <w:rPr>
          <w:rFonts w:cs="Times New Roman"/>
          <w:szCs w:val="24"/>
        </w:rPr>
        <w:t>resentatives</w:t>
      </w:r>
      <w:r w:rsidRPr="0027541D">
        <w:rPr>
          <w:rFonts w:cs="Times New Roman"/>
          <w:szCs w:val="24"/>
        </w:rPr>
        <w:t xml:space="preserve"> </w:t>
      </w:r>
      <w:r>
        <w:rPr>
          <w:rFonts w:cs="Times New Roman"/>
          <w:szCs w:val="24"/>
        </w:rPr>
        <w:t>in the community were aware of such an amount</w:t>
      </w:r>
      <w:r w:rsidRPr="0027541D">
        <w:rPr>
          <w:rFonts w:cs="Times New Roman"/>
          <w:szCs w:val="24"/>
        </w:rPr>
        <w:t xml:space="preserve">. The </w:t>
      </w:r>
      <w:r>
        <w:rPr>
          <w:rFonts w:cs="Times New Roman"/>
          <w:szCs w:val="24"/>
        </w:rPr>
        <w:t xml:space="preserve">key informant </w:t>
      </w:r>
      <w:r w:rsidR="00941E46">
        <w:rPr>
          <w:rFonts w:cs="Times New Roman"/>
          <w:szCs w:val="24"/>
        </w:rPr>
        <w:t>5</w:t>
      </w:r>
      <w:r>
        <w:rPr>
          <w:rFonts w:cs="Times New Roman"/>
          <w:szCs w:val="24"/>
        </w:rPr>
        <w:t xml:space="preserve"> from the </w:t>
      </w:r>
      <w:r w:rsidRPr="0027541D">
        <w:rPr>
          <w:rFonts w:cs="Times New Roman"/>
          <w:szCs w:val="24"/>
        </w:rPr>
        <w:t>traditio</w:t>
      </w:r>
      <w:r>
        <w:rPr>
          <w:rFonts w:cs="Times New Roman"/>
          <w:szCs w:val="24"/>
        </w:rPr>
        <w:t>nal authority</w:t>
      </w:r>
      <w:r w:rsidRPr="0027541D">
        <w:rPr>
          <w:rFonts w:cs="Times New Roman"/>
          <w:szCs w:val="24"/>
        </w:rPr>
        <w:t xml:space="preserve"> </w:t>
      </w:r>
      <w:r w:rsidR="009B4406">
        <w:rPr>
          <w:rFonts w:cs="Times New Roman"/>
          <w:szCs w:val="24"/>
        </w:rPr>
        <w:t xml:space="preserve">at the BFR </w:t>
      </w:r>
      <w:r>
        <w:rPr>
          <w:rFonts w:cs="Times New Roman"/>
          <w:szCs w:val="24"/>
        </w:rPr>
        <w:t>on the 16</w:t>
      </w:r>
      <w:r w:rsidRPr="003379C5">
        <w:rPr>
          <w:rFonts w:cs="Times New Roman"/>
          <w:szCs w:val="24"/>
          <w:vertAlign w:val="superscript"/>
        </w:rPr>
        <w:t>th</w:t>
      </w:r>
      <w:r>
        <w:rPr>
          <w:rFonts w:cs="Times New Roman"/>
          <w:szCs w:val="24"/>
        </w:rPr>
        <w:t xml:space="preserve"> of </w:t>
      </w:r>
      <w:r>
        <w:rPr>
          <w:rFonts w:cs="Times New Roman"/>
          <w:szCs w:val="24"/>
        </w:rPr>
        <w:lastRenderedPageBreak/>
        <w:t xml:space="preserve">February 2024 </w:t>
      </w:r>
      <w:r w:rsidRPr="0027541D">
        <w:rPr>
          <w:rFonts w:cs="Times New Roman"/>
          <w:szCs w:val="24"/>
        </w:rPr>
        <w:t>noted that they ha</w:t>
      </w:r>
      <w:r>
        <w:rPr>
          <w:rFonts w:cs="Times New Roman"/>
          <w:szCs w:val="24"/>
        </w:rPr>
        <w:t>d heard about SRA but had</w:t>
      </w:r>
      <w:r w:rsidRPr="0027541D">
        <w:rPr>
          <w:rFonts w:cs="Times New Roman"/>
          <w:szCs w:val="24"/>
        </w:rPr>
        <w:t xml:space="preserve"> not received </w:t>
      </w:r>
      <w:r>
        <w:rPr>
          <w:rFonts w:cs="Times New Roman"/>
          <w:szCs w:val="24"/>
        </w:rPr>
        <w:t>any amount</w:t>
      </w:r>
      <w:r w:rsidRPr="0027541D">
        <w:rPr>
          <w:rFonts w:cs="Times New Roman"/>
          <w:szCs w:val="24"/>
        </w:rPr>
        <w:t xml:space="preserve"> yet during their time. </w:t>
      </w:r>
      <w:r>
        <w:rPr>
          <w:rFonts w:cs="Times New Roman"/>
          <w:szCs w:val="24"/>
        </w:rPr>
        <w:t>Conversely</w:t>
      </w:r>
      <w:r w:rsidRPr="0027541D">
        <w:rPr>
          <w:rFonts w:cs="Times New Roman"/>
          <w:szCs w:val="24"/>
        </w:rPr>
        <w:t xml:space="preserve">, </w:t>
      </w:r>
      <w:r w:rsidR="00A33E3C">
        <w:rPr>
          <w:rFonts w:cs="Times New Roman"/>
          <w:szCs w:val="24"/>
        </w:rPr>
        <w:t xml:space="preserve">focus </w:t>
      </w:r>
      <w:r w:rsidRPr="0027541D">
        <w:rPr>
          <w:rFonts w:cs="Times New Roman"/>
          <w:szCs w:val="24"/>
        </w:rPr>
        <w:t xml:space="preserve">group discussion </w:t>
      </w:r>
      <w:r w:rsidR="00A33E3C">
        <w:rPr>
          <w:rFonts w:cs="Times New Roman"/>
          <w:szCs w:val="24"/>
        </w:rPr>
        <w:t>1</w:t>
      </w:r>
      <w:r w:rsidR="009B4406">
        <w:rPr>
          <w:rFonts w:cs="Times New Roman"/>
          <w:szCs w:val="24"/>
        </w:rPr>
        <w:t xml:space="preserve">, comprising cocoa farmers and held at </w:t>
      </w:r>
      <w:proofErr w:type="spellStart"/>
      <w:r w:rsidR="009B4406">
        <w:rPr>
          <w:rFonts w:cs="Times New Roman"/>
          <w:szCs w:val="24"/>
        </w:rPr>
        <w:t>Krofrom</w:t>
      </w:r>
      <w:proofErr w:type="spellEnd"/>
      <w:r w:rsidR="00A33E3C">
        <w:rPr>
          <w:rFonts w:cs="Times New Roman"/>
          <w:szCs w:val="24"/>
        </w:rPr>
        <w:t xml:space="preserve"> on 16</w:t>
      </w:r>
      <w:r w:rsidR="00A33E3C" w:rsidRPr="00A33E3C">
        <w:rPr>
          <w:rFonts w:cs="Times New Roman"/>
          <w:szCs w:val="24"/>
          <w:vertAlign w:val="superscript"/>
        </w:rPr>
        <w:t>th</w:t>
      </w:r>
      <w:r w:rsidR="00A33E3C">
        <w:rPr>
          <w:rFonts w:cs="Times New Roman"/>
          <w:szCs w:val="24"/>
        </w:rPr>
        <w:t xml:space="preserve"> February 2024 w</w:t>
      </w:r>
      <w:r w:rsidR="008C04E4">
        <w:rPr>
          <w:rFonts w:cs="Times New Roman"/>
          <w:szCs w:val="24"/>
        </w:rPr>
        <w:t>as</w:t>
      </w:r>
      <w:r w:rsidR="00A33E3C">
        <w:rPr>
          <w:rFonts w:cs="Times New Roman"/>
          <w:szCs w:val="24"/>
        </w:rPr>
        <w:t xml:space="preserve"> certain </w:t>
      </w:r>
      <w:r w:rsidRPr="0027541D">
        <w:rPr>
          <w:rFonts w:cs="Times New Roman"/>
          <w:szCs w:val="24"/>
        </w:rPr>
        <w:t xml:space="preserve">that </w:t>
      </w:r>
      <w:r>
        <w:rPr>
          <w:rFonts w:cs="Times New Roman"/>
          <w:szCs w:val="24"/>
        </w:rPr>
        <w:t>the community</w:t>
      </w:r>
      <w:r w:rsidRPr="0027541D">
        <w:rPr>
          <w:rFonts w:cs="Times New Roman"/>
          <w:szCs w:val="24"/>
        </w:rPr>
        <w:t xml:space="preserve"> had received an SRA </w:t>
      </w:r>
      <w:r>
        <w:rPr>
          <w:rFonts w:cs="Times New Roman"/>
          <w:szCs w:val="24"/>
        </w:rPr>
        <w:t xml:space="preserve">amount on two occasions. </w:t>
      </w:r>
    </w:p>
    <w:p w14:paraId="648AA5D8" w14:textId="40D9AFF9" w:rsidR="00AE3800" w:rsidRPr="009965FC" w:rsidRDefault="000C7937" w:rsidP="009965FC">
      <w:pPr>
        <w:ind w:left="0"/>
        <w:rPr>
          <w:rFonts w:cs="Times New Roman"/>
          <w:szCs w:val="24"/>
        </w:rPr>
      </w:pPr>
      <w:r>
        <w:rPr>
          <w:rFonts w:cs="Times New Roman"/>
          <w:szCs w:val="24"/>
        </w:rPr>
        <w:t xml:space="preserve">The discussants noted that </w:t>
      </w:r>
      <w:r w:rsidRPr="0027541D">
        <w:rPr>
          <w:rFonts w:cs="Times New Roman"/>
          <w:szCs w:val="24"/>
        </w:rPr>
        <w:t xml:space="preserve">one </w:t>
      </w:r>
      <w:r>
        <w:rPr>
          <w:rFonts w:cs="Times New Roman"/>
          <w:szCs w:val="24"/>
        </w:rPr>
        <w:t xml:space="preserve">of the </w:t>
      </w:r>
      <w:r w:rsidRPr="0027541D">
        <w:rPr>
          <w:rFonts w:cs="Times New Roman"/>
          <w:szCs w:val="24"/>
        </w:rPr>
        <w:t>payment</w:t>
      </w:r>
      <w:r>
        <w:rPr>
          <w:rFonts w:cs="Times New Roman"/>
          <w:szCs w:val="24"/>
        </w:rPr>
        <w:t>s</w:t>
      </w:r>
      <w:r w:rsidRPr="0027541D">
        <w:rPr>
          <w:rFonts w:cs="Times New Roman"/>
          <w:szCs w:val="24"/>
        </w:rPr>
        <w:t xml:space="preserve"> amount</w:t>
      </w:r>
      <w:r>
        <w:rPr>
          <w:rFonts w:cs="Times New Roman"/>
          <w:szCs w:val="24"/>
        </w:rPr>
        <w:t>ed</w:t>
      </w:r>
      <w:r w:rsidRPr="0027541D">
        <w:rPr>
          <w:rFonts w:cs="Times New Roman"/>
          <w:szCs w:val="24"/>
        </w:rPr>
        <w:t xml:space="preserve"> to </w:t>
      </w:r>
      <w:r>
        <w:rPr>
          <w:rFonts w:cs="Times New Roman"/>
          <w:szCs w:val="24"/>
        </w:rPr>
        <w:t>Gh</w:t>
      </w:r>
      <w:r w:rsidRPr="0027541D">
        <w:rPr>
          <w:rFonts w:cs="Times New Roman"/>
          <w:szCs w:val="24"/>
        </w:rPr>
        <w:t xml:space="preserve">₵6500. The group </w:t>
      </w:r>
      <w:r>
        <w:rPr>
          <w:rFonts w:cs="Times New Roman"/>
          <w:szCs w:val="24"/>
        </w:rPr>
        <w:t>indicated that</w:t>
      </w:r>
      <w:r w:rsidRPr="0027541D">
        <w:rPr>
          <w:rFonts w:cs="Times New Roman"/>
          <w:szCs w:val="24"/>
        </w:rPr>
        <w:t xml:space="preserve"> the SRA was used to construct a new JHS block </w:t>
      </w:r>
      <w:r>
        <w:rPr>
          <w:rFonts w:cs="Times New Roman"/>
          <w:szCs w:val="24"/>
        </w:rPr>
        <w:t>which was currently housing students</w:t>
      </w:r>
      <w:r w:rsidRPr="0027541D">
        <w:rPr>
          <w:rFonts w:cs="Times New Roman"/>
          <w:szCs w:val="24"/>
        </w:rPr>
        <w:t xml:space="preserve">. This meant that the traditional authority was not </w:t>
      </w:r>
      <w:r>
        <w:rPr>
          <w:rFonts w:cs="Times New Roman"/>
          <w:szCs w:val="24"/>
        </w:rPr>
        <w:t xml:space="preserve">aware of or </w:t>
      </w:r>
      <w:r w:rsidRPr="0027541D">
        <w:rPr>
          <w:rFonts w:cs="Times New Roman"/>
          <w:szCs w:val="24"/>
        </w:rPr>
        <w:t>involved in any of the process</w:t>
      </w:r>
      <w:r w:rsidR="00AE3800">
        <w:rPr>
          <w:rFonts w:cs="Times New Roman"/>
          <w:szCs w:val="24"/>
        </w:rPr>
        <w:t>es stipulated in the SRA policy</w:t>
      </w:r>
      <w:r w:rsidR="008C04E4">
        <w:rPr>
          <w:rFonts w:cs="Times New Roman"/>
          <w:szCs w:val="24"/>
        </w:rPr>
        <w:t xml:space="preserve"> which m</w:t>
      </w:r>
      <w:r w:rsidR="009B4406">
        <w:rPr>
          <w:rFonts w:cs="Times New Roman"/>
          <w:szCs w:val="24"/>
        </w:rPr>
        <w:t>ight</w:t>
      </w:r>
      <w:r w:rsidR="008C04E4">
        <w:rPr>
          <w:rFonts w:cs="Times New Roman"/>
          <w:szCs w:val="24"/>
        </w:rPr>
        <w:t xml:space="preserve"> be because key informant 5 did not reside in the community and only comes around to farm</w:t>
      </w:r>
      <w:r w:rsidR="00AE3800">
        <w:rPr>
          <w:rFonts w:cs="Times New Roman"/>
          <w:szCs w:val="24"/>
        </w:rPr>
        <w:t>.</w:t>
      </w:r>
      <w:r w:rsidR="00AE3800">
        <w:t xml:space="preserve"> </w:t>
      </w:r>
      <w:r w:rsidR="009B4406">
        <w:t>A picture of t</w:t>
      </w:r>
      <w:r w:rsidR="00680F6A" w:rsidRPr="0027541D">
        <w:rPr>
          <w:rFonts w:cs="Times New Roman"/>
          <w:szCs w:val="24"/>
        </w:rPr>
        <w:t xml:space="preserve">he constructed JHS building is presented in plate 1. </w:t>
      </w:r>
    </w:p>
    <w:p w14:paraId="36093F30" w14:textId="77777777" w:rsidR="00680F6A" w:rsidRPr="0027541D" w:rsidRDefault="00680F6A" w:rsidP="00772DAC">
      <w:pPr>
        <w:ind w:left="0" w:firstLine="0"/>
        <w:rPr>
          <w:rFonts w:cs="Times New Roman"/>
          <w:szCs w:val="24"/>
        </w:rPr>
      </w:pPr>
      <w:r w:rsidRPr="0027541D">
        <w:rPr>
          <w:rFonts w:cs="Times New Roman"/>
          <w:noProof/>
          <w:szCs w:val="24"/>
          <w:lang w:val="en-US"/>
        </w:rPr>
        <w:drawing>
          <wp:inline distT="0" distB="0" distL="0" distR="0" wp14:anchorId="60C593AD" wp14:editId="16BF4A76">
            <wp:extent cx="4692650" cy="3036711"/>
            <wp:effectExtent l="0" t="0" r="0" b="4445"/>
            <wp:docPr id="11785077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507762" name="Picture 1178507762"/>
                    <pic:cNvPicPr/>
                  </pic:nvPicPr>
                  <pic:blipFill>
                    <a:blip r:embed="rId28">
                      <a:extLst>
                        <a:ext uri="{28A0092B-C50C-407E-A947-70E740481C1C}">
                          <a14:useLocalDpi xmlns:a14="http://schemas.microsoft.com/office/drawing/2010/main" val="0"/>
                        </a:ext>
                      </a:extLst>
                    </a:blip>
                    <a:stretch>
                      <a:fillRect/>
                    </a:stretch>
                  </pic:blipFill>
                  <pic:spPr>
                    <a:xfrm>
                      <a:off x="0" y="0"/>
                      <a:ext cx="4692650" cy="3036711"/>
                    </a:xfrm>
                    <a:prstGeom prst="rect">
                      <a:avLst/>
                    </a:prstGeom>
                  </pic:spPr>
                </pic:pic>
              </a:graphicData>
            </a:graphic>
          </wp:inline>
        </w:drawing>
      </w:r>
    </w:p>
    <w:p w14:paraId="1BC9E79C" w14:textId="2AAC9360" w:rsidR="00680F6A" w:rsidRPr="00DC2321" w:rsidRDefault="00680F6A" w:rsidP="00DC2321">
      <w:pPr>
        <w:pStyle w:val="LP"/>
        <w:rPr>
          <w:b w:val="0"/>
        </w:rPr>
      </w:pPr>
      <w:bookmarkStart w:id="344" w:name="_Toc172108063"/>
      <w:r w:rsidRPr="00DC2321">
        <w:rPr>
          <w:i/>
        </w:rPr>
        <w:t>Plate</w:t>
      </w:r>
      <w:r w:rsidRPr="00DC2321">
        <w:rPr>
          <w:b w:val="0"/>
          <w:i/>
        </w:rPr>
        <w:t xml:space="preserve"> 1</w:t>
      </w:r>
      <w:r w:rsidRPr="00DC2321">
        <w:rPr>
          <w:b w:val="0"/>
        </w:rPr>
        <w:t xml:space="preserve">: A Junior High School </w:t>
      </w:r>
      <w:r w:rsidR="00D254B9" w:rsidRPr="00DC2321">
        <w:rPr>
          <w:b w:val="0"/>
        </w:rPr>
        <w:t>block built with funds from SRA</w:t>
      </w:r>
      <w:bookmarkEnd w:id="344"/>
      <w:r w:rsidR="009B4406" w:rsidRPr="00DC2321">
        <w:rPr>
          <w:b w:val="0"/>
        </w:rPr>
        <w:t xml:space="preserve"> at </w:t>
      </w:r>
      <w:proofErr w:type="spellStart"/>
      <w:r w:rsidR="009B4406" w:rsidRPr="00DC2321">
        <w:rPr>
          <w:b w:val="0"/>
        </w:rPr>
        <w:t>Krofrom</w:t>
      </w:r>
      <w:proofErr w:type="spellEnd"/>
      <w:r w:rsidR="009B4406" w:rsidRPr="00DC2321">
        <w:rPr>
          <w:b w:val="0"/>
        </w:rPr>
        <w:t xml:space="preserve"> at the BFR.</w:t>
      </w:r>
    </w:p>
    <w:p w14:paraId="2BC716FA" w14:textId="47452EC0" w:rsidR="00680F6A" w:rsidRPr="0027541D" w:rsidRDefault="00680F6A" w:rsidP="00D254B9">
      <w:pPr>
        <w:spacing w:after="0"/>
        <w:ind w:left="0" w:firstLine="0"/>
        <w:rPr>
          <w:rFonts w:cs="Times New Roman"/>
          <w:szCs w:val="24"/>
        </w:rPr>
      </w:pPr>
      <w:r w:rsidRPr="0027541D">
        <w:rPr>
          <w:rFonts w:cs="Times New Roman"/>
          <w:szCs w:val="24"/>
        </w:rPr>
        <w:t>Source: Field</w:t>
      </w:r>
      <w:r w:rsidR="009B4406">
        <w:rPr>
          <w:rFonts w:cs="Times New Roman"/>
          <w:szCs w:val="24"/>
        </w:rPr>
        <w:t>work</w:t>
      </w:r>
      <w:r w:rsidRPr="0027541D">
        <w:rPr>
          <w:rFonts w:cs="Times New Roman"/>
          <w:szCs w:val="24"/>
        </w:rPr>
        <w:t xml:space="preserve"> 202</w:t>
      </w:r>
      <w:r w:rsidR="009B4406">
        <w:rPr>
          <w:rFonts w:cs="Times New Roman"/>
          <w:szCs w:val="24"/>
        </w:rPr>
        <w:t>4</w:t>
      </w:r>
      <w:r w:rsidRPr="0027541D">
        <w:rPr>
          <w:rFonts w:cs="Times New Roman"/>
          <w:szCs w:val="24"/>
        </w:rPr>
        <w:t xml:space="preserve">. </w:t>
      </w:r>
    </w:p>
    <w:p w14:paraId="0FC93D5B" w14:textId="0C265158" w:rsidR="00680F6A" w:rsidRPr="0027541D" w:rsidRDefault="00D254B9" w:rsidP="00772DAC">
      <w:pPr>
        <w:ind w:left="0" w:firstLine="0"/>
        <w:rPr>
          <w:rFonts w:cs="Times New Roman"/>
          <w:szCs w:val="24"/>
        </w:rPr>
      </w:pPr>
      <w:r>
        <w:rPr>
          <w:rFonts w:cs="Times New Roman"/>
          <w:szCs w:val="24"/>
        </w:rPr>
        <w:tab/>
      </w:r>
      <w:r w:rsidR="007926B8">
        <w:rPr>
          <w:rFonts w:cs="Times New Roman"/>
          <w:szCs w:val="24"/>
        </w:rPr>
        <w:t>In the context of SRA, t</w:t>
      </w:r>
      <w:r w:rsidR="00680F6A" w:rsidRPr="0027541D">
        <w:rPr>
          <w:rFonts w:cs="Times New Roman"/>
          <w:szCs w:val="24"/>
        </w:rPr>
        <w:t xml:space="preserve">here were mixed results in the Southern Scarp Forest reserve. </w:t>
      </w:r>
      <w:r w:rsidR="000A2292">
        <w:rPr>
          <w:rFonts w:cs="Times New Roman"/>
          <w:szCs w:val="24"/>
        </w:rPr>
        <w:t>Al</w:t>
      </w:r>
      <w:r w:rsidR="00680F6A" w:rsidRPr="0027541D">
        <w:rPr>
          <w:rFonts w:cs="Times New Roman"/>
          <w:szCs w:val="24"/>
        </w:rPr>
        <w:t xml:space="preserve">though some traditional authorities had received some </w:t>
      </w:r>
      <w:r w:rsidR="00122880">
        <w:rPr>
          <w:rFonts w:cs="Times New Roman"/>
          <w:szCs w:val="24"/>
        </w:rPr>
        <w:t xml:space="preserve">amount </w:t>
      </w:r>
      <w:r w:rsidR="00122880">
        <w:rPr>
          <w:rFonts w:cs="Times New Roman"/>
          <w:szCs w:val="24"/>
        </w:rPr>
        <w:lastRenderedPageBreak/>
        <w:t xml:space="preserve">relating to the </w:t>
      </w:r>
      <w:r w:rsidR="00680F6A" w:rsidRPr="0027541D">
        <w:rPr>
          <w:rFonts w:cs="Times New Roman"/>
          <w:szCs w:val="24"/>
        </w:rPr>
        <w:t xml:space="preserve">SRA, they were not involved in any of the processes stipulated in the policy. </w:t>
      </w:r>
      <w:r w:rsidR="00A33E3C">
        <w:rPr>
          <w:rFonts w:cs="Times New Roman"/>
          <w:szCs w:val="24"/>
        </w:rPr>
        <w:t>Key informant 15 from the</w:t>
      </w:r>
      <w:r w:rsidR="00680F6A" w:rsidRPr="0027541D">
        <w:rPr>
          <w:rFonts w:cs="Times New Roman"/>
          <w:szCs w:val="24"/>
        </w:rPr>
        <w:t xml:space="preserve"> Traditional </w:t>
      </w:r>
      <w:r w:rsidR="00A33E3C">
        <w:rPr>
          <w:rFonts w:cs="Times New Roman"/>
          <w:szCs w:val="24"/>
        </w:rPr>
        <w:t>A</w:t>
      </w:r>
      <w:r w:rsidR="00680F6A" w:rsidRPr="0027541D">
        <w:rPr>
          <w:rFonts w:cs="Times New Roman"/>
          <w:szCs w:val="24"/>
        </w:rPr>
        <w:t>uthority</w:t>
      </w:r>
      <w:r w:rsidR="005F64EA">
        <w:rPr>
          <w:rFonts w:cs="Times New Roman"/>
          <w:szCs w:val="24"/>
        </w:rPr>
        <w:t xml:space="preserve"> at the SSFR</w:t>
      </w:r>
      <w:r w:rsidR="00680F6A" w:rsidRPr="0027541D">
        <w:rPr>
          <w:rFonts w:cs="Times New Roman"/>
          <w:szCs w:val="24"/>
        </w:rPr>
        <w:t xml:space="preserve"> </w:t>
      </w:r>
      <w:r w:rsidR="007926B8">
        <w:rPr>
          <w:rFonts w:cs="Times New Roman"/>
          <w:szCs w:val="24"/>
        </w:rPr>
        <w:t xml:space="preserve">on the </w:t>
      </w:r>
      <w:proofErr w:type="gramStart"/>
      <w:r w:rsidR="007926B8">
        <w:rPr>
          <w:rFonts w:cs="Times New Roman"/>
          <w:szCs w:val="24"/>
        </w:rPr>
        <w:t>14</w:t>
      </w:r>
      <w:r w:rsidR="007926B8" w:rsidRPr="007926B8">
        <w:rPr>
          <w:rFonts w:cs="Times New Roman"/>
          <w:szCs w:val="24"/>
          <w:vertAlign w:val="superscript"/>
        </w:rPr>
        <w:t>th</w:t>
      </w:r>
      <w:proofErr w:type="gramEnd"/>
      <w:r w:rsidR="007926B8">
        <w:rPr>
          <w:rFonts w:cs="Times New Roman"/>
          <w:szCs w:val="24"/>
        </w:rPr>
        <w:t xml:space="preserve"> March 2024 </w:t>
      </w:r>
      <w:r w:rsidR="00680F6A" w:rsidRPr="0027541D">
        <w:rPr>
          <w:rFonts w:cs="Times New Roman"/>
          <w:szCs w:val="24"/>
        </w:rPr>
        <w:t xml:space="preserve">made it known that they had received some undisclosed amount in the form of </w:t>
      </w:r>
      <w:proofErr w:type="gramStart"/>
      <w:r w:rsidR="00680F6A" w:rsidRPr="0027541D">
        <w:rPr>
          <w:rFonts w:cs="Times New Roman"/>
          <w:szCs w:val="24"/>
        </w:rPr>
        <w:t>SRA</w:t>
      </w:r>
      <w:proofErr w:type="gramEnd"/>
      <w:r w:rsidR="00680F6A" w:rsidRPr="0027541D">
        <w:rPr>
          <w:rFonts w:cs="Times New Roman"/>
          <w:szCs w:val="24"/>
        </w:rPr>
        <w:t xml:space="preserve"> yet the purpose of the amount was determined </w:t>
      </w:r>
      <w:r w:rsidR="00A33E3C">
        <w:rPr>
          <w:rFonts w:cs="Times New Roman"/>
          <w:szCs w:val="24"/>
        </w:rPr>
        <w:t>by</w:t>
      </w:r>
      <w:r w:rsidR="00680F6A" w:rsidRPr="0027541D">
        <w:rPr>
          <w:rFonts w:cs="Times New Roman"/>
          <w:szCs w:val="24"/>
        </w:rPr>
        <w:t xml:space="preserve"> </w:t>
      </w:r>
      <w:r w:rsidR="00A33E3C">
        <w:rPr>
          <w:rFonts w:cs="Times New Roman"/>
          <w:szCs w:val="24"/>
        </w:rPr>
        <w:t>FSD which was contrary to the provisions of the RGSRS (2016)</w:t>
      </w:r>
      <w:r w:rsidR="00680F6A" w:rsidRPr="0027541D">
        <w:rPr>
          <w:rFonts w:cs="Times New Roman"/>
          <w:szCs w:val="24"/>
        </w:rPr>
        <w:t xml:space="preserve">. </w:t>
      </w:r>
      <w:r w:rsidR="00A33E3C">
        <w:rPr>
          <w:rFonts w:cs="Times New Roman"/>
          <w:szCs w:val="24"/>
        </w:rPr>
        <w:t>The study further noted that only one traditional authority at SSFR had received an amount under the RGSRA.</w:t>
      </w:r>
    </w:p>
    <w:p w14:paraId="364378F1" w14:textId="77777777" w:rsidR="00680F6A" w:rsidRPr="005F64EA" w:rsidRDefault="00680F6A" w:rsidP="00D254B9">
      <w:pPr>
        <w:pStyle w:val="Heading2"/>
        <w:ind w:left="0"/>
        <w:rPr>
          <w:b w:val="0"/>
          <w:bCs/>
        </w:rPr>
      </w:pPr>
      <w:bookmarkStart w:id="345" w:name="_Toc202197673"/>
      <w:r w:rsidRPr="005F64EA">
        <w:rPr>
          <w:b w:val="0"/>
          <w:bCs/>
        </w:rPr>
        <w:t>Forestry Commission</w:t>
      </w:r>
      <w:bookmarkEnd w:id="345"/>
    </w:p>
    <w:p w14:paraId="558387D2" w14:textId="4A770335" w:rsidR="000012F2" w:rsidRDefault="00D254B9" w:rsidP="000012F2">
      <w:pPr>
        <w:spacing w:after="0"/>
        <w:ind w:left="0" w:firstLine="0"/>
        <w:rPr>
          <w:rFonts w:cs="Times New Roman"/>
          <w:szCs w:val="24"/>
        </w:rPr>
      </w:pPr>
      <w:r>
        <w:rPr>
          <w:rFonts w:cs="Times New Roman"/>
          <w:szCs w:val="24"/>
        </w:rPr>
        <w:tab/>
      </w:r>
      <w:r w:rsidR="000012F2" w:rsidRPr="0027541D">
        <w:rPr>
          <w:rFonts w:cs="Times New Roman"/>
          <w:szCs w:val="24"/>
        </w:rPr>
        <w:t xml:space="preserve">The next stakeholder </w:t>
      </w:r>
      <w:r w:rsidR="000012F2">
        <w:rPr>
          <w:rFonts w:cs="Times New Roman"/>
          <w:szCs w:val="24"/>
        </w:rPr>
        <w:t>in the study area recognised by the SRA policy was the Forestry Commission, represented by the FSD, comprising</w:t>
      </w:r>
      <w:r w:rsidR="000012F2" w:rsidRPr="0027541D">
        <w:rPr>
          <w:rFonts w:cs="Times New Roman"/>
          <w:szCs w:val="24"/>
        </w:rPr>
        <w:t xml:space="preserve"> The Forest Resource Manager and Government representative. </w:t>
      </w:r>
      <w:r w:rsidR="000012F2">
        <w:rPr>
          <w:rFonts w:cs="Times New Roman"/>
          <w:szCs w:val="24"/>
        </w:rPr>
        <w:t>The FSD</w:t>
      </w:r>
      <w:r w:rsidR="000012F2" w:rsidRPr="0027541D">
        <w:rPr>
          <w:rFonts w:cs="Times New Roman"/>
          <w:szCs w:val="24"/>
        </w:rPr>
        <w:t xml:space="preserve"> play</w:t>
      </w:r>
      <w:r w:rsidR="000012F2">
        <w:rPr>
          <w:rFonts w:cs="Times New Roman"/>
          <w:szCs w:val="24"/>
        </w:rPr>
        <w:t>ed</w:t>
      </w:r>
      <w:r w:rsidR="000012F2" w:rsidRPr="0027541D">
        <w:rPr>
          <w:rFonts w:cs="Times New Roman"/>
          <w:szCs w:val="24"/>
        </w:rPr>
        <w:t xml:space="preserve"> a similar role </w:t>
      </w:r>
      <w:r w:rsidR="008C04E4">
        <w:rPr>
          <w:rFonts w:cs="Times New Roman"/>
          <w:szCs w:val="24"/>
        </w:rPr>
        <w:t>as</w:t>
      </w:r>
      <w:r w:rsidR="000012F2" w:rsidRPr="0027541D">
        <w:rPr>
          <w:rFonts w:cs="Times New Roman"/>
          <w:szCs w:val="24"/>
        </w:rPr>
        <w:t xml:space="preserve"> the local traditional authority, with a few exceptions. The extra provisions for the </w:t>
      </w:r>
      <w:r w:rsidR="000012F2">
        <w:rPr>
          <w:rFonts w:cs="Times New Roman"/>
          <w:szCs w:val="24"/>
        </w:rPr>
        <w:t>FSD</w:t>
      </w:r>
      <w:r w:rsidR="000012F2" w:rsidRPr="0027541D">
        <w:rPr>
          <w:rFonts w:cs="Times New Roman"/>
          <w:szCs w:val="24"/>
        </w:rPr>
        <w:t xml:space="preserve"> included facilitating the entire process and ensuring that parties understood the process to avoid conflicts while providing all relevant information (including information on 5% stumpage) to foster </w:t>
      </w:r>
      <w:r w:rsidR="000012F2">
        <w:rPr>
          <w:rFonts w:cs="Times New Roman"/>
          <w:szCs w:val="24"/>
        </w:rPr>
        <w:t>understanding</w:t>
      </w:r>
      <w:r w:rsidR="000012F2" w:rsidRPr="0027541D">
        <w:rPr>
          <w:rFonts w:cs="Times New Roman"/>
          <w:szCs w:val="24"/>
        </w:rPr>
        <w:t xml:space="preserve"> and partnership with the signing and implementation </w:t>
      </w:r>
      <w:r w:rsidR="000012F2">
        <w:rPr>
          <w:rFonts w:cs="Times New Roman"/>
          <w:szCs w:val="24"/>
        </w:rPr>
        <w:t xml:space="preserve">of </w:t>
      </w:r>
      <w:r w:rsidR="000012F2" w:rsidRPr="0027541D">
        <w:rPr>
          <w:rFonts w:cs="Times New Roman"/>
          <w:szCs w:val="24"/>
        </w:rPr>
        <w:t xml:space="preserve">the agreement. </w:t>
      </w:r>
    </w:p>
    <w:p w14:paraId="31FE6E10" w14:textId="3C98A7F1" w:rsidR="000012F2" w:rsidRPr="0027541D" w:rsidRDefault="000012F2" w:rsidP="000012F2">
      <w:pPr>
        <w:spacing w:after="0"/>
        <w:ind w:left="0" w:firstLine="0"/>
        <w:rPr>
          <w:rFonts w:cs="Times New Roman"/>
          <w:szCs w:val="24"/>
        </w:rPr>
      </w:pPr>
      <w:r>
        <w:rPr>
          <w:rFonts w:cs="Times New Roman"/>
          <w:szCs w:val="24"/>
        </w:rPr>
        <w:tab/>
      </w:r>
      <w:r w:rsidRPr="0027541D">
        <w:rPr>
          <w:rFonts w:cs="Times New Roman"/>
          <w:szCs w:val="24"/>
        </w:rPr>
        <w:t xml:space="preserve">The </w:t>
      </w:r>
      <w:r>
        <w:rPr>
          <w:rFonts w:cs="Times New Roman"/>
          <w:szCs w:val="24"/>
        </w:rPr>
        <w:t>FSD</w:t>
      </w:r>
      <w:r w:rsidRPr="0027541D">
        <w:rPr>
          <w:rFonts w:cs="Times New Roman"/>
          <w:szCs w:val="24"/>
        </w:rPr>
        <w:t xml:space="preserve"> further ensure</w:t>
      </w:r>
      <w:r w:rsidR="005F64EA">
        <w:rPr>
          <w:rFonts w:cs="Times New Roman"/>
          <w:szCs w:val="24"/>
        </w:rPr>
        <w:t>d</w:t>
      </w:r>
      <w:r w:rsidRPr="0027541D">
        <w:rPr>
          <w:rFonts w:cs="Times New Roman"/>
          <w:szCs w:val="24"/>
        </w:rPr>
        <w:t xml:space="preserve"> that the project </w:t>
      </w:r>
      <w:r w:rsidR="005F64EA">
        <w:rPr>
          <w:rFonts w:cs="Times New Roman"/>
          <w:szCs w:val="24"/>
        </w:rPr>
        <w:t>was</w:t>
      </w:r>
      <w:r w:rsidRPr="0027541D">
        <w:rPr>
          <w:rFonts w:cs="Times New Roman"/>
          <w:szCs w:val="24"/>
        </w:rPr>
        <w:t xml:space="preserve"> well described and included in the SRA document, monitor</w:t>
      </w:r>
      <w:r w:rsidR="005F64EA">
        <w:rPr>
          <w:rFonts w:cs="Times New Roman"/>
          <w:szCs w:val="24"/>
        </w:rPr>
        <w:t>ed</w:t>
      </w:r>
      <w:r w:rsidRPr="0027541D">
        <w:rPr>
          <w:rFonts w:cs="Times New Roman"/>
          <w:szCs w:val="24"/>
        </w:rPr>
        <w:t xml:space="preserve"> the implementation of the SRA</w:t>
      </w:r>
      <w:r>
        <w:rPr>
          <w:rFonts w:cs="Times New Roman"/>
          <w:szCs w:val="24"/>
        </w:rPr>
        <w:t>,</w:t>
      </w:r>
      <w:r w:rsidRPr="0027541D">
        <w:rPr>
          <w:rFonts w:cs="Times New Roman"/>
          <w:szCs w:val="24"/>
        </w:rPr>
        <w:t xml:space="preserve"> and report</w:t>
      </w:r>
      <w:r w:rsidR="005F64EA">
        <w:rPr>
          <w:rFonts w:cs="Times New Roman"/>
          <w:szCs w:val="24"/>
        </w:rPr>
        <w:t>ed</w:t>
      </w:r>
      <w:r w:rsidRPr="0027541D">
        <w:rPr>
          <w:rFonts w:cs="Times New Roman"/>
          <w:szCs w:val="24"/>
        </w:rPr>
        <w:t xml:space="preserve"> non-compliance </w:t>
      </w:r>
      <w:r>
        <w:rPr>
          <w:rFonts w:cs="Times New Roman"/>
          <w:szCs w:val="24"/>
        </w:rPr>
        <w:t>with</w:t>
      </w:r>
      <w:r w:rsidRPr="0027541D">
        <w:rPr>
          <w:rFonts w:cs="Times New Roman"/>
          <w:szCs w:val="24"/>
        </w:rPr>
        <w:t xml:space="preserve"> sanctions. Finally, with </w:t>
      </w:r>
      <w:r>
        <w:rPr>
          <w:rFonts w:cs="Times New Roman"/>
          <w:szCs w:val="24"/>
        </w:rPr>
        <w:t xml:space="preserve">the </w:t>
      </w:r>
      <w:r w:rsidRPr="0027541D">
        <w:rPr>
          <w:rFonts w:cs="Times New Roman"/>
          <w:szCs w:val="24"/>
        </w:rPr>
        <w:t>support of NGOs, the</w:t>
      </w:r>
      <w:r w:rsidR="008C04E4">
        <w:rPr>
          <w:rFonts w:cs="Times New Roman"/>
          <w:szCs w:val="24"/>
        </w:rPr>
        <w:t xml:space="preserve"> FSD</w:t>
      </w:r>
      <w:r w:rsidRPr="0027541D">
        <w:rPr>
          <w:rFonts w:cs="Times New Roman"/>
          <w:szCs w:val="24"/>
        </w:rPr>
        <w:t xml:space="preserve"> </w:t>
      </w:r>
      <w:r w:rsidR="005F64EA">
        <w:rPr>
          <w:rFonts w:cs="Times New Roman"/>
          <w:szCs w:val="24"/>
        </w:rPr>
        <w:t>was</w:t>
      </w:r>
      <w:r w:rsidR="008C04E4">
        <w:rPr>
          <w:rFonts w:cs="Times New Roman"/>
          <w:szCs w:val="24"/>
        </w:rPr>
        <w:t xml:space="preserve"> expected to</w:t>
      </w:r>
      <w:r w:rsidRPr="0027541D">
        <w:rPr>
          <w:rFonts w:cs="Times New Roman"/>
          <w:szCs w:val="24"/>
        </w:rPr>
        <w:t xml:space="preserve"> ensure the constant education of stakeholders regarding the state of the forest and their role in its management. </w:t>
      </w:r>
    </w:p>
    <w:p w14:paraId="08D12F70" w14:textId="77777777" w:rsidR="000012F2" w:rsidRDefault="000012F2" w:rsidP="000012F2">
      <w:pPr>
        <w:spacing w:after="0"/>
        <w:ind w:left="0" w:firstLine="0"/>
        <w:rPr>
          <w:rFonts w:cs="Times New Roman"/>
          <w:szCs w:val="24"/>
        </w:rPr>
      </w:pPr>
      <w:r>
        <w:rPr>
          <w:rFonts w:cs="Times New Roman"/>
          <w:szCs w:val="24"/>
        </w:rPr>
        <w:tab/>
      </w:r>
      <w:r w:rsidRPr="0027541D">
        <w:rPr>
          <w:rFonts w:cs="Times New Roman"/>
          <w:szCs w:val="24"/>
        </w:rPr>
        <w:t xml:space="preserve">The study revealed that </w:t>
      </w:r>
      <w:r>
        <w:rPr>
          <w:rFonts w:cs="Times New Roman"/>
          <w:szCs w:val="24"/>
        </w:rPr>
        <w:t>the FSD</w:t>
      </w:r>
      <w:r w:rsidRPr="0027541D">
        <w:rPr>
          <w:rFonts w:cs="Times New Roman"/>
          <w:szCs w:val="24"/>
        </w:rPr>
        <w:t xml:space="preserve"> facilitated the entire process </w:t>
      </w:r>
      <w:r>
        <w:rPr>
          <w:rFonts w:cs="Times New Roman"/>
          <w:szCs w:val="24"/>
        </w:rPr>
        <w:t>without</w:t>
      </w:r>
      <w:r w:rsidRPr="0027541D">
        <w:rPr>
          <w:rFonts w:cs="Times New Roman"/>
          <w:szCs w:val="24"/>
        </w:rPr>
        <w:t xml:space="preserve"> ensur</w:t>
      </w:r>
      <w:r>
        <w:rPr>
          <w:rFonts w:cs="Times New Roman"/>
          <w:szCs w:val="24"/>
        </w:rPr>
        <w:t>ing</w:t>
      </w:r>
      <w:r w:rsidRPr="0027541D">
        <w:rPr>
          <w:rFonts w:cs="Times New Roman"/>
          <w:szCs w:val="24"/>
        </w:rPr>
        <w:t xml:space="preserve"> </w:t>
      </w:r>
      <w:r>
        <w:rPr>
          <w:rFonts w:cs="Times New Roman"/>
          <w:szCs w:val="24"/>
        </w:rPr>
        <w:t>that all</w:t>
      </w:r>
      <w:r w:rsidRPr="0027541D">
        <w:rPr>
          <w:rFonts w:cs="Times New Roman"/>
          <w:szCs w:val="24"/>
        </w:rPr>
        <w:t xml:space="preserve"> parties understood </w:t>
      </w:r>
      <w:r>
        <w:rPr>
          <w:rFonts w:cs="Times New Roman"/>
          <w:szCs w:val="24"/>
        </w:rPr>
        <w:t>and participated</w:t>
      </w:r>
      <w:r w:rsidRPr="0027541D">
        <w:rPr>
          <w:rFonts w:cs="Times New Roman"/>
          <w:szCs w:val="24"/>
        </w:rPr>
        <w:t>. It was evident from the interviews that some stakeholders did not understand why the SRA was given in the name of some communities but not their communit</w:t>
      </w:r>
      <w:r>
        <w:rPr>
          <w:rFonts w:cs="Times New Roman"/>
          <w:szCs w:val="24"/>
        </w:rPr>
        <w:t>ies</w:t>
      </w:r>
      <w:r w:rsidRPr="0027541D">
        <w:rPr>
          <w:rFonts w:cs="Times New Roman"/>
          <w:szCs w:val="24"/>
        </w:rPr>
        <w:t xml:space="preserve">. This led to a few </w:t>
      </w:r>
      <w:r w:rsidRPr="0027541D">
        <w:rPr>
          <w:rFonts w:cs="Times New Roman"/>
          <w:szCs w:val="24"/>
        </w:rPr>
        <w:lastRenderedPageBreak/>
        <w:t xml:space="preserve">hostilities during meetings that sought to decide </w:t>
      </w:r>
      <w:r>
        <w:rPr>
          <w:rFonts w:cs="Times New Roman"/>
          <w:szCs w:val="24"/>
        </w:rPr>
        <w:t>what the amount</w:t>
      </w:r>
      <w:r w:rsidRPr="0027541D">
        <w:rPr>
          <w:rFonts w:cs="Times New Roman"/>
          <w:szCs w:val="24"/>
        </w:rPr>
        <w:t xml:space="preserve"> </w:t>
      </w:r>
      <w:r>
        <w:rPr>
          <w:rFonts w:cs="Times New Roman"/>
          <w:szCs w:val="24"/>
        </w:rPr>
        <w:t xml:space="preserve">was </w:t>
      </w:r>
      <w:r w:rsidRPr="0027541D">
        <w:rPr>
          <w:rFonts w:cs="Times New Roman"/>
          <w:szCs w:val="24"/>
        </w:rPr>
        <w:t>to be used</w:t>
      </w:r>
      <w:r>
        <w:rPr>
          <w:rFonts w:cs="Times New Roman"/>
          <w:szCs w:val="24"/>
        </w:rPr>
        <w:t xml:space="preserve"> for</w:t>
      </w:r>
      <w:r w:rsidRPr="0027541D">
        <w:rPr>
          <w:rFonts w:cs="Times New Roman"/>
          <w:szCs w:val="24"/>
        </w:rPr>
        <w:t xml:space="preserve">. </w:t>
      </w:r>
    </w:p>
    <w:p w14:paraId="5C158413" w14:textId="70020C13" w:rsidR="000012F2" w:rsidRPr="0027541D" w:rsidRDefault="000012F2" w:rsidP="000012F2">
      <w:pPr>
        <w:spacing w:after="0"/>
        <w:ind w:left="0" w:firstLine="0"/>
        <w:rPr>
          <w:rFonts w:cs="Times New Roman"/>
          <w:szCs w:val="24"/>
        </w:rPr>
      </w:pPr>
      <w:r>
        <w:rPr>
          <w:rFonts w:cs="Times New Roman"/>
          <w:szCs w:val="24"/>
        </w:rPr>
        <w:tab/>
      </w:r>
      <w:r w:rsidR="00A33E3C">
        <w:rPr>
          <w:rFonts w:cs="Times New Roman"/>
          <w:szCs w:val="24"/>
        </w:rPr>
        <w:t xml:space="preserve">In the context of an inadequate understanding of the principles regulating the SRA, Key informant 4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 xml:space="preserve">. </w:t>
      </w:r>
      <w:r w:rsidR="005F64EA">
        <w:rPr>
          <w:rFonts w:cs="Times New Roman"/>
          <w:szCs w:val="24"/>
        </w:rPr>
        <w:t xml:space="preserve">at the BFR </w:t>
      </w:r>
      <w:r>
        <w:rPr>
          <w:rFonts w:cs="Times New Roman"/>
          <w:szCs w:val="24"/>
        </w:rPr>
        <w:t>on 28</w:t>
      </w:r>
      <w:r w:rsidRPr="00362835">
        <w:rPr>
          <w:rFonts w:cs="Times New Roman"/>
          <w:szCs w:val="24"/>
          <w:vertAlign w:val="superscript"/>
        </w:rPr>
        <w:t>th</w:t>
      </w:r>
      <w:r>
        <w:rPr>
          <w:rFonts w:cs="Times New Roman"/>
          <w:szCs w:val="24"/>
        </w:rPr>
        <w:t xml:space="preserve"> of February 2024 </w:t>
      </w:r>
      <w:r w:rsidR="00A33E3C">
        <w:rPr>
          <w:rFonts w:cs="Times New Roman"/>
          <w:szCs w:val="24"/>
        </w:rPr>
        <w:t>did not understand</w:t>
      </w:r>
      <w:r w:rsidRPr="0027541D">
        <w:rPr>
          <w:rFonts w:cs="Times New Roman"/>
          <w:szCs w:val="24"/>
        </w:rPr>
        <w:t xml:space="preserve"> why the current SRA being used to build the market for </w:t>
      </w:r>
      <w:proofErr w:type="spellStart"/>
      <w:r w:rsidRPr="0027541D">
        <w:rPr>
          <w:rFonts w:cs="Times New Roman"/>
          <w:szCs w:val="24"/>
        </w:rPr>
        <w:t>Kubease</w:t>
      </w:r>
      <w:proofErr w:type="spellEnd"/>
      <w:r w:rsidRPr="0027541D">
        <w:rPr>
          <w:rFonts w:cs="Times New Roman"/>
          <w:szCs w:val="24"/>
        </w:rPr>
        <w:t xml:space="preserve">, New Koforidua, </w:t>
      </w:r>
      <w:proofErr w:type="spellStart"/>
      <w:r w:rsidRPr="0027541D">
        <w:rPr>
          <w:rFonts w:cs="Times New Roman"/>
          <w:szCs w:val="24"/>
        </w:rPr>
        <w:t>Nobewam</w:t>
      </w:r>
      <w:proofErr w:type="spellEnd"/>
      <w:r>
        <w:rPr>
          <w:rFonts w:cs="Times New Roman"/>
          <w:szCs w:val="24"/>
        </w:rPr>
        <w:t>,</w:t>
      </w:r>
      <w:r w:rsidRPr="0027541D">
        <w:rPr>
          <w:rFonts w:cs="Times New Roman"/>
          <w:szCs w:val="24"/>
        </w:rPr>
        <w:t xml:space="preserve"> and </w:t>
      </w:r>
      <w:proofErr w:type="spellStart"/>
      <w:r w:rsidRPr="0027541D">
        <w:rPr>
          <w:rFonts w:cs="Times New Roman"/>
          <w:szCs w:val="24"/>
        </w:rPr>
        <w:t>Duampompo</w:t>
      </w:r>
      <w:proofErr w:type="spellEnd"/>
      <w:r w:rsidRPr="0027541D">
        <w:rPr>
          <w:rFonts w:cs="Times New Roman"/>
          <w:szCs w:val="24"/>
        </w:rPr>
        <w:t xml:space="preserve"> was given in the name of </w:t>
      </w:r>
      <w:r w:rsidR="008C04E4">
        <w:rPr>
          <w:rFonts w:cs="Times New Roman"/>
          <w:szCs w:val="24"/>
        </w:rPr>
        <w:t>others</w:t>
      </w:r>
      <w:r w:rsidRPr="0027541D">
        <w:rPr>
          <w:rFonts w:cs="Times New Roman"/>
          <w:szCs w:val="24"/>
        </w:rPr>
        <w:t xml:space="preserve"> but not </w:t>
      </w:r>
      <w:r w:rsidR="008C04E4">
        <w:rPr>
          <w:rFonts w:cs="Times New Roman"/>
          <w:szCs w:val="24"/>
        </w:rPr>
        <w:t>the later eve</w:t>
      </w:r>
      <w:r w:rsidRPr="0027541D">
        <w:rPr>
          <w:rFonts w:cs="Times New Roman"/>
          <w:szCs w:val="24"/>
        </w:rPr>
        <w:t xml:space="preserve">n though they all bordered the Bobiri Forest </w:t>
      </w:r>
      <w:r>
        <w:rPr>
          <w:rFonts w:cs="Times New Roman"/>
          <w:szCs w:val="24"/>
        </w:rPr>
        <w:t>R</w:t>
      </w:r>
      <w:r w:rsidRPr="0027541D">
        <w:rPr>
          <w:rFonts w:cs="Times New Roman"/>
          <w:szCs w:val="24"/>
        </w:rPr>
        <w:t xml:space="preserve">eserve. </w:t>
      </w:r>
    </w:p>
    <w:p w14:paraId="4078A312" w14:textId="4AC29680" w:rsidR="000012F2" w:rsidRPr="0027541D" w:rsidRDefault="000012F2" w:rsidP="008F7D23">
      <w:pPr>
        <w:spacing w:after="0"/>
        <w:ind w:left="0" w:firstLine="0"/>
        <w:rPr>
          <w:rFonts w:cs="Times New Roman"/>
          <w:szCs w:val="24"/>
        </w:rPr>
      </w:pPr>
      <w:r>
        <w:rPr>
          <w:rFonts w:cs="Times New Roman"/>
          <w:szCs w:val="24"/>
        </w:rPr>
        <w:tab/>
      </w:r>
      <w:r w:rsidRPr="0027541D">
        <w:rPr>
          <w:rFonts w:cs="Times New Roman"/>
          <w:szCs w:val="24"/>
        </w:rPr>
        <w:t>In this light,</w:t>
      </w:r>
      <w:r w:rsidR="0078377F">
        <w:rPr>
          <w:rFonts w:cs="Times New Roman"/>
          <w:szCs w:val="24"/>
        </w:rPr>
        <w:t xml:space="preserve"> key informant 3 from the</w:t>
      </w:r>
      <w:r w:rsidRPr="0027541D">
        <w:rPr>
          <w:rFonts w:cs="Times New Roman"/>
          <w:szCs w:val="24"/>
        </w:rPr>
        <w:t xml:space="preserve"> 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w:t>
      </w:r>
      <w:r w:rsidR="005F64EA">
        <w:rPr>
          <w:rFonts w:cs="Times New Roman"/>
          <w:szCs w:val="24"/>
        </w:rPr>
        <w:t xml:space="preserve">at the BFR </w:t>
      </w:r>
      <w:r>
        <w:rPr>
          <w:rFonts w:cs="Times New Roman"/>
          <w:szCs w:val="24"/>
        </w:rPr>
        <w:t>on 18</w:t>
      </w:r>
      <w:r w:rsidRPr="00362835">
        <w:rPr>
          <w:rFonts w:cs="Times New Roman"/>
          <w:szCs w:val="24"/>
          <w:vertAlign w:val="superscript"/>
        </w:rPr>
        <w:t>th</w:t>
      </w:r>
      <w:r>
        <w:rPr>
          <w:rFonts w:cs="Times New Roman"/>
          <w:szCs w:val="24"/>
        </w:rPr>
        <w:t xml:space="preserve"> February 2024 </w:t>
      </w:r>
      <w:r w:rsidRPr="0027541D">
        <w:rPr>
          <w:rFonts w:cs="Times New Roman"/>
          <w:szCs w:val="24"/>
        </w:rPr>
        <w:t xml:space="preserve">noted that </w:t>
      </w:r>
      <w:r>
        <w:rPr>
          <w:rFonts w:cs="Times New Roman"/>
          <w:szCs w:val="24"/>
        </w:rPr>
        <w:t>the FSD</w:t>
      </w:r>
      <w:r w:rsidRPr="0027541D">
        <w:rPr>
          <w:rFonts w:cs="Times New Roman"/>
          <w:szCs w:val="24"/>
        </w:rPr>
        <w:t xml:space="preserve"> c</w:t>
      </w:r>
      <w:r>
        <w:rPr>
          <w:rFonts w:cs="Times New Roman"/>
          <w:szCs w:val="24"/>
        </w:rPr>
        <w:t>ould</w:t>
      </w:r>
      <w:r w:rsidRPr="0027541D">
        <w:rPr>
          <w:rFonts w:cs="Times New Roman"/>
          <w:szCs w:val="24"/>
        </w:rPr>
        <w:t xml:space="preserve"> determine whether to give </w:t>
      </w:r>
      <w:r>
        <w:rPr>
          <w:rFonts w:cs="Times New Roman"/>
          <w:szCs w:val="24"/>
        </w:rPr>
        <w:t xml:space="preserve">the amount </w:t>
      </w:r>
      <w:r w:rsidRPr="0027541D">
        <w:rPr>
          <w:rFonts w:cs="Times New Roman"/>
          <w:szCs w:val="24"/>
        </w:rPr>
        <w:t>to this town or the other or could be shared between two towns if the SRA amount was large. To the rep</w:t>
      </w:r>
      <w:r>
        <w:rPr>
          <w:rFonts w:cs="Times New Roman"/>
          <w:szCs w:val="24"/>
        </w:rPr>
        <w:t>resentative</w:t>
      </w:r>
      <w:r w:rsidRPr="0027541D">
        <w:rPr>
          <w:rFonts w:cs="Times New Roman"/>
          <w:szCs w:val="24"/>
        </w:rPr>
        <w:t>, it was worth noting that if town A receive</w:t>
      </w:r>
      <w:r w:rsidR="005F64EA">
        <w:rPr>
          <w:rFonts w:cs="Times New Roman"/>
          <w:szCs w:val="24"/>
        </w:rPr>
        <w:t>d</w:t>
      </w:r>
      <w:r w:rsidRPr="0027541D">
        <w:rPr>
          <w:rFonts w:cs="Times New Roman"/>
          <w:szCs w:val="24"/>
        </w:rPr>
        <w:t xml:space="preserve"> </w:t>
      </w:r>
      <w:r>
        <w:rPr>
          <w:rFonts w:cs="Times New Roman"/>
          <w:szCs w:val="24"/>
        </w:rPr>
        <w:t xml:space="preserve">a </w:t>
      </w:r>
      <w:r w:rsidRPr="0027541D">
        <w:rPr>
          <w:rFonts w:cs="Times New Roman"/>
          <w:szCs w:val="24"/>
        </w:rPr>
        <w:t>concession for this period, the town w</w:t>
      </w:r>
      <w:r w:rsidR="005F64EA">
        <w:rPr>
          <w:rFonts w:cs="Times New Roman"/>
          <w:szCs w:val="24"/>
        </w:rPr>
        <w:t>ould</w:t>
      </w:r>
      <w:r w:rsidRPr="0027541D">
        <w:rPr>
          <w:rFonts w:cs="Times New Roman"/>
          <w:szCs w:val="24"/>
        </w:rPr>
        <w:t xml:space="preserve"> not be eligible to receive the SRA the next time. From this statement</w:t>
      </w:r>
      <w:r>
        <w:rPr>
          <w:rFonts w:cs="Times New Roman"/>
          <w:szCs w:val="24"/>
        </w:rPr>
        <w:t>,</w:t>
      </w:r>
      <w:r w:rsidRPr="0027541D">
        <w:rPr>
          <w:rFonts w:cs="Times New Roman"/>
          <w:szCs w:val="24"/>
        </w:rPr>
        <w:t xml:space="preserve"> it could be deduced that the </w:t>
      </w:r>
      <w:r>
        <w:rPr>
          <w:rFonts w:cs="Times New Roman"/>
          <w:szCs w:val="24"/>
        </w:rPr>
        <w:t>FSD</w:t>
      </w:r>
      <w:r w:rsidRPr="0027541D">
        <w:rPr>
          <w:rFonts w:cs="Times New Roman"/>
          <w:szCs w:val="24"/>
        </w:rPr>
        <w:t xml:space="preserve"> is the party that decided the amount of the SRA</w:t>
      </w:r>
      <w:r>
        <w:rPr>
          <w:rFonts w:cs="Times New Roman"/>
          <w:szCs w:val="24"/>
        </w:rPr>
        <w:t>,</w:t>
      </w:r>
      <w:r w:rsidRPr="0027541D">
        <w:rPr>
          <w:rFonts w:cs="Times New Roman"/>
          <w:szCs w:val="24"/>
        </w:rPr>
        <w:t xml:space="preserve"> contrary to the policy stating that the traditional authority was the body mandated to negotiate for the amount while ensuring it accrued to the community members. In addition, the D</w:t>
      </w:r>
      <w:r>
        <w:rPr>
          <w:rFonts w:cs="Times New Roman"/>
          <w:szCs w:val="24"/>
        </w:rPr>
        <w:t>.</w:t>
      </w:r>
      <w:r w:rsidRPr="0027541D">
        <w:rPr>
          <w:rFonts w:cs="Times New Roman"/>
          <w:szCs w:val="24"/>
        </w:rPr>
        <w:t>A</w:t>
      </w:r>
      <w:r>
        <w:rPr>
          <w:rFonts w:cs="Times New Roman"/>
          <w:szCs w:val="24"/>
        </w:rPr>
        <w:t>. representative</w:t>
      </w:r>
      <w:r w:rsidRPr="0027541D">
        <w:rPr>
          <w:rFonts w:cs="Times New Roman"/>
          <w:szCs w:val="24"/>
        </w:rPr>
        <w:t xml:space="preserve"> </w:t>
      </w:r>
      <w:r>
        <w:rPr>
          <w:rFonts w:cs="Times New Roman"/>
          <w:szCs w:val="24"/>
        </w:rPr>
        <w:t>did</w:t>
      </w:r>
      <w:r w:rsidRPr="0027541D">
        <w:rPr>
          <w:rFonts w:cs="Times New Roman"/>
          <w:szCs w:val="24"/>
        </w:rPr>
        <w:t xml:space="preserve"> not know that SRAs were shared </w:t>
      </w:r>
      <w:r>
        <w:rPr>
          <w:rFonts w:cs="Times New Roman"/>
          <w:szCs w:val="24"/>
        </w:rPr>
        <w:t>with</w:t>
      </w:r>
      <w:r w:rsidRPr="0027541D">
        <w:rPr>
          <w:rFonts w:cs="Times New Roman"/>
          <w:szCs w:val="24"/>
        </w:rPr>
        <w:t xml:space="preserve"> communities within 5 km of the compartment area</w:t>
      </w:r>
      <w:r w:rsidR="005F64EA">
        <w:rPr>
          <w:rFonts w:cs="Times New Roman"/>
          <w:szCs w:val="24"/>
        </w:rPr>
        <w:t xml:space="preserve"> where the timber was being </w:t>
      </w:r>
      <w:proofErr w:type="gramStart"/>
      <w:r w:rsidR="005F64EA">
        <w:rPr>
          <w:rFonts w:cs="Times New Roman"/>
          <w:szCs w:val="24"/>
        </w:rPr>
        <w:t>extracted,</w:t>
      </w:r>
      <w:r w:rsidRPr="0027541D">
        <w:rPr>
          <w:rFonts w:cs="Times New Roman"/>
          <w:szCs w:val="24"/>
        </w:rPr>
        <w:t xml:space="preserve"> but</w:t>
      </w:r>
      <w:proofErr w:type="gramEnd"/>
      <w:r w:rsidRPr="0027541D">
        <w:rPr>
          <w:rFonts w:cs="Times New Roman"/>
          <w:szCs w:val="24"/>
        </w:rPr>
        <w:t xml:space="preserve"> were not shared on </w:t>
      </w:r>
      <w:r>
        <w:rPr>
          <w:rFonts w:cs="Times New Roman"/>
          <w:szCs w:val="24"/>
        </w:rPr>
        <w:t xml:space="preserve">a </w:t>
      </w:r>
      <w:r w:rsidRPr="0027541D">
        <w:rPr>
          <w:rFonts w:cs="Times New Roman"/>
          <w:szCs w:val="24"/>
        </w:rPr>
        <w:t xml:space="preserve">rotational basis. This also implied that </w:t>
      </w:r>
      <w:r>
        <w:rPr>
          <w:rFonts w:cs="Times New Roman"/>
          <w:szCs w:val="24"/>
        </w:rPr>
        <w:t>the FSD</w:t>
      </w:r>
      <w:r w:rsidRPr="0027541D">
        <w:rPr>
          <w:rFonts w:cs="Times New Roman"/>
          <w:szCs w:val="24"/>
        </w:rPr>
        <w:t xml:space="preserve"> was not undertaking its mandate </w:t>
      </w:r>
      <w:r>
        <w:rPr>
          <w:rFonts w:cs="Times New Roman"/>
          <w:szCs w:val="24"/>
        </w:rPr>
        <w:t>to ensure</w:t>
      </w:r>
      <w:r w:rsidRPr="0027541D">
        <w:rPr>
          <w:rFonts w:cs="Times New Roman"/>
          <w:szCs w:val="24"/>
        </w:rPr>
        <w:t xml:space="preserve"> that the various stakeholders understood the processes concerning the SRA.</w:t>
      </w:r>
    </w:p>
    <w:p w14:paraId="6F14BF08" w14:textId="77777777" w:rsidR="000012F2" w:rsidRPr="0027541D" w:rsidRDefault="000012F2" w:rsidP="000012F2">
      <w:pPr>
        <w:spacing w:after="0"/>
        <w:ind w:left="0" w:firstLine="0"/>
      </w:pPr>
      <w:r w:rsidRPr="0027541D">
        <w:t>D</w:t>
      </w:r>
      <w:r>
        <w:t>.</w:t>
      </w:r>
      <w:r w:rsidRPr="0027541D">
        <w:t>A</w:t>
      </w:r>
      <w:r>
        <w:t>. Representatives</w:t>
      </w:r>
    </w:p>
    <w:p w14:paraId="09F1796A" w14:textId="77777777" w:rsidR="000012F2" w:rsidRDefault="000012F2" w:rsidP="000012F2">
      <w:pPr>
        <w:spacing w:after="0"/>
        <w:ind w:left="0" w:firstLine="0"/>
        <w:rPr>
          <w:rFonts w:cs="Times New Roman"/>
          <w:szCs w:val="24"/>
        </w:rPr>
      </w:pPr>
      <w:r>
        <w:rPr>
          <w:rFonts w:cs="Times New Roman"/>
          <w:szCs w:val="24"/>
        </w:rPr>
        <w:tab/>
      </w:r>
      <w:r w:rsidRPr="0027541D">
        <w:rPr>
          <w:rFonts w:cs="Times New Roman"/>
          <w:szCs w:val="24"/>
        </w:rPr>
        <w:t xml:space="preserve">The </w:t>
      </w:r>
      <w:r>
        <w:rPr>
          <w:rFonts w:cs="Times New Roman"/>
          <w:szCs w:val="24"/>
        </w:rPr>
        <w:t>next</w:t>
      </w:r>
      <w:r w:rsidRPr="0027541D">
        <w:rPr>
          <w:rFonts w:cs="Times New Roman"/>
          <w:szCs w:val="24"/>
        </w:rPr>
        <w:t xml:space="preserve"> stakeholder provided in the revised SRA agreement were 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representatives. The D</w:t>
      </w:r>
      <w:r>
        <w:rPr>
          <w:rFonts w:cs="Times New Roman"/>
          <w:szCs w:val="24"/>
        </w:rPr>
        <w:t>.</w:t>
      </w:r>
      <w:r w:rsidRPr="0027541D">
        <w:rPr>
          <w:rFonts w:cs="Times New Roman"/>
          <w:szCs w:val="24"/>
        </w:rPr>
        <w:t>A</w:t>
      </w:r>
      <w:r>
        <w:rPr>
          <w:rFonts w:cs="Times New Roman"/>
          <w:szCs w:val="24"/>
        </w:rPr>
        <w:t>. representatives</w:t>
      </w:r>
      <w:r w:rsidRPr="0027541D">
        <w:rPr>
          <w:rFonts w:cs="Times New Roman"/>
          <w:szCs w:val="24"/>
        </w:rPr>
        <w:t xml:space="preserve"> performed similar roles </w:t>
      </w:r>
      <w:r>
        <w:rPr>
          <w:rFonts w:cs="Times New Roman"/>
          <w:szCs w:val="24"/>
        </w:rPr>
        <w:t>to</w:t>
      </w:r>
      <w:r w:rsidRPr="0027541D">
        <w:rPr>
          <w:rFonts w:cs="Times New Roman"/>
          <w:szCs w:val="24"/>
        </w:rPr>
        <w:t xml:space="preserve"> the </w:t>
      </w:r>
      <w:r w:rsidRPr="0027541D">
        <w:rPr>
          <w:rFonts w:cs="Times New Roman"/>
          <w:szCs w:val="24"/>
        </w:rPr>
        <w:lastRenderedPageBreak/>
        <w:t xml:space="preserve">Traditional </w:t>
      </w:r>
      <w:r>
        <w:rPr>
          <w:rFonts w:cs="Times New Roman"/>
          <w:szCs w:val="24"/>
        </w:rPr>
        <w:t>A</w:t>
      </w:r>
      <w:r w:rsidRPr="0027541D">
        <w:rPr>
          <w:rFonts w:cs="Times New Roman"/>
          <w:szCs w:val="24"/>
        </w:rPr>
        <w:t>uthorit</w:t>
      </w:r>
      <w:r>
        <w:rPr>
          <w:rFonts w:cs="Times New Roman"/>
          <w:szCs w:val="24"/>
        </w:rPr>
        <w:t>ies</w:t>
      </w:r>
      <w:r w:rsidRPr="0027541D">
        <w:rPr>
          <w:rFonts w:cs="Times New Roman"/>
          <w:szCs w:val="24"/>
        </w:rPr>
        <w:t xml:space="preserve"> and the </w:t>
      </w:r>
      <w:r>
        <w:rPr>
          <w:rFonts w:cs="Times New Roman"/>
          <w:szCs w:val="24"/>
        </w:rPr>
        <w:t>FSD</w:t>
      </w:r>
      <w:r w:rsidRPr="0027541D">
        <w:rPr>
          <w:rFonts w:cs="Times New Roman"/>
          <w:szCs w:val="24"/>
        </w:rPr>
        <w:t xml:space="preserve"> </w:t>
      </w:r>
      <w:r>
        <w:rPr>
          <w:rFonts w:cs="Times New Roman"/>
          <w:szCs w:val="24"/>
        </w:rPr>
        <w:t>T</w:t>
      </w:r>
      <w:r w:rsidRPr="0027541D">
        <w:rPr>
          <w:rFonts w:cs="Times New Roman"/>
          <w:szCs w:val="24"/>
        </w:rPr>
        <w:t>he only additional role f</w:t>
      </w:r>
      <w:r>
        <w:rPr>
          <w:rFonts w:cs="Times New Roman"/>
          <w:szCs w:val="24"/>
        </w:rPr>
        <w:t>or</w:t>
      </w:r>
      <w:r w:rsidRPr="0027541D">
        <w:rPr>
          <w:rFonts w:cs="Times New Roman"/>
          <w:szCs w:val="24"/>
        </w:rPr>
        <w:t xml:space="preserve"> th</w:t>
      </w:r>
      <w:r>
        <w:rPr>
          <w:rFonts w:cs="Times New Roman"/>
          <w:szCs w:val="24"/>
        </w:rPr>
        <w:t>is</w:t>
      </w:r>
      <w:r w:rsidRPr="0027541D">
        <w:rPr>
          <w:rFonts w:cs="Times New Roman"/>
          <w:szCs w:val="24"/>
        </w:rPr>
        <w:t xml:space="preserve"> stakeholder as stipulated in the policy was being </w:t>
      </w:r>
      <w:r>
        <w:rPr>
          <w:rFonts w:cs="Times New Roman"/>
          <w:szCs w:val="24"/>
        </w:rPr>
        <w:t xml:space="preserve">a </w:t>
      </w:r>
      <w:r w:rsidRPr="0027541D">
        <w:rPr>
          <w:rFonts w:cs="Times New Roman"/>
          <w:szCs w:val="24"/>
        </w:rPr>
        <w:t xml:space="preserve">witness to the process and advising where necessary. </w:t>
      </w:r>
    </w:p>
    <w:p w14:paraId="0FCB9361" w14:textId="37C111BC" w:rsidR="000012F2" w:rsidRDefault="000012F2" w:rsidP="000012F2">
      <w:pPr>
        <w:ind w:left="0" w:firstLine="0"/>
        <w:rPr>
          <w:rFonts w:cs="Times New Roman"/>
          <w:szCs w:val="24"/>
        </w:rPr>
      </w:pPr>
      <w:r>
        <w:rPr>
          <w:rFonts w:cs="Times New Roman"/>
          <w:szCs w:val="24"/>
        </w:rPr>
        <w:tab/>
        <w:t xml:space="preserve">Key informant </w:t>
      </w:r>
      <w:r w:rsidR="0078377F">
        <w:rPr>
          <w:rFonts w:cs="Times New Roman"/>
          <w:szCs w:val="24"/>
        </w:rPr>
        <w:t>3</w:t>
      </w:r>
      <w:r>
        <w:rPr>
          <w:rFonts w:cs="Times New Roman"/>
          <w:szCs w:val="24"/>
        </w:rPr>
        <w:t xml:space="preserve">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at Bobiri </w:t>
      </w:r>
      <w:r>
        <w:rPr>
          <w:rFonts w:cs="Times New Roman"/>
          <w:szCs w:val="24"/>
        </w:rPr>
        <w:t>on 8</w:t>
      </w:r>
      <w:r w:rsidRPr="004C2590">
        <w:rPr>
          <w:rFonts w:cs="Times New Roman"/>
          <w:szCs w:val="24"/>
          <w:vertAlign w:val="superscript"/>
        </w:rPr>
        <w:t>th</w:t>
      </w:r>
      <w:r>
        <w:rPr>
          <w:rFonts w:cs="Times New Roman"/>
          <w:szCs w:val="24"/>
        </w:rPr>
        <w:t xml:space="preserve"> of February 2024 con</w:t>
      </w:r>
      <w:r w:rsidRPr="0027541D">
        <w:rPr>
          <w:rFonts w:cs="Times New Roman"/>
          <w:szCs w:val="24"/>
        </w:rPr>
        <w:t>firmed that the communities ha</w:t>
      </w:r>
      <w:r>
        <w:rPr>
          <w:rFonts w:cs="Times New Roman"/>
          <w:szCs w:val="24"/>
        </w:rPr>
        <w:t>d</w:t>
      </w:r>
      <w:r w:rsidRPr="0027541D">
        <w:rPr>
          <w:rFonts w:cs="Times New Roman"/>
          <w:szCs w:val="24"/>
        </w:rPr>
        <w:t xml:space="preserve"> received SRAs, as stated in the policy yet noted that they were not involved in any of the processes stated by the policy. The representative further alluded to the fact that traditional authorities </w:t>
      </w:r>
      <w:r>
        <w:rPr>
          <w:rFonts w:cs="Times New Roman"/>
          <w:szCs w:val="24"/>
        </w:rPr>
        <w:t xml:space="preserve">determined how the </w:t>
      </w:r>
      <w:r w:rsidR="005F64EA">
        <w:rPr>
          <w:rFonts w:cs="Times New Roman"/>
          <w:szCs w:val="24"/>
        </w:rPr>
        <w:t>funds</w:t>
      </w:r>
      <w:r>
        <w:rPr>
          <w:rFonts w:cs="Times New Roman"/>
          <w:szCs w:val="24"/>
        </w:rPr>
        <w:t xml:space="preserve"> provided by the FSD</w:t>
      </w:r>
      <w:r w:rsidRPr="0027541D">
        <w:rPr>
          <w:rFonts w:cs="Times New Roman"/>
          <w:szCs w:val="24"/>
        </w:rPr>
        <w:t xml:space="preserve"> </w:t>
      </w:r>
      <w:r>
        <w:rPr>
          <w:rFonts w:cs="Times New Roman"/>
          <w:szCs w:val="24"/>
        </w:rPr>
        <w:t xml:space="preserve">as SRA </w:t>
      </w:r>
      <w:r w:rsidRPr="0027541D">
        <w:rPr>
          <w:rFonts w:cs="Times New Roman"/>
          <w:szCs w:val="24"/>
        </w:rPr>
        <w:t>w</w:t>
      </w:r>
      <w:r w:rsidR="005F64EA">
        <w:rPr>
          <w:rFonts w:cs="Times New Roman"/>
          <w:szCs w:val="24"/>
        </w:rPr>
        <w:t>ere</w:t>
      </w:r>
      <w:r w:rsidRPr="0027541D">
        <w:rPr>
          <w:rFonts w:cs="Times New Roman"/>
          <w:szCs w:val="24"/>
        </w:rPr>
        <w:t xml:space="preserve"> to be used. Even though </w:t>
      </w:r>
      <w:r>
        <w:rPr>
          <w:rFonts w:cs="Times New Roman"/>
          <w:szCs w:val="24"/>
        </w:rPr>
        <w:t xml:space="preserve">key informant </w:t>
      </w:r>
      <w:r w:rsidR="0078377F">
        <w:rPr>
          <w:rFonts w:cs="Times New Roman"/>
          <w:szCs w:val="24"/>
        </w:rPr>
        <w:t xml:space="preserve">3 </w:t>
      </w:r>
      <w:r>
        <w:rPr>
          <w:rFonts w:cs="Times New Roman"/>
          <w:szCs w:val="24"/>
        </w:rPr>
        <w:t xml:space="preserve">from the D. </w:t>
      </w:r>
      <w:r w:rsidRPr="0027541D">
        <w:rPr>
          <w:rFonts w:cs="Times New Roman"/>
          <w:szCs w:val="24"/>
        </w:rPr>
        <w:t>A</w:t>
      </w:r>
      <w:r>
        <w:rPr>
          <w:rFonts w:cs="Times New Roman"/>
          <w:szCs w:val="24"/>
        </w:rPr>
        <w:t>.</w:t>
      </w:r>
      <w:r w:rsidR="005F64EA">
        <w:rPr>
          <w:rFonts w:cs="Times New Roman"/>
          <w:szCs w:val="24"/>
        </w:rPr>
        <w:t xml:space="preserve"> at the BFR</w:t>
      </w:r>
      <w:r w:rsidRPr="0027541D">
        <w:rPr>
          <w:rFonts w:cs="Times New Roman"/>
          <w:szCs w:val="24"/>
        </w:rPr>
        <w:t xml:space="preserve"> w</w:t>
      </w:r>
      <w:r>
        <w:rPr>
          <w:rFonts w:cs="Times New Roman"/>
          <w:szCs w:val="24"/>
        </w:rPr>
        <w:t>as</w:t>
      </w:r>
      <w:r w:rsidRPr="0027541D">
        <w:rPr>
          <w:rFonts w:cs="Times New Roman"/>
          <w:szCs w:val="24"/>
        </w:rPr>
        <w:t xml:space="preserve"> a</w:t>
      </w:r>
      <w:r>
        <w:rPr>
          <w:rFonts w:cs="Times New Roman"/>
          <w:szCs w:val="24"/>
        </w:rPr>
        <w:t xml:space="preserve">ware of the SRA, the informant did not witness the process nor </w:t>
      </w:r>
      <w:r w:rsidR="005F64EA">
        <w:rPr>
          <w:rFonts w:cs="Times New Roman"/>
          <w:szCs w:val="24"/>
        </w:rPr>
        <w:t>advise on</w:t>
      </w:r>
      <w:r w:rsidRPr="0027541D">
        <w:rPr>
          <w:rFonts w:cs="Times New Roman"/>
          <w:szCs w:val="24"/>
        </w:rPr>
        <w:t xml:space="preserve"> the process. At the SSFR, </w:t>
      </w:r>
      <w:r>
        <w:rPr>
          <w:rFonts w:cs="Times New Roman"/>
          <w:szCs w:val="24"/>
        </w:rPr>
        <w:t xml:space="preserve">key informant 2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interviewed </w:t>
      </w:r>
      <w:r w:rsidR="005F64EA">
        <w:rPr>
          <w:rFonts w:cs="Times New Roman"/>
          <w:szCs w:val="24"/>
        </w:rPr>
        <w:t>on 8</w:t>
      </w:r>
      <w:r w:rsidR="005F64EA" w:rsidRPr="005F64EA">
        <w:rPr>
          <w:rFonts w:cs="Times New Roman"/>
          <w:szCs w:val="24"/>
          <w:vertAlign w:val="superscript"/>
        </w:rPr>
        <w:t>th</w:t>
      </w:r>
      <w:r w:rsidR="005F64EA">
        <w:rPr>
          <w:rFonts w:cs="Times New Roman"/>
          <w:szCs w:val="24"/>
        </w:rPr>
        <w:t xml:space="preserve"> February 2024 </w:t>
      </w:r>
      <w:r>
        <w:rPr>
          <w:rFonts w:cs="Times New Roman"/>
          <w:szCs w:val="24"/>
        </w:rPr>
        <w:t xml:space="preserve">acknowledged the existence </w:t>
      </w:r>
      <w:r w:rsidRPr="0027541D">
        <w:rPr>
          <w:rFonts w:cs="Times New Roman"/>
          <w:szCs w:val="24"/>
        </w:rPr>
        <w:t xml:space="preserve">of the SRA but had not been involved in a single </w:t>
      </w:r>
      <w:r>
        <w:rPr>
          <w:rFonts w:cs="Times New Roman"/>
          <w:szCs w:val="24"/>
        </w:rPr>
        <w:t>associated process</w:t>
      </w:r>
      <w:r w:rsidRPr="0027541D">
        <w:rPr>
          <w:rFonts w:cs="Times New Roman"/>
          <w:szCs w:val="24"/>
        </w:rPr>
        <w:t>.</w:t>
      </w:r>
    </w:p>
    <w:p w14:paraId="0FE1A8BD" w14:textId="77777777" w:rsidR="000012F2" w:rsidRPr="005F64EA" w:rsidRDefault="000012F2" w:rsidP="000012F2">
      <w:pPr>
        <w:pStyle w:val="Heading2"/>
        <w:ind w:left="0"/>
        <w:rPr>
          <w:b w:val="0"/>
          <w:bCs/>
        </w:rPr>
      </w:pPr>
      <w:bookmarkStart w:id="346" w:name="_Toc202197674"/>
      <w:r w:rsidRPr="005F64EA">
        <w:rPr>
          <w:b w:val="0"/>
          <w:bCs/>
        </w:rPr>
        <w:t>Community</w:t>
      </w:r>
      <w:bookmarkEnd w:id="346"/>
      <w:r w:rsidRPr="005F64EA">
        <w:rPr>
          <w:b w:val="0"/>
          <w:bCs/>
        </w:rPr>
        <w:t xml:space="preserve"> </w:t>
      </w:r>
    </w:p>
    <w:p w14:paraId="5F130C7C" w14:textId="77777777" w:rsidR="000012F2" w:rsidRPr="0027541D" w:rsidRDefault="000012F2" w:rsidP="000012F2">
      <w:pPr>
        <w:spacing w:after="0"/>
        <w:ind w:left="0" w:firstLine="0"/>
        <w:rPr>
          <w:rFonts w:cs="Times New Roman"/>
          <w:szCs w:val="24"/>
        </w:rPr>
      </w:pPr>
      <w:r>
        <w:rPr>
          <w:rFonts w:cs="Times New Roman"/>
          <w:szCs w:val="24"/>
        </w:rPr>
        <w:tab/>
      </w:r>
      <w:r w:rsidRPr="0027541D">
        <w:rPr>
          <w:rFonts w:cs="Times New Roman"/>
          <w:szCs w:val="24"/>
        </w:rPr>
        <w:t xml:space="preserve">Finally, the </w:t>
      </w:r>
      <w:r>
        <w:rPr>
          <w:rFonts w:cs="Times New Roman"/>
          <w:szCs w:val="24"/>
        </w:rPr>
        <w:t>community was the last stakeholder present in the study areas, with provisions in the polic</w:t>
      </w:r>
      <w:r w:rsidRPr="0027541D">
        <w:rPr>
          <w:rFonts w:cs="Times New Roman"/>
          <w:szCs w:val="24"/>
        </w:rPr>
        <w:t xml:space="preserve">y. The policy stipulates that the community be present during </w:t>
      </w:r>
      <w:r>
        <w:rPr>
          <w:rFonts w:cs="Times New Roman"/>
          <w:szCs w:val="24"/>
        </w:rPr>
        <w:t xml:space="preserve">the </w:t>
      </w:r>
      <w:r w:rsidRPr="0027541D">
        <w:rPr>
          <w:rFonts w:cs="Times New Roman"/>
          <w:szCs w:val="24"/>
        </w:rPr>
        <w:t xml:space="preserve">negotiation and signing of the agreement, demand accountability on </w:t>
      </w:r>
      <w:r>
        <w:rPr>
          <w:rFonts w:cs="Times New Roman"/>
          <w:szCs w:val="24"/>
        </w:rPr>
        <w:t xml:space="preserve">the </w:t>
      </w:r>
      <w:r w:rsidRPr="0027541D">
        <w:rPr>
          <w:rFonts w:cs="Times New Roman"/>
          <w:szCs w:val="24"/>
        </w:rPr>
        <w:t xml:space="preserve">use of funds, and execution of projects as scheduled, and help protect the forest from illegal timber activities. An analysis of responses from the questionnaires administered to community members revealed that </w:t>
      </w:r>
      <w:r>
        <w:rPr>
          <w:rFonts w:cs="Times New Roman"/>
          <w:szCs w:val="24"/>
        </w:rPr>
        <w:t>most of the Bobiri and Southern Scarp Forest Reserve residents</w:t>
      </w:r>
      <w:r w:rsidRPr="0027541D">
        <w:rPr>
          <w:rFonts w:cs="Times New Roman"/>
          <w:szCs w:val="24"/>
        </w:rPr>
        <w:t xml:space="preserve"> had no idea of what </w:t>
      </w:r>
      <w:r>
        <w:rPr>
          <w:rFonts w:cs="Times New Roman"/>
          <w:szCs w:val="24"/>
        </w:rPr>
        <w:t xml:space="preserve">the </w:t>
      </w:r>
      <w:r w:rsidRPr="0027541D">
        <w:rPr>
          <w:rFonts w:cs="Times New Roman"/>
          <w:szCs w:val="24"/>
        </w:rPr>
        <w:t xml:space="preserve">SRA was. In addition, </w:t>
      </w:r>
      <w:r>
        <w:rPr>
          <w:rFonts w:cs="Times New Roman"/>
          <w:szCs w:val="24"/>
        </w:rPr>
        <w:t>most</w:t>
      </w:r>
      <w:r w:rsidRPr="0027541D">
        <w:rPr>
          <w:rFonts w:cs="Times New Roman"/>
          <w:szCs w:val="24"/>
        </w:rPr>
        <w:t xml:space="preserve"> respondents did not perform any of the roles stipulated by the policy.</w:t>
      </w:r>
    </w:p>
    <w:p w14:paraId="78D2E93B" w14:textId="1CFF7696" w:rsidR="000012F2" w:rsidRDefault="000012F2" w:rsidP="000012F2">
      <w:pPr>
        <w:spacing w:after="0"/>
        <w:ind w:left="0" w:firstLine="0"/>
        <w:rPr>
          <w:rFonts w:cs="Times New Roman"/>
          <w:szCs w:val="24"/>
        </w:rPr>
      </w:pPr>
      <w:r>
        <w:rPr>
          <w:rFonts w:cs="Times New Roman"/>
          <w:szCs w:val="24"/>
        </w:rPr>
        <w:tab/>
      </w:r>
      <w:r w:rsidR="005F64EA">
        <w:rPr>
          <w:rFonts w:cs="Times New Roman"/>
          <w:szCs w:val="24"/>
        </w:rPr>
        <w:t xml:space="preserve">From the ensuing </w:t>
      </w:r>
      <w:proofErr w:type="spellStart"/>
      <w:proofErr w:type="gramStart"/>
      <w:r w:rsidR="005F64EA">
        <w:rPr>
          <w:rFonts w:cs="Times New Roman"/>
          <w:szCs w:val="24"/>
        </w:rPr>
        <w:t>discussions,t</w:t>
      </w:r>
      <w:r w:rsidRPr="0027541D">
        <w:rPr>
          <w:rFonts w:cs="Times New Roman"/>
          <w:szCs w:val="24"/>
        </w:rPr>
        <w:t>he</w:t>
      </w:r>
      <w:proofErr w:type="spellEnd"/>
      <w:proofErr w:type="gramEnd"/>
      <w:r w:rsidRPr="0027541D">
        <w:rPr>
          <w:rFonts w:cs="Times New Roman"/>
          <w:szCs w:val="24"/>
        </w:rPr>
        <w:t xml:space="preserve"> unawareness of the roles of each stakeholder and their subsequent lack of performance confirm</w:t>
      </w:r>
      <w:r>
        <w:rPr>
          <w:rFonts w:cs="Times New Roman"/>
          <w:szCs w:val="24"/>
        </w:rPr>
        <w:t>ed</w:t>
      </w:r>
      <w:r w:rsidRPr="0027541D">
        <w:rPr>
          <w:rFonts w:cs="Times New Roman"/>
          <w:szCs w:val="24"/>
        </w:rPr>
        <w:t xml:space="preserve"> the </w:t>
      </w:r>
      <w:r w:rsidRPr="0027541D">
        <w:rPr>
          <w:rFonts w:cs="Times New Roman"/>
          <w:szCs w:val="24"/>
        </w:rPr>
        <w:lastRenderedPageBreak/>
        <w:t xml:space="preserve">inefficiencies </w:t>
      </w:r>
      <w:r>
        <w:rPr>
          <w:rFonts w:cs="Times New Roman"/>
          <w:szCs w:val="24"/>
        </w:rPr>
        <w:t xml:space="preserve">described in </w:t>
      </w:r>
      <w:r w:rsidRPr="0027541D">
        <w:rPr>
          <w:rFonts w:cs="Times New Roman"/>
          <w:szCs w:val="24"/>
        </w:rPr>
        <w:t>the FDMP</w:t>
      </w:r>
      <w:r>
        <w:rPr>
          <w:rFonts w:cs="Times New Roman"/>
          <w:szCs w:val="24"/>
        </w:rPr>
        <w:t xml:space="preserve"> </w:t>
      </w:r>
      <w:r w:rsidRPr="0027541D">
        <w:rPr>
          <w:rFonts w:cs="Times New Roman"/>
          <w:szCs w:val="24"/>
        </w:rPr>
        <w:t xml:space="preserve">(2016-2036) and World Bank (2020) reports. These documents contend that there </w:t>
      </w:r>
      <w:r>
        <w:rPr>
          <w:rFonts w:cs="Times New Roman"/>
          <w:szCs w:val="24"/>
        </w:rPr>
        <w:t>was</w:t>
      </w:r>
      <w:r w:rsidRPr="0027541D">
        <w:rPr>
          <w:rFonts w:cs="Times New Roman"/>
          <w:szCs w:val="24"/>
        </w:rPr>
        <w:t xml:space="preserve"> a lack of </w:t>
      </w:r>
      <w:r>
        <w:rPr>
          <w:rFonts w:cs="Times New Roman"/>
          <w:szCs w:val="24"/>
        </w:rPr>
        <w:t xml:space="preserve">awareness and </w:t>
      </w:r>
      <w:r w:rsidRPr="0027541D">
        <w:rPr>
          <w:rFonts w:cs="Times New Roman"/>
          <w:szCs w:val="24"/>
        </w:rPr>
        <w:t xml:space="preserve">clarity in the roles of stakeholders in the management of natural resources </w:t>
      </w:r>
      <w:r>
        <w:rPr>
          <w:rFonts w:cs="Times New Roman"/>
          <w:szCs w:val="24"/>
        </w:rPr>
        <w:t>and</w:t>
      </w:r>
      <w:r w:rsidRPr="0027541D">
        <w:rPr>
          <w:rFonts w:cs="Times New Roman"/>
          <w:szCs w:val="24"/>
        </w:rPr>
        <w:t xml:space="preserve"> the various stakeholders were not aware of what is expected of them in this process</w:t>
      </w:r>
      <w:r>
        <w:rPr>
          <w:rFonts w:cs="Times New Roman"/>
          <w:szCs w:val="24"/>
        </w:rPr>
        <w:t>,</w:t>
      </w:r>
      <w:r w:rsidRPr="0027541D">
        <w:rPr>
          <w:rFonts w:cs="Times New Roman"/>
          <w:szCs w:val="24"/>
        </w:rPr>
        <w:t xml:space="preserve"> as this </w:t>
      </w:r>
      <w:r>
        <w:rPr>
          <w:rFonts w:cs="Times New Roman"/>
          <w:szCs w:val="24"/>
        </w:rPr>
        <w:t>tends</w:t>
      </w:r>
      <w:r w:rsidRPr="0027541D">
        <w:rPr>
          <w:rFonts w:cs="Times New Roman"/>
          <w:szCs w:val="24"/>
        </w:rPr>
        <w:t xml:space="preserve"> to reduce efficiency and accountability.  </w:t>
      </w:r>
      <w:r>
        <w:rPr>
          <w:rFonts w:cs="Times New Roman"/>
          <w:szCs w:val="24"/>
        </w:rPr>
        <w:t xml:space="preserve">The results further confirmed the study by </w:t>
      </w:r>
      <w:proofErr w:type="spellStart"/>
      <w:r>
        <w:rPr>
          <w:rFonts w:cs="Times New Roman"/>
          <w:szCs w:val="24"/>
        </w:rPr>
        <w:t>Nkemnyi</w:t>
      </w:r>
      <w:proofErr w:type="spellEnd"/>
      <w:r>
        <w:rPr>
          <w:rFonts w:cs="Times New Roman"/>
          <w:szCs w:val="24"/>
        </w:rPr>
        <w:t xml:space="preserve"> (2016), who maintained that poor awareness of the management processes hampered community participation.</w:t>
      </w:r>
    </w:p>
    <w:p w14:paraId="4E4A63C2" w14:textId="77777777" w:rsidR="000012F2" w:rsidRPr="000B5476" w:rsidRDefault="000012F2" w:rsidP="000012F2">
      <w:pPr>
        <w:pStyle w:val="BodyText"/>
        <w:ind w:left="0" w:firstLine="0"/>
      </w:pPr>
      <w:r>
        <w:t>Other benefits</w:t>
      </w:r>
    </w:p>
    <w:p w14:paraId="16E1F5E7" w14:textId="31DB2C3B" w:rsidR="000012F2" w:rsidRPr="0027541D" w:rsidRDefault="000012F2" w:rsidP="000012F2">
      <w:pPr>
        <w:spacing w:after="0"/>
        <w:ind w:left="0" w:firstLine="0"/>
        <w:rPr>
          <w:rFonts w:cs="Times New Roman"/>
          <w:szCs w:val="24"/>
        </w:rPr>
      </w:pPr>
      <w:r>
        <w:rPr>
          <w:rFonts w:cs="Times New Roman"/>
          <w:szCs w:val="24"/>
        </w:rPr>
        <w:tab/>
        <w:t>T</w:t>
      </w:r>
      <w:r w:rsidRPr="0027541D">
        <w:rPr>
          <w:rFonts w:cs="Times New Roman"/>
          <w:szCs w:val="24"/>
        </w:rPr>
        <w:t xml:space="preserve">he traditional authorities in </w:t>
      </w:r>
      <w:proofErr w:type="spellStart"/>
      <w:r w:rsidRPr="0027541D">
        <w:rPr>
          <w:rFonts w:cs="Times New Roman"/>
          <w:szCs w:val="24"/>
        </w:rPr>
        <w:t>Kubease</w:t>
      </w:r>
      <w:proofErr w:type="spellEnd"/>
      <w:r w:rsidRPr="0027541D">
        <w:rPr>
          <w:rFonts w:cs="Times New Roman"/>
          <w:szCs w:val="24"/>
        </w:rPr>
        <w:t xml:space="preserve"> and </w:t>
      </w:r>
      <w:proofErr w:type="spellStart"/>
      <w:r w:rsidRPr="0027541D">
        <w:rPr>
          <w:rFonts w:cs="Times New Roman"/>
          <w:szCs w:val="24"/>
        </w:rPr>
        <w:t>Nobewam</w:t>
      </w:r>
      <w:proofErr w:type="spellEnd"/>
      <w:r w:rsidRPr="0027541D">
        <w:rPr>
          <w:rFonts w:cs="Times New Roman"/>
          <w:szCs w:val="24"/>
        </w:rPr>
        <w:t xml:space="preserve"> were of one accord that the reserve housed their deity, Bobiri</w:t>
      </w:r>
      <w:r>
        <w:rPr>
          <w:rFonts w:cs="Times New Roman"/>
          <w:szCs w:val="24"/>
        </w:rPr>
        <w:t>. T</w:t>
      </w:r>
      <w:r w:rsidRPr="0027541D">
        <w:rPr>
          <w:rFonts w:cs="Times New Roman"/>
          <w:szCs w:val="24"/>
        </w:rPr>
        <w:t>herefore</w:t>
      </w:r>
      <w:r>
        <w:rPr>
          <w:rFonts w:cs="Times New Roman"/>
          <w:szCs w:val="24"/>
        </w:rPr>
        <w:t>,</w:t>
      </w:r>
      <w:r w:rsidRPr="0027541D">
        <w:rPr>
          <w:rFonts w:cs="Times New Roman"/>
          <w:szCs w:val="24"/>
        </w:rPr>
        <w:t xml:space="preserve"> the onus </w:t>
      </w:r>
      <w:r>
        <w:rPr>
          <w:rFonts w:cs="Times New Roman"/>
          <w:szCs w:val="24"/>
        </w:rPr>
        <w:t>was laid on them to help protect the reserve and</w:t>
      </w:r>
      <w:r w:rsidRPr="0027541D">
        <w:rPr>
          <w:rFonts w:cs="Times New Roman"/>
          <w:szCs w:val="24"/>
        </w:rPr>
        <w:t xml:space="preserve"> to enhance the sacred abode of their deity. They continued to indicate that the reserve also served as a tourist attraction th</w:t>
      </w:r>
      <w:r>
        <w:rPr>
          <w:rFonts w:cs="Times New Roman"/>
          <w:szCs w:val="24"/>
        </w:rPr>
        <w:t>at</w:t>
      </w:r>
      <w:r w:rsidRPr="0027541D">
        <w:rPr>
          <w:rFonts w:cs="Times New Roman"/>
          <w:szCs w:val="24"/>
        </w:rPr>
        <w:t xml:space="preserve"> improved their local economy since these tourists b</w:t>
      </w:r>
      <w:r w:rsidR="0078377F">
        <w:rPr>
          <w:rFonts w:cs="Times New Roman"/>
          <w:szCs w:val="24"/>
        </w:rPr>
        <w:t>ought</w:t>
      </w:r>
      <w:r w:rsidRPr="0027541D">
        <w:rPr>
          <w:rFonts w:cs="Times New Roman"/>
          <w:szCs w:val="24"/>
        </w:rPr>
        <w:t xml:space="preserve"> food and other items in their community. </w:t>
      </w:r>
      <w:r>
        <w:rPr>
          <w:rFonts w:cs="Times New Roman"/>
          <w:szCs w:val="24"/>
        </w:rPr>
        <w:t>In addition to the monetary gains derived from the process, stakeholders</w:t>
      </w:r>
      <w:r w:rsidRPr="0027541D">
        <w:rPr>
          <w:rFonts w:cs="Times New Roman"/>
          <w:szCs w:val="24"/>
        </w:rPr>
        <w:t xml:space="preserve"> </w:t>
      </w:r>
      <w:r w:rsidR="0078377F">
        <w:rPr>
          <w:rFonts w:cs="Times New Roman"/>
          <w:szCs w:val="24"/>
        </w:rPr>
        <w:t xml:space="preserve">in the reserves </w:t>
      </w:r>
      <w:r w:rsidRPr="0027541D">
        <w:rPr>
          <w:rFonts w:cs="Times New Roman"/>
          <w:szCs w:val="24"/>
        </w:rPr>
        <w:t xml:space="preserve">had </w:t>
      </w:r>
      <w:r>
        <w:rPr>
          <w:rFonts w:cs="Times New Roman"/>
          <w:szCs w:val="24"/>
        </w:rPr>
        <w:t xml:space="preserve">intangible </w:t>
      </w:r>
      <w:r w:rsidR="0078377F">
        <w:rPr>
          <w:rFonts w:cs="Times New Roman"/>
          <w:szCs w:val="24"/>
        </w:rPr>
        <w:t>gains</w:t>
      </w:r>
      <w:r w:rsidRPr="0027541D">
        <w:rPr>
          <w:rFonts w:cs="Times New Roman"/>
          <w:szCs w:val="24"/>
        </w:rPr>
        <w:t xml:space="preserve"> from social, educational</w:t>
      </w:r>
      <w:r>
        <w:rPr>
          <w:rFonts w:cs="Times New Roman"/>
          <w:szCs w:val="24"/>
        </w:rPr>
        <w:t>, and religious factor</w:t>
      </w:r>
      <w:r w:rsidRPr="0027541D">
        <w:rPr>
          <w:rFonts w:cs="Times New Roman"/>
          <w:szCs w:val="24"/>
        </w:rPr>
        <w:t xml:space="preserve">s </w:t>
      </w:r>
      <w:r>
        <w:rPr>
          <w:rFonts w:cs="Times New Roman"/>
          <w:szCs w:val="24"/>
        </w:rPr>
        <w:t>that spurred their participation in the management process.</w:t>
      </w:r>
    </w:p>
    <w:p w14:paraId="75A34C06" w14:textId="1B9213E8" w:rsidR="000012F2" w:rsidRDefault="000012F2" w:rsidP="000012F2">
      <w:pPr>
        <w:spacing w:after="0"/>
        <w:ind w:left="0" w:firstLine="0"/>
        <w:rPr>
          <w:rFonts w:cs="Times New Roman"/>
          <w:szCs w:val="24"/>
        </w:rPr>
      </w:pPr>
      <w:r>
        <w:rPr>
          <w:rFonts w:cs="Times New Roman"/>
          <w:szCs w:val="24"/>
        </w:rPr>
        <w:tab/>
        <w:t xml:space="preserve">Key informant </w:t>
      </w:r>
      <w:r w:rsidR="0078377F">
        <w:rPr>
          <w:rFonts w:cs="Times New Roman"/>
          <w:szCs w:val="24"/>
        </w:rPr>
        <w:t>3</w:t>
      </w:r>
      <w:r>
        <w:rPr>
          <w:rFonts w:cs="Times New Roman"/>
          <w:szCs w:val="24"/>
        </w:rPr>
        <w:t xml:space="preserve">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w:t>
      </w:r>
      <w:r>
        <w:rPr>
          <w:rFonts w:cs="Times New Roman"/>
          <w:szCs w:val="24"/>
        </w:rPr>
        <w:t xml:space="preserve">at Bobiri on the </w:t>
      </w:r>
      <w:proofErr w:type="gramStart"/>
      <w:r>
        <w:rPr>
          <w:rFonts w:cs="Times New Roman"/>
          <w:szCs w:val="24"/>
        </w:rPr>
        <w:t>8</w:t>
      </w:r>
      <w:r w:rsidRPr="000B5476">
        <w:rPr>
          <w:rFonts w:cs="Times New Roman"/>
          <w:szCs w:val="24"/>
          <w:vertAlign w:val="superscript"/>
        </w:rPr>
        <w:t>th</w:t>
      </w:r>
      <w:proofErr w:type="gramEnd"/>
      <w:r>
        <w:rPr>
          <w:rFonts w:cs="Times New Roman"/>
          <w:szCs w:val="24"/>
        </w:rPr>
        <w:t xml:space="preserve"> February 2024 noted</w:t>
      </w:r>
      <w:r w:rsidRPr="0027541D">
        <w:rPr>
          <w:rFonts w:cs="Times New Roman"/>
          <w:szCs w:val="24"/>
        </w:rPr>
        <w:t xml:space="preserve"> that the reserve contained various species of trees which served the educational needs of students</w:t>
      </w:r>
      <w:r>
        <w:rPr>
          <w:rFonts w:cs="Times New Roman"/>
          <w:szCs w:val="24"/>
        </w:rPr>
        <w:t>,</w:t>
      </w:r>
      <w:r w:rsidRPr="0027541D">
        <w:rPr>
          <w:rFonts w:cs="Times New Roman"/>
          <w:szCs w:val="24"/>
        </w:rPr>
        <w:t xml:space="preserve"> especially those from Kwame Nkrumah University of Science and Technology</w:t>
      </w:r>
      <w:r>
        <w:rPr>
          <w:rFonts w:cs="Times New Roman"/>
          <w:szCs w:val="24"/>
        </w:rPr>
        <w:t xml:space="preserve"> (KNUST) </w:t>
      </w:r>
      <w:r w:rsidRPr="0027541D">
        <w:rPr>
          <w:rFonts w:cs="Times New Roman"/>
          <w:szCs w:val="24"/>
        </w:rPr>
        <w:t>who came around to see the trees they ha</w:t>
      </w:r>
      <w:r>
        <w:rPr>
          <w:rFonts w:cs="Times New Roman"/>
          <w:szCs w:val="24"/>
        </w:rPr>
        <w:t>d</w:t>
      </w:r>
      <w:r w:rsidRPr="0027541D">
        <w:rPr>
          <w:rFonts w:cs="Times New Roman"/>
          <w:szCs w:val="24"/>
        </w:rPr>
        <w:t xml:space="preserve"> learned about in class. Moreso, </w:t>
      </w:r>
      <w:r>
        <w:rPr>
          <w:rFonts w:cs="Times New Roman"/>
          <w:szCs w:val="24"/>
        </w:rPr>
        <w:t xml:space="preserve">key informant </w:t>
      </w:r>
      <w:r w:rsidR="00C01FEC">
        <w:rPr>
          <w:rFonts w:cs="Times New Roman"/>
          <w:szCs w:val="24"/>
        </w:rPr>
        <w:t>4</w:t>
      </w:r>
      <w:r>
        <w:rPr>
          <w:rFonts w:cs="Times New Roman"/>
          <w:szCs w:val="24"/>
        </w:rPr>
        <w:t xml:space="preserve">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w:t>
      </w:r>
      <w:r w:rsidR="005F64EA">
        <w:rPr>
          <w:rFonts w:cs="Times New Roman"/>
          <w:szCs w:val="24"/>
        </w:rPr>
        <w:t xml:space="preserve">at the BFR </w:t>
      </w:r>
      <w:r>
        <w:rPr>
          <w:rFonts w:cs="Times New Roman"/>
          <w:szCs w:val="24"/>
        </w:rPr>
        <w:t>on 28</w:t>
      </w:r>
      <w:r w:rsidRPr="00286B37">
        <w:rPr>
          <w:rFonts w:cs="Times New Roman"/>
          <w:szCs w:val="24"/>
          <w:vertAlign w:val="superscript"/>
        </w:rPr>
        <w:t>th</w:t>
      </w:r>
      <w:r>
        <w:rPr>
          <w:rFonts w:cs="Times New Roman"/>
          <w:szCs w:val="24"/>
        </w:rPr>
        <w:t xml:space="preserve"> February 2024 </w:t>
      </w:r>
      <w:r w:rsidRPr="0027541D">
        <w:rPr>
          <w:rFonts w:cs="Times New Roman"/>
          <w:szCs w:val="24"/>
        </w:rPr>
        <w:t xml:space="preserve">echoed how the reserve serves as a legacy they needed to hand over to their children and grandchildren. For these reasons, stakeholders at the Bobiri Forest </w:t>
      </w:r>
      <w:r>
        <w:rPr>
          <w:rFonts w:cs="Times New Roman"/>
          <w:szCs w:val="24"/>
        </w:rPr>
        <w:t>R</w:t>
      </w:r>
      <w:r w:rsidRPr="0027541D">
        <w:rPr>
          <w:rFonts w:cs="Times New Roman"/>
          <w:szCs w:val="24"/>
        </w:rPr>
        <w:t>eserve revealed that they were highly committed to the process.</w:t>
      </w:r>
    </w:p>
    <w:p w14:paraId="14A8695C" w14:textId="77777777" w:rsidR="000012F2" w:rsidRPr="000B5476" w:rsidRDefault="000012F2" w:rsidP="000012F2">
      <w:pPr>
        <w:pStyle w:val="BodyText"/>
        <w:spacing w:after="0"/>
        <w:ind w:left="0" w:firstLine="0"/>
      </w:pPr>
      <w:r>
        <w:lastRenderedPageBreak/>
        <w:tab/>
        <w:t xml:space="preserve">As discussed earlier, the community members at Bobiri did not have an idea of the </w:t>
      </w:r>
      <w:proofErr w:type="gramStart"/>
      <w:r>
        <w:t>SRA, yet</w:t>
      </w:r>
      <w:proofErr w:type="gramEnd"/>
      <w:r>
        <w:t xml:space="preserve"> had some sociocultural reasons to participate in the activities relating to the reserve. The questionnaire revealed that the residents believed that the reserve influenced their local ecosystem by encouraging rainfall and regulating the wind. Secondly, the residents noted that the presence of the reserve attracted tourists. The presence of these tourists encouraged them to undertake businesses such as provision shops. Finally, the residents viewed the reserve as their deity’s abode which was worth protecting.    </w:t>
      </w:r>
    </w:p>
    <w:p w14:paraId="1BDEA68C" w14:textId="456F3F3F" w:rsidR="000012F2" w:rsidRPr="00D67E49" w:rsidRDefault="000012F2" w:rsidP="000012F2">
      <w:pPr>
        <w:spacing w:after="0"/>
        <w:ind w:left="0" w:firstLine="0"/>
        <w:rPr>
          <w:rFonts w:cs="Times New Roman"/>
          <w:color w:val="FF0000"/>
          <w:szCs w:val="24"/>
        </w:rPr>
      </w:pPr>
      <w:r>
        <w:rPr>
          <w:rFonts w:cs="Times New Roman"/>
          <w:szCs w:val="24"/>
        </w:rPr>
        <w:tab/>
      </w:r>
      <w:r w:rsidRPr="0027541D">
        <w:rPr>
          <w:rFonts w:cs="Times New Roman"/>
          <w:szCs w:val="24"/>
        </w:rPr>
        <w:t xml:space="preserve">In </w:t>
      </w:r>
      <w:r>
        <w:rPr>
          <w:rFonts w:cs="Times New Roman"/>
          <w:szCs w:val="24"/>
        </w:rPr>
        <w:t xml:space="preserve">the case of the SSFR, the community participated not because of the SRA, but because of </w:t>
      </w:r>
      <w:r w:rsidR="00C01FEC">
        <w:rPr>
          <w:rFonts w:cs="Times New Roman"/>
          <w:szCs w:val="24"/>
        </w:rPr>
        <w:t xml:space="preserve">the </w:t>
      </w:r>
      <w:r>
        <w:rPr>
          <w:rFonts w:cs="Times New Roman"/>
          <w:szCs w:val="24"/>
        </w:rPr>
        <w:t xml:space="preserve">tokens they would receive after the process. </w:t>
      </w:r>
      <w:r w:rsidR="00C01FEC">
        <w:rPr>
          <w:rFonts w:cs="Times New Roman"/>
          <w:szCs w:val="24"/>
        </w:rPr>
        <w:t>K</w:t>
      </w:r>
      <w:r>
        <w:rPr>
          <w:rFonts w:cs="Times New Roman"/>
          <w:szCs w:val="24"/>
        </w:rPr>
        <w:t xml:space="preserve">ey informant </w:t>
      </w:r>
      <w:r w:rsidR="00C01FEC">
        <w:rPr>
          <w:rFonts w:cs="Times New Roman"/>
          <w:szCs w:val="24"/>
        </w:rPr>
        <w:t xml:space="preserve">11 </w:t>
      </w:r>
      <w:r>
        <w:rPr>
          <w:rFonts w:cs="Times New Roman"/>
          <w:szCs w:val="24"/>
        </w:rPr>
        <w:t xml:space="preserve">from the FSD </w:t>
      </w:r>
      <w:r w:rsidR="005F64EA">
        <w:rPr>
          <w:rFonts w:cs="Times New Roman"/>
          <w:szCs w:val="24"/>
        </w:rPr>
        <w:t xml:space="preserve">at the SSFR </w:t>
      </w:r>
      <w:r>
        <w:rPr>
          <w:rFonts w:cs="Times New Roman"/>
          <w:szCs w:val="24"/>
        </w:rPr>
        <w:t>noted on the 12</w:t>
      </w:r>
      <w:r w:rsidRPr="00D67E49">
        <w:rPr>
          <w:rFonts w:cs="Times New Roman"/>
          <w:szCs w:val="24"/>
          <w:vertAlign w:val="superscript"/>
        </w:rPr>
        <w:t>th</w:t>
      </w:r>
      <w:r>
        <w:rPr>
          <w:rFonts w:cs="Times New Roman"/>
          <w:szCs w:val="24"/>
        </w:rPr>
        <w:t xml:space="preserve"> of March 2024 that some community members </w:t>
      </w:r>
      <w:r w:rsidRPr="0027541D">
        <w:rPr>
          <w:rFonts w:cs="Times New Roman"/>
          <w:szCs w:val="24"/>
        </w:rPr>
        <w:t xml:space="preserve">at </w:t>
      </w:r>
      <w:proofErr w:type="spellStart"/>
      <w:r w:rsidRPr="0027541D">
        <w:rPr>
          <w:rFonts w:cs="Times New Roman"/>
          <w:szCs w:val="24"/>
        </w:rPr>
        <w:t>Osubeng</w:t>
      </w:r>
      <w:proofErr w:type="spellEnd"/>
      <w:r w:rsidRPr="0027541D">
        <w:rPr>
          <w:rFonts w:cs="Times New Roman"/>
          <w:szCs w:val="24"/>
        </w:rPr>
        <w:t xml:space="preserve"> volunteered to help because they would be given tokens. The community members who volunteered to participate in the process were sometimes given tokens as a form of motivation to stay committed. </w:t>
      </w:r>
      <w:r w:rsidRPr="00F513F3">
        <w:rPr>
          <w:rFonts w:cs="Times New Roman"/>
          <w:szCs w:val="24"/>
        </w:rPr>
        <w:t xml:space="preserve">Assembly members were given </w:t>
      </w:r>
      <w:r>
        <w:rPr>
          <w:rFonts w:cs="Times New Roman"/>
          <w:szCs w:val="24"/>
        </w:rPr>
        <w:t xml:space="preserve">per </w:t>
      </w:r>
      <w:r w:rsidRPr="00F513F3">
        <w:rPr>
          <w:rFonts w:cs="Times New Roman"/>
          <w:szCs w:val="24"/>
        </w:rPr>
        <w:t xml:space="preserve">diems to motivate them. </w:t>
      </w:r>
    </w:p>
    <w:p w14:paraId="47A7FE35" w14:textId="1C11646C" w:rsidR="000012F2" w:rsidRDefault="000012F2" w:rsidP="000012F2">
      <w:pPr>
        <w:spacing w:after="0"/>
        <w:ind w:left="0" w:firstLine="0"/>
      </w:pPr>
      <w:r>
        <w:tab/>
      </w:r>
      <w:r w:rsidRPr="0027541D">
        <w:t xml:space="preserve">In the same light, </w:t>
      </w:r>
      <w:r>
        <w:t>key informant</w:t>
      </w:r>
      <w:r w:rsidRPr="0027541D">
        <w:t xml:space="preserve"> </w:t>
      </w:r>
      <w:r w:rsidR="005F64EA">
        <w:t>14 from the D.A.</w:t>
      </w:r>
      <w:r w:rsidRPr="0027541D">
        <w:t xml:space="preserve"> </w:t>
      </w:r>
      <w:r w:rsidR="005F64EA">
        <w:t xml:space="preserve">at the SSFR </w:t>
      </w:r>
      <w:r>
        <w:t>on the 5</w:t>
      </w:r>
      <w:r w:rsidRPr="007E48B3">
        <w:rPr>
          <w:vertAlign w:val="superscript"/>
        </w:rPr>
        <w:t>th</w:t>
      </w:r>
      <w:r>
        <w:t xml:space="preserve"> of March 2024 </w:t>
      </w:r>
      <w:r w:rsidRPr="0027541D">
        <w:t xml:space="preserve">maintained that community members were committed to the process because of the presence of their farms within the forest. </w:t>
      </w:r>
      <w:r>
        <w:t>Consequently, c</w:t>
      </w:r>
      <w:r w:rsidRPr="0027541D">
        <w:t>ommunity</w:t>
      </w:r>
      <w:r>
        <w:t xml:space="preserve"> members always made it a point to meet FSD whenever needed</w:t>
      </w:r>
      <w:r w:rsidRPr="0027541D">
        <w:t>. Every</w:t>
      </w:r>
      <w:r>
        <w:t xml:space="preserve"> activity was halted to</w:t>
      </w:r>
      <w:r w:rsidRPr="0027541D">
        <w:t xml:space="preserve"> attend the meetings. </w:t>
      </w:r>
      <w:r>
        <w:t>I</w:t>
      </w:r>
      <w:r w:rsidRPr="0027541D">
        <w:t xml:space="preserve">n addition, part of </w:t>
      </w:r>
      <w:r>
        <w:t xml:space="preserve">the </w:t>
      </w:r>
      <w:r w:rsidRPr="0027541D">
        <w:t xml:space="preserve">reserve bordering </w:t>
      </w:r>
      <w:proofErr w:type="spellStart"/>
      <w:r w:rsidRPr="0027541D">
        <w:t>Apesika</w:t>
      </w:r>
      <w:proofErr w:type="spellEnd"/>
      <w:r w:rsidRPr="0027541D">
        <w:t>/</w:t>
      </w:r>
      <w:proofErr w:type="spellStart"/>
      <w:r w:rsidRPr="0027541D">
        <w:t>Monsie</w:t>
      </w:r>
      <w:proofErr w:type="spellEnd"/>
      <w:r w:rsidRPr="0027541D">
        <w:t xml:space="preserve"> w</w:t>
      </w:r>
      <w:r>
        <w:t>as</w:t>
      </w:r>
      <w:r w:rsidRPr="0027541D">
        <w:t xml:space="preserve"> without commercial trees</w:t>
      </w:r>
      <w:r>
        <w:t>,</w:t>
      </w:r>
      <w:r w:rsidRPr="0027541D">
        <w:t xml:space="preserve"> so in their bid to receive these tree seedlings from the </w:t>
      </w:r>
      <w:r>
        <w:t>FSD</w:t>
      </w:r>
      <w:r w:rsidRPr="0027541D">
        <w:t>, they remain</w:t>
      </w:r>
      <w:r>
        <w:t>ed</w:t>
      </w:r>
      <w:r w:rsidRPr="0027541D">
        <w:t xml:space="preserve"> committed to the process.  On the other hand, key informant </w:t>
      </w:r>
      <w:r w:rsidR="00C01FEC">
        <w:t>13</w:t>
      </w:r>
      <w:r>
        <w:t xml:space="preserve"> from the D.A. on 27</w:t>
      </w:r>
      <w:r w:rsidRPr="00021EB6">
        <w:rPr>
          <w:vertAlign w:val="superscript"/>
        </w:rPr>
        <w:t>th</w:t>
      </w:r>
      <w:r>
        <w:t xml:space="preserve"> March 2024 </w:t>
      </w:r>
      <w:r w:rsidRPr="0027541D">
        <w:t xml:space="preserve">revealed </w:t>
      </w:r>
      <w:r>
        <w:t xml:space="preserve">that there was </w:t>
      </w:r>
      <w:r w:rsidRPr="0027541D">
        <w:t>no form of commitment from the community or the D</w:t>
      </w:r>
      <w:r>
        <w:t>.</w:t>
      </w:r>
      <w:r w:rsidRPr="0027541D">
        <w:t>A</w:t>
      </w:r>
      <w:r>
        <w:t xml:space="preserve">. </w:t>
      </w:r>
      <w:r>
        <w:lastRenderedPageBreak/>
        <w:t>representative</w:t>
      </w:r>
      <w:r w:rsidRPr="0027541D">
        <w:t xml:space="preserve"> </w:t>
      </w:r>
      <w:r w:rsidR="002277F9">
        <w:t>to</w:t>
      </w:r>
      <w:r w:rsidRPr="0027541D">
        <w:t xml:space="preserve"> the </w:t>
      </w:r>
      <w:r>
        <w:t>management</w:t>
      </w:r>
      <w:r w:rsidRPr="0027541D">
        <w:t xml:space="preserve"> process since they had nothing to benefit from the process. </w:t>
      </w:r>
    </w:p>
    <w:p w14:paraId="12D01DAF" w14:textId="77777777" w:rsidR="000012F2" w:rsidRDefault="000012F2" w:rsidP="000012F2">
      <w:pPr>
        <w:ind w:left="0" w:firstLine="0"/>
      </w:pPr>
      <w:r>
        <w:tab/>
      </w:r>
      <w:r w:rsidRPr="0027541D">
        <w:t xml:space="preserve">The discussions </w:t>
      </w:r>
      <w:r>
        <w:t>revealed that community members had another form of motivation to participate in the management process. In the absence of SRA, community members who were primary stakeholders had other motivating reasons in the form of tokens. By virtue of their roles as government representatives and liaisons between the government and the people, they sometimes needed per diem to encourage their participation in the process.</w:t>
      </w:r>
    </w:p>
    <w:p w14:paraId="1F4F27DD" w14:textId="1C202796" w:rsidR="008C04E4" w:rsidRPr="008C04E4" w:rsidRDefault="008C04E4" w:rsidP="008C04E4">
      <w:pPr>
        <w:pStyle w:val="BodyText"/>
        <w:ind w:left="0" w:firstLine="0"/>
      </w:pPr>
      <w:r>
        <w:tab/>
        <w:t>The exclusion of the traditional authorities, D.A. and the community members from the processes of determining the stumpage fee fails to build the capacity of these stakeholders as intended to effectively contribute to ensuring the sustainable management of the Bobiri and Southern Scarp Forest Reserves as envisioned by the RGSRA (2016). The exclusion of these stakeholders from the discussed processes further prevents the realisation of transparency in the management of these reserves. The lack of capacity of community members coupled with a lack of transparency hinders the sustainable management of forests as espoused by March et al. (2018)</w:t>
      </w:r>
    </w:p>
    <w:p w14:paraId="550F81AA" w14:textId="3554A6B8" w:rsidR="00680F6A" w:rsidRPr="0027541D" w:rsidRDefault="000012F2" w:rsidP="000012F2">
      <w:pPr>
        <w:ind w:left="0"/>
      </w:pPr>
      <w:r>
        <w:t xml:space="preserve">This result </w:t>
      </w:r>
      <w:r w:rsidR="008C04E4">
        <w:t xml:space="preserve">further </w:t>
      </w:r>
      <w:r w:rsidRPr="0027541D">
        <w:t>confirm</w:t>
      </w:r>
      <w:r>
        <w:t>ed</w:t>
      </w:r>
      <w:r w:rsidRPr="0027541D">
        <w:t xml:space="preserve"> the principle of the Social Exchange Theory</w:t>
      </w:r>
      <w:r>
        <w:t>,</w:t>
      </w:r>
      <w:r w:rsidRPr="0027541D">
        <w:t xml:space="preserve"> which noted that stakeholders will be committed to a process when the reward exceeds the cost involved.</w:t>
      </w:r>
      <w:r>
        <w:t xml:space="preserve"> This discussion further supports the study by Safari (2022), who divided the motivation of stakeholders into four groups: environmental, economic, social, and a mix of two or three motivations. These the study noted, encouraged them to be committed to the process.</w:t>
      </w:r>
    </w:p>
    <w:p w14:paraId="1A5EDCB4" w14:textId="77777777" w:rsidR="00680F6A" w:rsidRDefault="00680F6A" w:rsidP="00772DAC">
      <w:pPr>
        <w:ind w:left="0" w:firstLine="0"/>
      </w:pPr>
    </w:p>
    <w:p w14:paraId="4445B33E" w14:textId="77777777" w:rsidR="00680F6A" w:rsidRDefault="00680F6A" w:rsidP="000C7EC5">
      <w:pPr>
        <w:pStyle w:val="Heading1"/>
        <w:spacing w:before="0"/>
        <w:ind w:left="0"/>
      </w:pPr>
      <w:bookmarkStart w:id="347" w:name="_Toc202197675"/>
      <w:r w:rsidRPr="00E21C1D">
        <w:lastRenderedPageBreak/>
        <w:t>Chapter</w:t>
      </w:r>
      <w:r w:rsidRPr="0027541D">
        <w:t xml:space="preserve"> six</w:t>
      </w:r>
      <w:bookmarkEnd w:id="347"/>
    </w:p>
    <w:p w14:paraId="40FA20CC" w14:textId="65F52FF5" w:rsidR="00680F6A" w:rsidRPr="00BC15DF" w:rsidRDefault="004B759F" w:rsidP="000C7EC5">
      <w:pPr>
        <w:pStyle w:val="Heading1"/>
        <w:spacing w:before="0"/>
        <w:ind w:left="0"/>
      </w:pPr>
      <w:bookmarkStart w:id="348" w:name="_Toc202197676"/>
      <w:r>
        <w:t xml:space="preserve">EXAMINATION OF THE PERCEIVED </w:t>
      </w:r>
      <w:r w:rsidR="00B269C8">
        <w:t xml:space="preserve">SUSTAINABILITY </w:t>
      </w:r>
      <w:r w:rsidR="00831230">
        <w:t>of</w:t>
      </w:r>
      <w:r w:rsidR="00680F6A">
        <w:t xml:space="preserve"> THE </w:t>
      </w:r>
      <w:r w:rsidR="00465E6F">
        <w:t>MANAGEMENT</w:t>
      </w:r>
      <w:r w:rsidR="00272E87">
        <w:t xml:space="preserve"> OF THE BOBIRI AND SOUTHERN SCARP FOREST RESERVE</w:t>
      </w:r>
      <w:bookmarkEnd w:id="348"/>
    </w:p>
    <w:p w14:paraId="56C912B1" w14:textId="77777777" w:rsidR="00680F6A" w:rsidRPr="0027541D" w:rsidRDefault="00680F6A" w:rsidP="00772DAC">
      <w:pPr>
        <w:pStyle w:val="Heading2"/>
        <w:ind w:left="0"/>
        <w:rPr>
          <w:rFonts w:cs="Times New Roman"/>
          <w:szCs w:val="24"/>
        </w:rPr>
      </w:pPr>
      <w:bookmarkStart w:id="349" w:name="_Toc202197677"/>
      <w:r w:rsidRPr="0027541D">
        <w:rPr>
          <w:rFonts w:cs="Times New Roman"/>
          <w:szCs w:val="24"/>
        </w:rPr>
        <w:t>Introduction</w:t>
      </w:r>
      <w:bookmarkEnd w:id="349"/>
      <w:r w:rsidRPr="0027541D">
        <w:rPr>
          <w:rFonts w:cs="Times New Roman"/>
          <w:szCs w:val="24"/>
        </w:rPr>
        <w:t xml:space="preserve"> </w:t>
      </w:r>
    </w:p>
    <w:p w14:paraId="3C2C9CD4" w14:textId="77777777" w:rsidR="002C180E" w:rsidRDefault="000C7EC5" w:rsidP="002C180E">
      <w:pPr>
        <w:ind w:left="0"/>
      </w:pPr>
      <w:r>
        <w:rPr>
          <w:rFonts w:cs="Times New Roman"/>
          <w:szCs w:val="24"/>
        </w:rPr>
        <w:tab/>
      </w:r>
      <w:r w:rsidR="00701E70">
        <w:t xml:space="preserve">This chapter examined how sustainable the reserves in </w:t>
      </w:r>
      <w:proofErr w:type="gramStart"/>
      <w:r w:rsidR="00701E70">
        <w:t>Bobiri</w:t>
      </w:r>
      <w:proofErr w:type="gramEnd"/>
      <w:r w:rsidR="00701E70">
        <w:t xml:space="preserve"> and the Southern Scarp were being managed and</w:t>
      </w:r>
      <w:r w:rsidR="009C482C">
        <w:rPr>
          <w:rFonts w:cs="Times New Roman"/>
          <w:szCs w:val="24"/>
        </w:rPr>
        <w:t xml:space="preserve"> issues related to</w:t>
      </w:r>
      <w:r w:rsidR="009C482C" w:rsidRPr="0027541D">
        <w:rPr>
          <w:rFonts w:cs="Times New Roman"/>
          <w:szCs w:val="24"/>
        </w:rPr>
        <w:t xml:space="preserve"> the challenges inherent in the </w:t>
      </w:r>
      <w:r w:rsidR="009C482C">
        <w:rPr>
          <w:rFonts w:cs="Times New Roman"/>
          <w:szCs w:val="24"/>
        </w:rPr>
        <w:t>management</w:t>
      </w:r>
      <w:r w:rsidR="00701E70">
        <w:rPr>
          <w:rFonts w:cs="Times New Roman"/>
          <w:szCs w:val="24"/>
        </w:rPr>
        <w:t xml:space="preserve"> of the reserves</w:t>
      </w:r>
      <w:r w:rsidR="009C482C" w:rsidRPr="0027541D">
        <w:rPr>
          <w:rFonts w:cs="Times New Roman"/>
          <w:szCs w:val="24"/>
        </w:rPr>
        <w:t xml:space="preserve">. </w:t>
      </w:r>
      <w:r w:rsidR="002C180E">
        <w:t xml:space="preserve">A forest reserve could be sustainably managed along the lines of the sustainability of the forest’s productive capacity, the forest’s biological diversity, how the forest supports the socioeconomic functions of the community, and the presence of local legal policies that ensure community participation in the management process. </w:t>
      </w:r>
    </w:p>
    <w:p w14:paraId="16893AD3" w14:textId="77777777" w:rsidR="002C180E" w:rsidRDefault="002C180E" w:rsidP="002C180E">
      <w:pPr>
        <w:spacing w:after="0"/>
        <w:ind w:left="0" w:firstLine="0"/>
      </w:pPr>
      <w:bookmarkStart w:id="350" w:name="_Toc202197678"/>
      <w:r w:rsidRPr="006316EB">
        <w:rPr>
          <w:rStyle w:val="Heading2Char"/>
        </w:rPr>
        <w:t>Sustainable Forest Capacity</w:t>
      </w:r>
      <w:bookmarkEnd w:id="350"/>
      <w:r>
        <w:t xml:space="preserve">. </w:t>
      </w:r>
    </w:p>
    <w:p w14:paraId="29A260E8" w14:textId="78EB2A6C" w:rsidR="002C180E" w:rsidRDefault="002C180E" w:rsidP="002C180E">
      <w:pPr>
        <w:spacing w:after="0"/>
        <w:ind w:left="0"/>
        <w:rPr>
          <w:rFonts w:cs="Times New Roman"/>
          <w:szCs w:val="24"/>
        </w:rPr>
      </w:pPr>
      <w:r>
        <w:rPr>
          <w:rFonts w:cs="Times New Roman"/>
          <w:szCs w:val="24"/>
        </w:rPr>
        <w:t>Sustainable forest capacity refers to</w:t>
      </w:r>
      <w:r w:rsidRPr="00680AB1">
        <w:rPr>
          <w:rFonts w:cs="Times New Roman"/>
          <w:szCs w:val="24"/>
        </w:rPr>
        <w:t xml:space="preserve"> the degree to which goods and services can be acquired or utilised without impeding the functionality of forest ecosystems and their processes</w:t>
      </w:r>
      <w:r w:rsidR="004B759F">
        <w:rPr>
          <w:rFonts w:cs="Times New Roman"/>
          <w:szCs w:val="24"/>
        </w:rPr>
        <w:t xml:space="preserve"> (FAO, 2005)</w:t>
      </w:r>
      <w:r>
        <w:rPr>
          <w:rFonts w:cs="Times New Roman"/>
          <w:szCs w:val="24"/>
        </w:rPr>
        <w:t>. The primary data obtained from Bobiri revealed that the reserve did not possess the capacity to supply the needs of the stakeholders without impeding the other functions of the forest, as seen in the practices of the falling cycle. The practice of f</w:t>
      </w:r>
      <w:r w:rsidR="000265B9">
        <w:rPr>
          <w:rFonts w:cs="Times New Roman"/>
          <w:szCs w:val="24"/>
        </w:rPr>
        <w:t>e</w:t>
      </w:r>
      <w:r>
        <w:rPr>
          <w:rFonts w:cs="Times New Roman"/>
          <w:szCs w:val="24"/>
        </w:rPr>
        <w:t xml:space="preserve">lling trees within a compartment and sealing them off for other activities affected the communities’ economic use of the forest. To ensure continuous timber production, the FSD prevented other stakeholders from harvesting the resources. Community members were sometimes prevented from harvesting non-timber forest products such as canes to keep the forest intact for continuous timber production. This </w:t>
      </w:r>
      <w:r>
        <w:rPr>
          <w:rFonts w:cs="Times New Roman"/>
          <w:szCs w:val="24"/>
        </w:rPr>
        <w:lastRenderedPageBreak/>
        <w:t>was corroborated by secondary data revealing that the reserve</w:t>
      </w:r>
      <w:r w:rsidR="004B759F">
        <w:rPr>
          <w:rFonts w:cs="Times New Roman"/>
          <w:szCs w:val="24"/>
        </w:rPr>
        <w:t xml:space="preserve">, in addition to being </w:t>
      </w:r>
      <w:proofErr w:type="gramStart"/>
      <w:r w:rsidR="004B759F">
        <w:rPr>
          <w:rFonts w:cs="Times New Roman"/>
          <w:szCs w:val="24"/>
        </w:rPr>
        <w:t>state-led</w:t>
      </w:r>
      <w:proofErr w:type="gramEnd"/>
      <w:r w:rsidR="004B759F">
        <w:rPr>
          <w:rFonts w:cs="Times New Roman"/>
          <w:szCs w:val="24"/>
        </w:rPr>
        <w:t xml:space="preserve">, practised </w:t>
      </w:r>
      <w:r>
        <w:rPr>
          <w:rFonts w:cs="Times New Roman"/>
          <w:szCs w:val="24"/>
        </w:rPr>
        <w:t xml:space="preserve">a buffer zone </w:t>
      </w:r>
      <w:r w:rsidR="004B759F">
        <w:rPr>
          <w:rFonts w:cs="Times New Roman"/>
          <w:szCs w:val="24"/>
        </w:rPr>
        <w:t xml:space="preserve">system </w:t>
      </w:r>
      <w:r>
        <w:rPr>
          <w:rFonts w:cs="Times New Roman"/>
          <w:szCs w:val="24"/>
        </w:rPr>
        <w:t xml:space="preserve">that excluded the community. </w:t>
      </w:r>
    </w:p>
    <w:p w14:paraId="556C7D38" w14:textId="74D19835" w:rsidR="002C180E" w:rsidRDefault="002C180E" w:rsidP="002C180E">
      <w:pPr>
        <w:ind w:left="0" w:firstLine="0"/>
        <w:rPr>
          <w:rFonts w:cs="Times New Roman"/>
          <w:szCs w:val="24"/>
        </w:rPr>
      </w:pPr>
      <w:r>
        <w:rPr>
          <w:rFonts w:cs="Times New Roman"/>
          <w:szCs w:val="24"/>
        </w:rPr>
        <w:tab/>
        <w:t xml:space="preserve">In the case of the SSFR, the reserve could be seen to have a low ability to provide goods and services without affecting the ecosystem. The study noted that the reserve was depleted through consistent fire burning and illegal chainsaw operations which reduced the reserve's ability to perform this important function. In addition, the reserve practised the modified </w:t>
      </w:r>
      <w:proofErr w:type="spellStart"/>
      <w:r>
        <w:rPr>
          <w:rFonts w:cs="Times New Roman"/>
          <w:szCs w:val="24"/>
        </w:rPr>
        <w:t>Taungya</w:t>
      </w:r>
      <w:proofErr w:type="spellEnd"/>
      <w:r>
        <w:rPr>
          <w:rFonts w:cs="Times New Roman"/>
          <w:szCs w:val="24"/>
        </w:rPr>
        <w:t xml:space="preserve"> system </w:t>
      </w:r>
      <w:proofErr w:type="gramStart"/>
      <w:r>
        <w:rPr>
          <w:rFonts w:cs="Times New Roman"/>
          <w:szCs w:val="24"/>
        </w:rPr>
        <w:t>in an attempt to</w:t>
      </w:r>
      <w:proofErr w:type="gramEnd"/>
      <w:r>
        <w:rPr>
          <w:rFonts w:cs="Times New Roman"/>
          <w:szCs w:val="24"/>
        </w:rPr>
        <w:t xml:space="preserve"> increase the forest cover for a sustainable provision of goods and services. Key informant 1</w:t>
      </w:r>
      <w:r w:rsidR="00013B21">
        <w:rPr>
          <w:rFonts w:cs="Times New Roman"/>
          <w:szCs w:val="24"/>
        </w:rPr>
        <w:t>0</w:t>
      </w:r>
      <w:r>
        <w:rPr>
          <w:rFonts w:cs="Times New Roman"/>
          <w:szCs w:val="24"/>
        </w:rPr>
        <w:t xml:space="preserve"> from the FSD </w:t>
      </w:r>
      <w:r w:rsidR="004B759F">
        <w:rPr>
          <w:rFonts w:cs="Times New Roman"/>
          <w:szCs w:val="24"/>
        </w:rPr>
        <w:t xml:space="preserve">at the BFR </w:t>
      </w:r>
      <w:r>
        <w:rPr>
          <w:rFonts w:cs="Times New Roman"/>
          <w:szCs w:val="24"/>
        </w:rPr>
        <w:t>maintained the following:</w:t>
      </w:r>
    </w:p>
    <w:p w14:paraId="3E0CBE7C" w14:textId="797D7750" w:rsidR="002C180E" w:rsidRPr="00F44F9C" w:rsidRDefault="002C180E" w:rsidP="002C180E">
      <w:pPr>
        <w:ind w:right="656" w:firstLine="0"/>
        <w:rPr>
          <w:i/>
          <w:iCs/>
        </w:rPr>
      </w:pPr>
      <w:r w:rsidRPr="00F44F9C">
        <w:rPr>
          <w:rFonts w:cs="Times New Roman"/>
          <w:i/>
          <w:iCs/>
          <w:szCs w:val="24"/>
        </w:rPr>
        <w:t>Every</w:t>
      </w:r>
      <w:r>
        <w:rPr>
          <w:rFonts w:cs="Times New Roman"/>
          <w:i/>
          <w:iCs/>
          <w:szCs w:val="24"/>
        </w:rPr>
        <w:t xml:space="preserve"> </w:t>
      </w:r>
      <w:r w:rsidRPr="00F44F9C">
        <w:rPr>
          <w:rFonts w:cs="Times New Roman"/>
          <w:i/>
          <w:iCs/>
          <w:szCs w:val="24"/>
        </w:rPr>
        <w:t>time a community member farms beyond the boundary line, the member is made to interplant his</w:t>
      </w:r>
      <w:r>
        <w:rPr>
          <w:rFonts w:cs="Times New Roman"/>
          <w:i/>
          <w:iCs/>
          <w:szCs w:val="24"/>
        </w:rPr>
        <w:t>/her</w:t>
      </w:r>
      <w:r w:rsidRPr="00F44F9C">
        <w:rPr>
          <w:rFonts w:cs="Times New Roman"/>
          <w:i/>
          <w:iCs/>
          <w:szCs w:val="24"/>
        </w:rPr>
        <w:t xml:space="preserve"> crops with tree seedlings. </w:t>
      </w:r>
      <w:r w:rsidR="000265B9">
        <w:rPr>
          <w:rFonts w:cs="Times New Roman"/>
          <w:i/>
          <w:iCs/>
          <w:szCs w:val="24"/>
        </w:rPr>
        <w:t>I</w:t>
      </w:r>
      <w:r w:rsidRPr="00F44F9C">
        <w:rPr>
          <w:rFonts w:cs="Times New Roman"/>
          <w:i/>
          <w:iCs/>
          <w:szCs w:val="24"/>
        </w:rPr>
        <w:t>f a farmer fails to comply with this directive, the farmers’ crops are cleared off the land (key informant 1</w:t>
      </w:r>
      <w:r w:rsidR="00013B21">
        <w:rPr>
          <w:rFonts w:cs="Times New Roman"/>
          <w:i/>
          <w:iCs/>
          <w:szCs w:val="24"/>
        </w:rPr>
        <w:t>0</w:t>
      </w:r>
      <w:r w:rsidRPr="00F44F9C">
        <w:rPr>
          <w:rFonts w:cs="Times New Roman"/>
          <w:i/>
          <w:iCs/>
          <w:szCs w:val="24"/>
        </w:rPr>
        <w:t xml:space="preserve">, </w:t>
      </w:r>
      <w:r>
        <w:rPr>
          <w:rFonts w:cs="Times New Roman"/>
          <w:i/>
          <w:iCs/>
          <w:szCs w:val="24"/>
        </w:rPr>
        <w:t>4</w:t>
      </w:r>
      <w:r w:rsidRPr="007E339E">
        <w:rPr>
          <w:rFonts w:cs="Times New Roman"/>
          <w:i/>
          <w:iCs/>
          <w:szCs w:val="24"/>
          <w:vertAlign w:val="superscript"/>
        </w:rPr>
        <w:t>th</w:t>
      </w:r>
      <w:r>
        <w:rPr>
          <w:rFonts w:cs="Times New Roman"/>
          <w:i/>
          <w:iCs/>
          <w:szCs w:val="24"/>
        </w:rPr>
        <w:t xml:space="preserve"> March 2024)</w:t>
      </w:r>
      <w:r w:rsidRPr="00F44F9C">
        <w:rPr>
          <w:rFonts w:cs="Times New Roman"/>
          <w:i/>
          <w:iCs/>
          <w:szCs w:val="24"/>
        </w:rPr>
        <w:t xml:space="preserve"> </w:t>
      </w:r>
    </w:p>
    <w:p w14:paraId="09F47F88" w14:textId="6ABB65A9" w:rsidR="002C180E" w:rsidRDefault="002C180E" w:rsidP="002C180E">
      <w:pPr>
        <w:ind w:left="0"/>
      </w:pPr>
      <w:r>
        <w:t>From this statement, it can be deduced that in FSD's bid to increase the capacity of the forest, they partner</w:t>
      </w:r>
      <w:r w:rsidR="004B759F">
        <w:t>ed</w:t>
      </w:r>
      <w:r>
        <w:t xml:space="preserve"> with farmers who have encroached on forest lands to help increase the capacity of the forest. </w:t>
      </w:r>
    </w:p>
    <w:p w14:paraId="03CD27C7" w14:textId="77777777" w:rsidR="002C180E" w:rsidRDefault="002C180E" w:rsidP="002C180E">
      <w:pPr>
        <w:ind w:left="0" w:firstLine="0"/>
      </w:pPr>
      <w:r>
        <w:t>Biological diversity</w:t>
      </w:r>
    </w:p>
    <w:p w14:paraId="707BA693" w14:textId="27DEECBC" w:rsidR="002C180E" w:rsidRDefault="002C180E" w:rsidP="002C180E">
      <w:pPr>
        <w:spacing w:after="0"/>
        <w:ind w:left="0"/>
        <w:rPr>
          <w:rFonts w:cs="Times New Roman"/>
          <w:szCs w:val="24"/>
        </w:rPr>
      </w:pPr>
      <w:r>
        <w:rPr>
          <w:rFonts w:cs="Times New Roman"/>
          <w:szCs w:val="24"/>
        </w:rPr>
        <w:t>Biological varieties enable ecosystems to react to external factors, recuperate after disturbances, and preserve vital ecological processes. The trans</w:t>
      </w:r>
      <w:r w:rsidR="004B759F">
        <w:rPr>
          <w:rFonts w:cs="Times New Roman"/>
          <w:szCs w:val="24"/>
        </w:rPr>
        <w:t>e</w:t>
      </w:r>
      <w:r>
        <w:rPr>
          <w:rFonts w:cs="Times New Roman"/>
          <w:szCs w:val="24"/>
        </w:rPr>
        <w:t xml:space="preserve">ct walk at the Bobiri Forest Reserve </w:t>
      </w:r>
      <w:r w:rsidR="00C45D37">
        <w:rPr>
          <w:rFonts w:cs="Times New Roman"/>
          <w:szCs w:val="24"/>
        </w:rPr>
        <w:t xml:space="preserve">in addition to the secondary data </w:t>
      </w:r>
      <w:r>
        <w:rPr>
          <w:rFonts w:cs="Times New Roman"/>
          <w:szCs w:val="24"/>
        </w:rPr>
        <w:t xml:space="preserve">revealed a plethora of tree </w:t>
      </w:r>
      <w:r w:rsidR="00C45D37">
        <w:rPr>
          <w:rFonts w:cs="Times New Roman"/>
          <w:szCs w:val="24"/>
        </w:rPr>
        <w:t xml:space="preserve">and Butterfly </w:t>
      </w:r>
      <w:r>
        <w:rPr>
          <w:rFonts w:cs="Times New Roman"/>
          <w:szCs w:val="24"/>
        </w:rPr>
        <w:t xml:space="preserve">species </w:t>
      </w:r>
      <w:r w:rsidR="00C45D37">
        <w:rPr>
          <w:rFonts w:cs="Times New Roman"/>
          <w:szCs w:val="24"/>
        </w:rPr>
        <w:t>in the reserve. The tree species included</w:t>
      </w:r>
      <w:r>
        <w:rPr>
          <w:rFonts w:cs="Times New Roman"/>
          <w:szCs w:val="24"/>
        </w:rPr>
        <w:t xml:space="preserve"> Mahogany (Khaya </w:t>
      </w:r>
      <w:proofErr w:type="spellStart"/>
      <w:r>
        <w:rPr>
          <w:rFonts w:cs="Times New Roman"/>
          <w:szCs w:val="24"/>
        </w:rPr>
        <w:t>anthotheca</w:t>
      </w:r>
      <w:proofErr w:type="spellEnd"/>
      <w:r>
        <w:rPr>
          <w:rFonts w:cs="Times New Roman"/>
          <w:szCs w:val="24"/>
        </w:rPr>
        <w:t xml:space="preserve">), Sapele </w:t>
      </w:r>
      <w:r w:rsidRPr="00832C28">
        <w:rPr>
          <w:rFonts w:cs="Times New Roman"/>
          <w:szCs w:val="24"/>
        </w:rPr>
        <w:t>(</w:t>
      </w:r>
      <w:proofErr w:type="spellStart"/>
      <w:r w:rsidRPr="00832C28">
        <w:rPr>
          <w:rStyle w:val="hgkelc"/>
        </w:rPr>
        <w:t>Entandrophragma</w:t>
      </w:r>
      <w:proofErr w:type="spellEnd"/>
      <w:r w:rsidRPr="00832C28">
        <w:rPr>
          <w:rStyle w:val="hgkelc"/>
        </w:rPr>
        <w:t xml:space="preserve"> </w:t>
      </w:r>
      <w:proofErr w:type="spellStart"/>
      <w:r w:rsidRPr="00832C28">
        <w:rPr>
          <w:rStyle w:val="hgkelc"/>
        </w:rPr>
        <w:lastRenderedPageBreak/>
        <w:t>cylindricum</w:t>
      </w:r>
      <w:proofErr w:type="spellEnd"/>
      <w:r w:rsidRPr="00832C28">
        <w:rPr>
          <w:rStyle w:val="hgkelc"/>
        </w:rPr>
        <w:t>) and</w:t>
      </w:r>
      <w:r>
        <w:rPr>
          <w:rStyle w:val="hgkelc"/>
          <w:b/>
          <w:bCs/>
        </w:rPr>
        <w:t xml:space="preserve"> </w:t>
      </w:r>
      <w:proofErr w:type="spellStart"/>
      <w:r>
        <w:rPr>
          <w:rStyle w:val="hgkelc"/>
        </w:rPr>
        <w:t>Ofram</w:t>
      </w:r>
      <w:proofErr w:type="spellEnd"/>
      <w:r>
        <w:rPr>
          <w:rStyle w:val="hgkelc"/>
        </w:rPr>
        <w:t xml:space="preserve"> (Terminalia superba)</w:t>
      </w:r>
      <w:r>
        <w:rPr>
          <w:rFonts w:cs="Times New Roman"/>
          <w:szCs w:val="24"/>
        </w:rPr>
        <w:t xml:space="preserve"> and dense vegetation capable of withstanding harsh conditions. </w:t>
      </w:r>
      <w:r w:rsidR="00C45D37">
        <w:rPr>
          <w:rFonts w:cs="Times New Roman"/>
          <w:szCs w:val="24"/>
        </w:rPr>
        <w:t>Also,</w:t>
      </w:r>
      <w:r>
        <w:rPr>
          <w:rFonts w:cs="Times New Roman"/>
          <w:szCs w:val="24"/>
        </w:rPr>
        <w:t xml:space="preserve"> the presence of CSIR-FORIG in the reserve as a research institute helped to ensure the biodiversity of the reserve. </w:t>
      </w:r>
      <w:r w:rsidR="00C45D37">
        <w:rPr>
          <w:rFonts w:cs="Times New Roman"/>
          <w:szCs w:val="24"/>
        </w:rPr>
        <w:t>In the context of the Butterfly species, Agyeman-</w:t>
      </w:r>
      <w:r w:rsidR="007443CC">
        <w:rPr>
          <w:rFonts w:cs="Times New Roman"/>
          <w:szCs w:val="24"/>
        </w:rPr>
        <w:t xml:space="preserve">Badu (2020) and the secondary data showed the presence of species such as </w:t>
      </w:r>
      <w:proofErr w:type="spellStart"/>
      <w:r w:rsidR="007443CC" w:rsidRPr="00920096">
        <w:t>Bicyclus</w:t>
      </w:r>
      <w:proofErr w:type="spellEnd"/>
      <w:r w:rsidR="007443CC" w:rsidRPr="00920096">
        <w:t xml:space="preserve"> </w:t>
      </w:r>
      <w:proofErr w:type="spellStart"/>
      <w:r w:rsidR="007443CC" w:rsidRPr="00920096">
        <w:t>istaris</w:t>
      </w:r>
      <w:proofErr w:type="spellEnd"/>
      <w:r w:rsidR="007443CC" w:rsidRPr="00920096">
        <w:t xml:space="preserve">, </w:t>
      </w:r>
      <w:proofErr w:type="spellStart"/>
      <w:r w:rsidR="007443CC" w:rsidRPr="00920096">
        <w:t>Bicyclus</w:t>
      </w:r>
      <w:proofErr w:type="spellEnd"/>
      <w:r w:rsidR="007443CC" w:rsidRPr="00920096">
        <w:t xml:space="preserve"> </w:t>
      </w:r>
      <w:proofErr w:type="spellStart"/>
      <w:r w:rsidR="007443CC" w:rsidRPr="00920096">
        <w:t>funebris</w:t>
      </w:r>
      <w:proofErr w:type="spellEnd"/>
      <w:r w:rsidR="007443CC" w:rsidRPr="00920096">
        <w:t xml:space="preserve">, </w:t>
      </w:r>
      <w:proofErr w:type="spellStart"/>
      <w:r w:rsidR="007443CC" w:rsidRPr="00920096">
        <w:t>Bicyclus</w:t>
      </w:r>
      <w:proofErr w:type="spellEnd"/>
      <w:r w:rsidR="007443CC" w:rsidRPr="00920096">
        <w:t xml:space="preserve"> </w:t>
      </w:r>
      <w:proofErr w:type="spellStart"/>
      <w:r w:rsidR="007443CC" w:rsidRPr="00920096">
        <w:t>sandace</w:t>
      </w:r>
      <w:proofErr w:type="spellEnd"/>
      <w:r w:rsidR="007443CC" w:rsidRPr="00920096">
        <w:t xml:space="preserve">, </w:t>
      </w:r>
      <w:proofErr w:type="spellStart"/>
      <w:r w:rsidR="007443CC" w:rsidRPr="00920096">
        <w:t>Bicyclus</w:t>
      </w:r>
      <w:proofErr w:type="spellEnd"/>
      <w:r w:rsidR="007443CC" w:rsidRPr="00920096">
        <w:t xml:space="preserve"> </w:t>
      </w:r>
      <w:proofErr w:type="spellStart"/>
      <w:r w:rsidR="007443CC" w:rsidRPr="00920096">
        <w:t>sangmelinae</w:t>
      </w:r>
      <w:proofErr w:type="spellEnd"/>
      <w:r w:rsidR="007443CC" w:rsidRPr="00920096">
        <w:t xml:space="preserve">, </w:t>
      </w:r>
      <w:proofErr w:type="spellStart"/>
      <w:r w:rsidR="007443CC" w:rsidRPr="00920096">
        <w:t>Gnophodes</w:t>
      </w:r>
      <w:proofErr w:type="spellEnd"/>
      <w:r w:rsidR="007443CC" w:rsidRPr="00920096">
        <w:t xml:space="preserve"> </w:t>
      </w:r>
      <w:proofErr w:type="spellStart"/>
      <w:r w:rsidR="007443CC" w:rsidRPr="00920096">
        <w:t>chelys</w:t>
      </w:r>
      <w:proofErr w:type="spellEnd"/>
      <w:r w:rsidR="007443CC" w:rsidRPr="00920096">
        <w:t xml:space="preserve">, </w:t>
      </w:r>
      <w:proofErr w:type="spellStart"/>
      <w:r w:rsidR="007443CC" w:rsidRPr="00920096">
        <w:t>Melantis</w:t>
      </w:r>
      <w:proofErr w:type="spellEnd"/>
      <w:r w:rsidR="007443CC" w:rsidRPr="00920096">
        <w:t xml:space="preserve"> </w:t>
      </w:r>
      <w:proofErr w:type="spellStart"/>
      <w:r w:rsidR="007443CC" w:rsidRPr="00920096">
        <w:t>libya</w:t>
      </w:r>
      <w:proofErr w:type="spellEnd"/>
      <w:r w:rsidR="007443CC" w:rsidRPr="00920096">
        <w:t xml:space="preserve">, and </w:t>
      </w:r>
      <w:proofErr w:type="spellStart"/>
      <w:r w:rsidR="007443CC" w:rsidRPr="00920096">
        <w:t>Melantis</w:t>
      </w:r>
      <w:proofErr w:type="spellEnd"/>
      <w:r w:rsidR="007443CC" w:rsidRPr="00920096">
        <w:t xml:space="preserve"> </w:t>
      </w:r>
      <w:proofErr w:type="spellStart"/>
      <w:r w:rsidR="007443CC" w:rsidRPr="00920096">
        <w:t>leda</w:t>
      </w:r>
      <w:proofErr w:type="spellEnd"/>
      <w:r w:rsidR="007443CC" w:rsidRPr="00920096">
        <w:t>.</w:t>
      </w:r>
    </w:p>
    <w:p w14:paraId="39A61E69" w14:textId="3F49B5D2" w:rsidR="002C180E" w:rsidRDefault="002C180E" w:rsidP="004B759F">
      <w:pPr>
        <w:spacing w:before="240"/>
        <w:ind w:left="0"/>
      </w:pPr>
      <w:r>
        <w:t>The situation was different for the SSFR</w:t>
      </w:r>
      <w:r w:rsidR="007443CC">
        <w:t xml:space="preserve"> because the reserve was rich in </w:t>
      </w:r>
      <w:r w:rsidR="00D15F25">
        <w:t>tree species but not animal species</w:t>
      </w:r>
      <w:r>
        <w:t xml:space="preserve">. </w:t>
      </w:r>
      <w:r w:rsidR="00D15F25">
        <w:t>The secondary data revealed that the reserve was home to species like Mahogany</w:t>
      </w:r>
      <w:r w:rsidR="004B759F">
        <w:t xml:space="preserve"> (</w:t>
      </w:r>
      <w:r w:rsidR="004B759F" w:rsidRPr="004B759F">
        <w:rPr>
          <w:rStyle w:val="hgkelc"/>
        </w:rPr>
        <w:t xml:space="preserve">Swietenia </w:t>
      </w:r>
      <w:proofErr w:type="spellStart"/>
      <w:r w:rsidR="004B759F" w:rsidRPr="004B759F">
        <w:rPr>
          <w:rStyle w:val="hgkelc"/>
        </w:rPr>
        <w:t>mahagoni</w:t>
      </w:r>
      <w:proofErr w:type="spellEnd"/>
      <w:r w:rsidR="004B759F">
        <w:t>)</w:t>
      </w:r>
      <w:r w:rsidR="00D15F25">
        <w:t>, Wawa</w:t>
      </w:r>
      <w:r w:rsidR="004B759F">
        <w:t xml:space="preserve"> (Triplochiton </w:t>
      </w:r>
      <w:proofErr w:type="spellStart"/>
      <w:r w:rsidR="004B759F">
        <w:t>scleroxylon</w:t>
      </w:r>
      <w:proofErr w:type="spellEnd"/>
      <w:r w:rsidR="004B759F">
        <w:t>)</w:t>
      </w:r>
      <w:r w:rsidR="00D15F25">
        <w:t>, Sapele</w:t>
      </w:r>
      <w:r w:rsidR="004B759F">
        <w:t xml:space="preserve"> (</w:t>
      </w:r>
      <w:proofErr w:type="spellStart"/>
      <w:r w:rsidR="004B759F">
        <w:t>Entandrophragma</w:t>
      </w:r>
      <w:proofErr w:type="spellEnd"/>
      <w:r w:rsidR="004B759F">
        <w:t xml:space="preserve"> </w:t>
      </w:r>
      <w:proofErr w:type="spellStart"/>
      <w:r w:rsidR="004B759F">
        <w:t>cylindricum</w:t>
      </w:r>
      <w:proofErr w:type="spellEnd"/>
      <w:r w:rsidR="004B759F">
        <w:t>)</w:t>
      </w:r>
      <w:r w:rsidR="00D15F25">
        <w:t>, Senya</w:t>
      </w:r>
      <w:r w:rsidR="004B759F">
        <w:t xml:space="preserve"> (</w:t>
      </w:r>
      <w:r w:rsidR="004B759F">
        <w:rPr>
          <w:rStyle w:val="hgkelc"/>
        </w:rPr>
        <w:t>Daniella Oliveri)</w:t>
      </w:r>
      <w:r w:rsidR="00D15F25">
        <w:t>, Rosewood</w:t>
      </w:r>
      <w:r w:rsidR="004B759F">
        <w:t xml:space="preserve"> (</w:t>
      </w:r>
      <w:r w:rsidR="004B759F" w:rsidRPr="004B759F">
        <w:rPr>
          <w:rStyle w:val="hgkelc"/>
        </w:rPr>
        <w:t>Dalbergia latifolia)</w:t>
      </w:r>
      <w:r w:rsidR="00D15F25">
        <w:t>, Esso</w:t>
      </w:r>
      <w:r w:rsidR="004B759F">
        <w:t xml:space="preserve"> (</w:t>
      </w:r>
      <w:r w:rsidR="004B759F" w:rsidRPr="00E1331A">
        <w:t>Vachellia nilotica</w:t>
      </w:r>
      <w:r w:rsidR="004B759F">
        <w:t>)</w:t>
      </w:r>
      <w:r w:rsidR="00D15F25">
        <w:rPr>
          <w:rFonts w:cs="Times New Roman"/>
          <w:szCs w:val="24"/>
        </w:rPr>
        <w:t xml:space="preserve">, and </w:t>
      </w:r>
      <w:proofErr w:type="spellStart"/>
      <w:r w:rsidR="00D15F25">
        <w:rPr>
          <w:rFonts w:cs="Times New Roman"/>
          <w:szCs w:val="24"/>
        </w:rPr>
        <w:t>Kyenkyen</w:t>
      </w:r>
      <w:proofErr w:type="spellEnd"/>
      <w:r w:rsidR="004B759F">
        <w:rPr>
          <w:rFonts w:cs="Times New Roman"/>
          <w:szCs w:val="24"/>
        </w:rPr>
        <w:t xml:space="preserve"> (</w:t>
      </w:r>
      <w:proofErr w:type="spellStart"/>
      <w:r w:rsidR="004B759F" w:rsidRPr="004B759F">
        <w:t>Antiaris</w:t>
      </w:r>
      <w:proofErr w:type="spellEnd"/>
      <w:r w:rsidR="004B759F" w:rsidRPr="004B759F">
        <w:t xml:space="preserve"> </w:t>
      </w:r>
      <w:proofErr w:type="spellStart"/>
      <w:r w:rsidR="004B759F" w:rsidRPr="004B759F">
        <w:t>toxicaria</w:t>
      </w:r>
      <w:proofErr w:type="spellEnd"/>
      <w:r w:rsidR="004B759F">
        <w:rPr>
          <w:b/>
          <w:bCs/>
        </w:rPr>
        <w:t>)</w:t>
      </w:r>
      <w:r w:rsidR="00D15F25">
        <w:rPr>
          <w:rFonts w:cs="Times New Roman"/>
          <w:szCs w:val="24"/>
        </w:rPr>
        <w:t xml:space="preserve">. </w:t>
      </w:r>
    </w:p>
    <w:p w14:paraId="34E96548" w14:textId="77777777" w:rsidR="002C180E" w:rsidRDefault="002C180E" w:rsidP="002C180E">
      <w:pPr>
        <w:spacing w:after="0"/>
        <w:ind w:left="0" w:firstLine="0"/>
      </w:pPr>
      <w:r>
        <w:t xml:space="preserve">Socioeconomic functions of the forest </w:t>
      </w:r>
    </w:p>
    <w:p w14:paraId="78DF4B67" w14:textId="5CEAB518" w:rsidR="002C180E" w:rsidRDefault="002C180E" w:rsidP="002C180E">
      <w:pPr>
        <w:ind w:left="0"/>
      </w:pPr>
      <w:r>
        <w:t xml:space="preserve">This encompassed the </w:t>
      </w:r>
      <w:proofErr w:type="gramStart"/>
      <w:r>
        <w:t>myriad</w:t>
      </w:r>
      <w:proofErr w:type="gramEnd"/>
      <w:r>
        <w:t xml:space="preserve"> of social, cultural, and economic goods and services </w:t>
      </w:r>
      <w:r>
        <w:rPr>
          <w:rFonts w:cs="Times New Roman"/>
          <w:szCs w:val="24"/>
        </w:rPr>
        <w:t xml:space="preserve">other than benefits that aid in fulfilling societal requirements. </w:t>
      </w:r>
      <w:r w:rsidR="00BC76E6">
        <w:rPr>
          <w:rFonts w:cs="Times New Roman"/>
          <w:szCs w:val="24"/>
        </w:rPr>
        <w:t xml:space="preserve">The examination of the socioeconomic functions of the forest </w:t>
      </w:r>
      <w:r>
        <w:rPr>
          <w:rFonts w:cs="Times New Roman"/>
          <w:szCs w:val="24"/>
        </w:rPr>
        <w:t>was expedient, because numerous individuals and communities, including indigenous populations, relied on forests for subsistence and prosperity.</w:t>
      </w:r>
    </w:p>
    <w:p w14:paraId="295C9CDD" w14:textId="43EAF2AC" w:rsidR="002C180E" w:rsidRDefault="002C180E" w:rsidP="002C180E">
      <w:pPr>
        <w:spacing w:after="0"/>
        <w:ind w:left="0"/>
      </w:pPr>
      <w:r>
        <w:t>In the context of the socioeconomic function of the forest, data obtained from the BFR revealed that the reserve provide</w:t>
      </w:r>
      <w:r w:rsidR="00BC76E6">
        <w:t>d</w:t>
      </w:r>
      <w:r>
        <w:t xml:space="preserve"> cultural benefits to the community. From the </w:t>
      </w:r>
      <w:r w:rsidR="00BC76E6">
        <w:t>n</w:t>
      </w:r>
      <w:r>
        <w:t xml:space="preserve">ame of the reserve, the reserve was named after the Bobiri stream which serves as the abode of their traditional god. All the key informants interviewed maintained that they derived cultural, educational, and </w:t>
      </w:r>
      <w:r>
        <w:lastRenderedPageBreak/>
        <w:t xml:space="preserve">economic benefits from the reserve. They derived cultural and educational benefits through the reserve housing their traditional god and the various species of trees serving as an avenue for their children to learn about different types of trees. Aside from the stumpage fee, the community members started businesses, such as petty trading, to take advantage of the various tourists visiting the reserve. </w:t>
      </w:r>
    </w:p>
    <w:p w14:paraId="60FA9A3B" w14:textId="67F87D92" w:rsidR="002C180E" w:rsidRDefault="002C180E" w:rsidP="002C180E">
      <w:pPr>
        <w:ind w:left="0"/>
      </w:pPr>
      <w:r>
        <w:t xml:space="preserve">In the context of SSFR, some communities derived economic services from the reserve. </w:t>
      </w:r>
      <w:r w:rsidR="00013B21">
        <w:t xml:space="preserve">Key informant 14 from the D.A. </w:t>
      </w:r>
      <w:r w:rsidR="00BC76E6">
        <w:t xml:space="preserve">at the SSFR </w:t>
      </w:r>
      <w:r w:rsidR="00013B21">
        <w:t>on 5</w:t>
      </w:r>
      <w:r w:rsidR="00013B21" w:rsidRPr="00013B21">
        <w:rPr>
          <w:vertAlign w:val="superscript"/>
        </w:rPr>
        <w:t>th</w:t>
      </w:r>
      <w:r w:rsidR="00013B21">
        <w:t xml:space="preserve"> March 2024 </w:t>
      </w:r>
      <w:r>
        <w:t xml:space="preserve">revealed that their part of the reserve </w:t>
      </w:r>
      <w:r w:rsidR="00013B21">
        <w:t xml:space="preserve">bordering </w:t>
      </w:r>
      <w:proofErr w:type="spellStart"/>
      <w:r w:rsidR="00013B21">
        <w:t>Apesika</w:t>
      </w:r>
      <w:proofErr w:type="spellEnd"/>
      <w:r w:rsidR="00013B21">
        <w:t xml:space="preserve"> and </w:t>
      </w:r>
      <w:proofErr w:type="spellStart"/>
      <w:r w:rsidR="00013B21">
        <w:t>Monsie</w:t>
      </w:r>
      <w:proofErr w:type="spellEnd"/>
      <w:r w:rsidR="00013B21">
        <w:t xml:space="preserve"> </w:t>
      </w:r>
      <w:r>
        <w:t xml:space="preserve">did not have any economic trees </w:t>
      </w:r>
      <w:proofErr w:type="spellStart"/>
      <w:r>
        <w:t>Ntomem</w:t>
      </w:r>
      <w:proofErr w:type="spellEnd"/>
      <w:r w:rsidR="00BC76E6">
        <w:t xml:space="preserve"> community</w:t>
      </w:r>
      <w:r>
        <w:t xml:space="preserve">. Therefore, it could be deduced that some communities in the reserve </w:t>
      </w:r>
      <w:r w:rsidR="0011711D">
        <w:t>benefited from the proceeds of economic trees</w:t>
      </w:r>
      <w:r>
        <w:t xml:space="preserve">, whereas others did not. </w:t>
      </w:r>
    </w:p>
    <w:p w14:paraId="08FBC25F" w14:textId="77777777" w:rsidR="002C180E" w:rsidRDefault="002C180E" w:rsidP="002C180E">
      <w:pPr>
        <w:spacing w:after="0"/>
        <w:ind w:left="0" w:firstLine="0"/>
      </w:pPr>
      <w:r>
        <w:t xml:space="preserve">Local legal policies </w:t>
      </w:r>
    </w:p>
    <w:p w14:paraId="3D5C706F" w14:textId="1AF99F85" w:rsidR="002C180E" w:rsidRDefault="002C180E" w:rsidP="002C180E">
      <w:pPr>
        <w:spacing w:after="0"/>
        <w:ind w:left="0"/>
      </w:pPr>
      <w:r>
        <w:t>The presence of institutional capacity, economic arrangements, and policy measures at the local level contributes to achieving a sustainable management regime with high community participation. At the national level, t</w:t>
      </w:r>
      <w:r w:rsidRPr="0027541D">
        <w:rPr>
          <w:rFonts w:cs="Times New Roman"/>
          <w:szCs w:val="24"/>
        </w:rPr>
        <w:t>he FDMP (2016-2036) intended within the short term</w:t>
      </w:r>
      <w:r>
        <w:rPr>
          <w:rFonts w:cs="Times New Roman"/>
          <w:szCs w:val="24"/>
        </w:rPr>
        <w:t xml:space="preserve"> (2016-2020)</w:t>
      </w:r>
      <w:r w:rsidRPr="0027541D">
        <w:rPr>
          <w:rFonts w:cs="Times New Roman"/>
          <w:szCs w:val="24"/>
        </w:rPr>
        <w:t xml:space="preserve"> to formulate institutional and legislative reforms for transparent governance, equity sharing, and </w:t>
      </w:r>
      <w:r>
        <w:rPr>
          <w:rFonts w:cs="Times New Roman"/>
          <w:szCs w:val="24"/>
        </w:rPr>
        <w:t>community</w:t>
      </w:r>
      <w:r w:rsidRPr="0027541D">
        <w:rPr>
          <w:rFonts w:cs="Times New Roman"/>
          <w:szCs w:val="24"/>
        </w:rPr>
        <w:t xml:space="preserve"> participation in forest </w:t>
      </w:r>
      <w:r>
        <w:rPr>
          <w:rFonts w:cs="Times New Roman"/>
          <w:szCs w:val="24"/>
        </w:rPr>
        <w:t>m</w:t>
      </w:r>
      <w:r w:rsidRPr="0027541D">
        <w:rPr>
          <w:rFonts w:cs="Times New Roman"/>
          <w:szCs w:val="24"/>
        </w:rPr>
        <w:t>anagement</w:t>
      </w:r>
      <w:r>
        <w:rPr>
          <w:rFonts w:cs="Times New Roman"/>
          <w:szCs w:val="24"/>
        </w:rPr>
        <w:t xml:space="preserve">. </w:t>
      </w:r>
    </w:p>
    <w:p w14:paraId="1E521576" w14:textId="55667C33" w:rsidR="002C180E" w:rsidRDefault="002C180E" w:rsidP="002C180E">
      <w:pPr>
        <w:spacing w:after="0"/>
        <w:ind w:left="0"/>
      </w:pPr>
      <w:r>
        <w:t>At the local level, this study identified the forms of local policies at the Bobiri Forest Reserve compris</w:t>
      </w:r>
      <w:r w:rsidR="00BC76E6">
        <w:t>ed</w:t>
      </w:r>
      <w:r>
        <w:t xml:space="preserve"> </w:t>
      </w:r>
      <w:r w:rsidR="00BC76E6">
        <w:t xml:space="preserve">of </w:t>
      </w:r>
      <w:r>
        <w:t xml:space="preserve">formal and informal rules. </w:t>
      </w:r>
      <w:r w:rsidR="00BC76E6">
        <w:t>The BFR was a state-managed reserve together with the practice of</w:t>
      </w:r>
      <w:r>
        <w:t xml:space="preserve"> buffer zones. This Buffer zone excluded community members from participating in the reserve management. The informal rule comprised taboo days observed by all stakeholders in the reserve. </w:t>
      </w:r>
    </w:p>
    <w:p w14:paraId="4E0E201D" w14:textId="0EFDFB07" w:rsidR="002C180E" w:rsidRDefault="002C180E" w:rsidP="002C180E">
      <w:pPr>
        <w:ind w:left="0"/>
      </w:pPr>
      <w:r>
        <w:lastRenderedPageBreak/>
        <w:t xml:space="preserve">Similarly, the SSFR was managed by both formal and informal rules. The formal rules consisted of a Modified </w:t>
      </w:r>
      <w:proofErr w:type="spellStart"/>
      <w:r>
        <w:t>Taungya</w:t>
      </w:r>
      <w:proofErr w:type="spellEnd"/>
      <w:r>
        <w:t xml:space="preserve"> System. This system ensured that the community members participated in the management of the reserve. Under the presence of FSD supplying economic trees on one’s </w:t>
      </w:r>
      <w:proofErr w:type="gramStart"/>
      <w:r>
        <w:t>farm,</w:t>
      </w:r>
      <w:proofErr w:type="gramEnd"/>
      <w:r>
        <w:t xml:space="preserve"> the farmer was compelled to participate in the management of the reserve or risk losing the farm. This enhanced community participation in the SSFR. Since the Bobiri forest reserve was unsustainable in terms of policies enhancing local community participation and the SSFR also being sustainable only policies, the</w:t>
      </w:r>
      <w:r w:rsidR="00BC76E6">
        <w:t>re</w:t>
      </w:r>
      <w:r>
        <w:t xml:space="preserve"> was a need for this study to examine the challenges in the management of the reserves. </w:t>
      </w:r>
    </w:p>
    <w:p w14:paraId="3D2A8BE9" w14:textId="0F2E3F73" w:rsidR="00701E70" w:rsidRPr="002C180E" w:rsidRDefault="002C180E" w:rsidP="009C482C">
      <w:pPr>
        <w:spacing w:after="0"/>
        <w:ind w:left="0" w:firstLine="0"/>
        <w:rPr>
          <w:rFonts w:cs="Times New Roman"/>
          <w:b/>
          <w:bCs/>
          <w:szCs w:val="24"/>
        </w:rPr>
      </w:pPr>
      <w:r w:rsidRPr="002C180E">
        <w:rPr>
          <w:rFonts w:cs="Times New Roman"/>
          <w:b/>
          <w:bCs/>
          <w:szCs w:val="24"/>
        </w:rPr>
        <w:t>Challenges inherent in the management of the reserves</w:t>
      </w:r>
      <w:r>
        <w:rPr>
          <w:rFonts w:cs="Times New Roman"/>
          <w:b/>
          <w:bCs/>
          <w:szCs w:val="24"/>
        </w:rPr>
        <w:t>.</w:t>
      </w:r>
    </w:p>
    <w:p w14:paraId="7ADEEF4E" w14:textId="13213686" w:rsidR="009C482C" w:rsidRPr="0027541D" w:rsidRDefault="009C482C" w:rsidP="002C180E">
      <w:pPr>
        <w:spacing w:after="0"/>
        <w:ind w:left="0"/>
        <w:rPr>
          <w:rFonts w:cs="Times New Roman"/>
          <w:szCs w:val="24"/>
        </w:rPr>
      </w:pPr>
      <w:r>
        <w:rPr>
          <w:rFonts w:cs="Times New Roman"/>
          <w:szCs w:val="24"/>
        </w:rPr>
        <w:t>It was realised from the conceptual framework that challenges were</w:t>
      </w:r>
      <w:r w:rsidR="00BC76E6">
        <w:rPr>
          <w:rFonts w:cs="Times New Roman"/>
          <w:szCs w:val="24"/>
        </w:rPr>
        <w:t xml:space="preserve"> one of the</w:t>
      </w:r>
      <w:r>
        <w:rPr>
          <w:rFonts w:cs="Times New Roman"/>
          <w:szCs w:val="24"/>
        </w:rPr>
        <w:t xml:space="preserve"> inputs that affected the management process. To achieve sustainable community forestry, there was a need to ascertain how these challenges affected the process in the Bobiri and Southern Scarp Forest Reserves.  </w:t>
      </w:r>
      <w:r w:rsidRPr="0027541D">
        <w:rPr>
          <w:rFonts w:cs="Times New Roman"/>
          <w:szCs w:val="24"/>
        </w:rPr>
        <w:t xml:space="preserve">The challenges to the </w:t>
      </w:r>
      <w:r>
        <w:rPr>
          <w:rFonts w:cs="Times New Roman"/>
          <w:szCs w:val="24"/>
        </w:rPr>
        <w:t>management</w:t>
      </w:r>
      <w:r w:rsidRPr="0027541D">
        <w:rPr>
          <w:rFonts w:cs="Times New Roman"/>
          <w:szCs w:val="24"/>
        </w:rPr>
        <w:t xml:space="preserve"> process included the total amount </w:t>
      </w:r>
      <w:r>
        <w:rPr>
          <w:rFonts w:cs="Times New Roman"/>
          <w:szCs w:val="24"/>
        </w:rPr>
        <w:t>paid under the SRA</w:t>
      </w:r>
      <w:r w:rsidRPr="0027541D">
        <w:rPr>
          <w:rFonts w:cs="Times New Roman"/>
          <w:szCs w:val="24"/>
        </w:rPr>
        <w:t xml:space="preserve">, </w:t>
      </w:r>
      <w:r>
        <w:rPr>
          <w:rFonts w:cs="Times New Roman"/>
          <w:szCs w:val="24"/>
        </w:rPr>
        <w:t xml:space="preserve">finance and </w:t>
      </w:r>
      <w:r w:rsidRPr="0027541D">
        <w:rPr>
          <w:rFonts w:cs="Times New Roman"/>
          <w:szCs w:val="24"/>
        </w:rPr>
        <w:t>logistics</w:t>
      </w:r>
      <w:r>
        <w:rPr>
          <w:rFonts w:cs="Times New Roman"/>
          <w:szCs w:val="24"/>
        </w:rPr>
        <w:t xml:space="preserve"> for FSD workers</w:t>
      </w:r>
      <w:r w:rsidRPr="0027541D">
        <w:rPr>
          <w:rFonts w:cs="Times New Roman"/>
          <w:szCs w:val="24"/>
        </w:rPr>
        <w:t xml:space="preserve">, </w:t>
      </w:r>
      <w:r>
        <w:rPr>
          <w:rFonts w:cs="Times New Roman"/>
          <w:szCs w:val="24"/>
        </w:rPr>
        <w:t>lack of local content, illegal chainsaw operations, bushfires, formal rules, population growth, and lack of trust.</w:t>
      </w:r>
    </w:p>
    <w:p w14:paraId="6359C101" w14:textId="77777777" w:rsidR="00332E59" w:rsidRDefault="009C482C" w:rsidP="009C482C">
      <w:pPr>
        <w:spacing w:after="0"/>
        <w:ind w:left="0" w:firstLine="0"/>
        <w:rPr>
          <w:rFonts w:cs="Times New Roman"/>
          <w:szCs w:val="24"/>
        </w:rPr>
      </w:pPr>
      <w:r>
        <w:rPr>
          <w:rFonts w:cs="Times New Roman"/>
          <w:szCs w:val="24"/>
        </w:rPr>
        <w:tab/>
      </w:r>
      <w:r w:rsidRPr="0027541D">
        <w:rPr>
          <w:rFonts w:cs="Times New Roman"/>
          <w:szCs w:val="24"/>
        </w:rPr>
        <w:t xml:space="preserve">Firstly, the SRA, as discussed previously as </w:t>
      </w:r>
      <w:r>
        <w:rPr>
          <w:rFonts w:cs="Times New Roman"/>
          <w:szCs w:val="24"/>
        </w:rPr>
        <w:t xml:space="preserve">a </w:t>
      </w:r>
      <w:r w:rsidRPr="0027541D">
        <w:rPr>
          <w:rFonts w:cs="Times New Roman"/>
          <w:szCs w:val="24"/>
        </w:rPr>
        <w:t xml:space="preserve">benefit, </w:t>
      </w:r>
      <w:r>
        <w:rPr>
          <w:rFonts w:cs="Times New Roman"/>
          <w:szCs w:val="24"/>
        </w:rPr>
        <w:t>was</w:t>
      </w:r>
      <w:r w:rsidRPr="0027541D">
        <w:rPr>
          <w:rFonts w:cs="Times New Roman"/>
          <w:szCs w:val="24"/>
        </w:rPr>
        <w:t xml:space="preserve"> seen as a challenge. </w:t>
      </w:r>
      <w:r w:rsidR="00B269C8">
        <w:rPr>
          <w:rFonts w:cs="Times New Roman"/>
          <w:szCs w:val="24"/>
        </w:rPr>
        <w:t>T</w:t>
      </w:r>
      <w:r w:rsidR="00B269C8" w:rsidRPr="0027541D">
        <w:rPr>
          <w:rFonts w:cs="Times New Roman"/>
          <w:szCs w:val="24"/>
        </w:rPr>
        <w:t xml:space="preserve">he </w:t>
      </w:r>
      <w:r w:rsidR="00B269C8">
        <w:rPr>
          <w:rFonts w:cs="Times New Roman"/>
          <w:szCs w:val="24"/>
        </w:rPr>
        <w:t xml:space="preserve">forestry sector’s </w:t>
      </w:r>
      <w:r w:rsidR="00B269C8" w:rsidRPr="0027541D">
        <w:rPr>
          <w:rFonts w:cs="Times New Roman"/>
          <w:szCs w:val="24"/>
        </w:rPr>
        <w:t>S</w:t>
      </w:r>
      <w:r w:rsidR="00B269C8">
        <w:rPr>
          <w:rFonts w:cs="Times New Roman"/>
          <w:szCs w:val="24"/>
        </w:rPr>
        <w:t xml:space="preserve">ocial </w:t>
      </w:r>
      <w:r w:rsidR="00B269C8" w:rsidRPr="0027541D">
        <w:rPr>
          <w:rFonts w:cs="Times New Roman"/>
          <w:szCs w:val="24"/>
        </w:rPr>
        <w:t>R</w:t>
      </w:r>
      <w:r w:rsidR="00B269C8">
        <w:rPr>
          <w:rFonts w:cs="Times New Roman"/>
          <w:szCs w:val="24"/>
        </w:rPr>
        <w:t xml:space="preserve">esponsibility </w:t>
      </w:r>
      <w:r w:rsidR="00B269C8" w:rsidRPr="0027541D">
        <w:rPr>
          <w:rFonts w:cs="Times New Roman"/>
          <w:szCs w:val="24"/>
        </w:rPr>
        <w:t>A</w:t>
      </w:r>
      <w:r w:rsidR="00B269C8">
        <w:rPr>
          <w:rFonts w:cs="Times New Roman"/>
          <w:szCs w:val="24"/>
        </w:rPr>
        <w:t>greement Policy (2016) in Ghana stipulates that communities within 5 kilometres of a compartment area are awarded 5 per cent of the revenue as a stumpage fee for their role in helping to protect the forest. The amount paid under the SRA was to serve as motivation to encourage the communities to continue to assist the FSD in ensuring the sustainable usage of the resource yet this amount over time has been seen by the communities as insufficient</w:t>
      </w:r>
      <w:r w:rsidR="00B269C8" w:rsidRPr="0027541D">
        <w:rPr>
          <w:rFonts w:cs="Times New Roman"/>
          <w:szCs w:val="24"/>
        </w:rPr>
        <w:t xml:space="preserve">. </w:t>
      </w:r>
    </w:p>
    <w:p w14:paraId="558F8FD3" w14:textId="4B003E10" w:rsidR="009C482C" w:rsidRDefault="00B269C8" w:rsidP="00332E59">
      <w:pPr>
        <w:spacing w:after="0"/>
        <w:ind w:left="0"/>
        <w:rPr>
          <w:rFonts w:cs="Times New Roman"/>
          <w:szCs w:val="24"/>
        </w:rPr>
      </w:pPr>
      <w:r w:rsidRPr="0027541D">
        <w:rPr>
          <w:rFonts w:cs="Times New Roman"/>
          <w:szCs w:val="24"/>
        </w:rPr>
        <w:lastRenderedPageBreak/>
        <w:t>Stakeholders</w:t>
      </w:r>
      <w:r>
        <w:rPr>
          <w:rFonts w:cs="Times New Roman"/>
          <w:szCs w:val="24"/>
        </w:rPr>
        <w:t xml:space="preserve">, such as the communities, </w:t>
      </w:r>
      <w:r w:rsidRPr="0027541D">
        <w:rPr>
          <w:rFonts w:cs="Times New Roman"/>
          <w:szCs w:val="24"/>
        </w:rPr>
        <w:t xml:space="preserve">became reluctant to participate in the </w:t>
      </w:r>
      <w:r>
        <w:rPr>
          <w:rFonts w:cs="Times New Roman"/>
          <w:szCs w:val="24"/>
        </w:rPr>
        <w:t>management</w:t>
      </w:r>
      <w:r w:rsidRPr="0027541D">
        <w:rPr>
          <w:rFonts w:cs="Times New Roman"/>
          <w:szCs w:val="24"/>
        </w:rPr>
        <w:t xml:space="preserve"> process </w:t>
      </w:r>
      <w:r>
        <w:rPr>
          <w:rFonts w:cs="Times New Roman"/>
          <w:szCs w:val="24"/>
        </w:rPr>
        <w:t>due to</w:t>
      </w:r>
      <w:r w:rsidRPr="0027541D">
        <w:rPr>
          <w:rFonts w:cs="Times New Roman"/>
          <w:szCs w:val="24"/>
        </w:rPr>
        <w:t xml:space="preserve"> the meagre nature of the amount. </w:t>
      </w:r>
      <w:r>
        <w:rPr>
          <w:rFonts w:cs="Times New Roman"/>
          <w:szCs w:val="24"/>
        </w:rPr>
        <w:t xml:space="preserve">This was because the members of the community perceived that the amount or benefit they would derive from falling or exploiting the resource was more than what was being advanced to them as a stumpage fee. </w:t>
      </w:r>
      <w:r w:rsidR="009C482C" w:rsidRPr="0027541D">
        <w:rPr>
          <w:rFonts w:cs="Times New Roman"/>
          <w:szCs w:val="24"/>
        </w:rPr>
        <w:t xml:space="preserve">As </w:t>
      </w:r>
      <w:r w:rsidR="009C482C">
        <w:rPr>
          <w:rFonts w:cs="Times New Roman"/>
          <w:szCs w:val="24"/>
        </w:rPr>
        <w:t>the social exchange theory maintains</w:t>
      </w:r>
      <w:r w:rsidR="009C482C" w:rsidRPr="0027541D">
        <w:rPr>
          <w:rFonts w:cs="Times New Roman"/>
          <w:szCs w:val="24"/>
        </w:rPr>
        <w:t xml:space="preserve">, people will participate or indulge in an activity when they perceive the benefit as </w:t>
      </w:r>
      <w:r w:rsidR="009C482C">
        <w:rPr>
          <w:rFonts w:cs="Times New Roman"/>
          <w:szCs w:val="24"/>
        </w:rPr>
        <w:t>more significant</w:t>
      </w:r>
      <w:r w:rsidR="009C482C" w:rsidRPr="0027541D">
        <w:rPr>
          <w:rFonts w:cs="Times New Roman"/>
          <w:szCs w:val="24"/>
        </w:rPr>
        <w:t xml:space="preserve"> than the cost involved. </w:t>
      </w:r>
    </w:p>
    <w:p w14:paraId="7F8D81AB" w14:textId="5F77F762" w:rsidR="009C482C" w:rsidRDefault="009C482C" w:rsidP="009C482C">
      <w:pPr>
        <w:spacing w:after="0"/>
        <w:ind w:left="0" w:firstLine="0"/>
        <w:rPr>
          <w:rFonts w:cs="Times New Roman"/>
          <w:szCs w:val="24"/>
        </w:rPr>
      </w:pPr>
      <w:r>
        <w:rPr>
          <w:rFonts w:cs="Times New Roman"/>
          <w:szCs w:val="24"/>
        </w:rPr>
        <w:tab/>
      </w:r>
      <w:r w:rsidR="00B269C8">
        <w:rPr>
          <w:rFonts w:cs="Times New Roman"/>
          <w:szCs w:val="24"/>
        </w:rPr>
        <w:t xml:space="preserve">As discussed in the benefits section, the people of </w:t>
      </w:r>
      <w:proofErr w:type="spellStart"/>
      <w:r w:rsidR="00B269C8">
        <w:rPr>
          <w:rFonts w:cs="Times New Roman"/>
          <w:szCs w:val="24"/>
        </w:rPr>
        <w:t>Krofrom</w:t>
      </w:r>
      <w:proofErr w:type="spellEnd"/>
      <w:r w:rsidR="00B269C8">
        <w:rPr>
          <w:rFonts w:cs="Times New Roman"/>
          <w:szCs w:val="24"/>
        </w:rPr>
        <w:t xml:space="preserve"> were able to construct a JHS block from their share of the SRA yet communities of </w:t>
      </w:r>
      <w:proofErr w:type="spellStart"/>
      <w:r w:rsidR="00B269C8">
        <w:rPr>
          <w:rFonts w:cs="Times New Roman"/>
          <w:szCs w:val="24"/>
        </w:rPr>
        <w:t>Kubease</w:t>
      </w:r>
      <w:proofErr w:type="spellEnd"/>
      <w:r w:rsidR="00B269C8">
        <w:rPr>
          <w:rFonts w:cs="Times New Roman"/>
          <w:szCs w:val="24"/>
        </w:rPr>
        <w:t xml:space="preserve">, </w:t>
      </w:r>
      <w:proofErr w:type="spellStart"/>
      <w:r w:rsidR="00B269C8">
        <w:rPr>
          <w:rFonts w:cs="Times New Roman"/>
          <w:szCs w:val="24"/>
        </w:rPr>
        <w:t>Nobewam</w:t>
      </w:r>
      <w:proofErr w:type="spellEnd"/>
      <w:r w:rsidR="00B269C8">
        <w:rPr>
          <w:rFonts w:cs="Times New Roman"/>
          <w:szCs w:val="24"/>
        </w:rPr>
        <w:t xml:space="preserve">, </w:t>
      </w:r>
      <w:proofErr w:type="spellStart"/>
      <w:r w:rsidR="00B269C8">
        <w:rPr>
          <w:rFonts w:cs="Times New Roman"/>
          <w:szCs w:val="24"/>
        </w:rPr>
        <w:t>Duampompo</w:t>
      </w:r>
      <w:proofErr w:type="spellEnd"/>
      <w:r w:rsidR="00B269C8">
        <w:rPr>
          <w:rFonts w:cs="Times New Roman"/>
          <w:szCs w:val="24"/>
        </w:rPr>
        <w:t xml:space="preserve"> and New </w:t>
      </w:r>
      <w:proofErr w:type="spellStart"/>
      <w:r w:rsidR="00B269C8">
        <w:rPr>
          <w:rFonts w:cs="Times New Roman"/>
          <w:szCs w:val="24"/>
        </w:rPr>
        <w:t>Koridua</w:t>
      </w:r>
      <w:proofErr w:type="spellEnd"/>
      <w:r w:rsidR="00B269C8">
        <w:rPr>
          <w:rFonts w:cs="Times New Roman"/>
          <w:szCs w:val="24"/>
        </w:rPr>
        <w:t xml:space="preserve"> who received their SRA around 2022 could not complete their agreed project with their collective share. The authorities revealed that they had collectively decided to build a market and a police station with the amount but due to the meagre nature of it, they could only clear the land. </w:t>
      </w:r>
      <w:r w:rsidR="00BC76E6">
        <w:rPr>
          <w:rFonts w:cs="Times New Roman"/>
          <w:szCs w:val="24"/>
        </w:rPr>
        <w:t>O</w:t>
      </w:r>
      <w:r w:rsidR="00B269C8">
        <w:rPr>
          <w:rFonts w:cs="Times New Roman"/>
          <w:szCs w:val="24"/>
        </w:rPr>
        <w:t xml:space="preserve">n this note, </w:t>
      </w:r>
      <w:r>
        <w:rPr>
          <w:rFonts w:cs="Times New Roman"/>
          <w:szCs w:val="24"/>
        </w:rPr>
        <w:t xml:space="preserve">Key informant </w:t>
      </w:r>
      <w:r w:rsidR="00332E59">
        <w:rPr>
          <w:rFonts w:cs="Times New Roman"/>
          <w:szCs w:val="24"/>
        </w:rPr>
        <w:t>6</w:t>
      </w:r>
      <w:r>
        <w:rPr>
          <w:rFonts w:cs="Times New Roman"/>
          <w:szCs w:val="24"/>
        </w:rPr>
        <w:t xml:space="preserve"> from the </w:t>
      </w:r>
      <w:r w:rsidRPr="0027541D">
        <w:rPr>
          <w:rFonts w:cs="Times New Roman"/>
          <w:szCs w:val="24"/>
        </w:rPr>
        <w:t>traditional authority</w:t>
      </w:r>
      <w:r w:rsidR="00BC76E6">
        <w:rPr>
          <w:rFonts w:cs="Times New Roman"/>
          <w:szCs w:val="24"/>
        </w:rPr>
        <w:t xml:space="preserve"> at the BFR</w:t>
      </w:r>
      <w:r w:rsidRPr="0027541D">
        <w:rPr>
          <w:rFonts w:cs="Times New Roman"/>
          <w:szCs w:val="24"/>
        </w:rPr>
        <w:t xml:space="preserve"> </w:t>
      </w:r>
      <w:r>
        <w:rPr>
          <w:rFonts w:cs="Times New Roman"/>
          <w:szCs w:val="24"/>
        </w:rPr>
        <w:t>m</w:t>
      </w:r>
      <w:r w:rsidRPr="0027541D">
        <w:rPr>
          <w:rFonts w:cs="Times New Roman"/>
          <w:szCs w:val="24"/>
        </w:rPr>
        <w:t>aintained the following.</w:t>
      </w:r>
    </w:p>
    <w:p w14:paraId="72B46C29" w14:textId="52CA878A" w:rsidR="009C482C" w:rsidRPr="00345857" w:rsidRDefault="009C482C" w:rsidP="009C482C">
      <w:pPr>
        <w:spacing w:after="0"/>
        <w:ind w:left="1260" w:right="746" w:firstLine="0"/>
        <w:rPr>
          <w:rFonts w:cs="Times New Roman"/>
          <w:i/>
          <w:iCs/>
          <w:szCs w:val="24"/>
        </w:rPr>
      </w:pPr>
      <w:r w:rsidRPr="00345857">
        <w:rPr>
          <w:rFonts w:cs="Times New Roman"/>
          <w:i/>
          <w:iCs/>
          <w:szCs w:val="24"/>
        </w:rPr>
        <w:t xml:space="preserve">The five per cent amount paid as SRA was meagre. This amount was not sufficient to start any developmental projects. The market we intended to construct has not moved past ground level. The only thing we were able to do was clear the land. The </w:t>
      </w:r>
      <w:r>
        <w:rPr>
          <w:rFonts w:cs="Times New Roman"/>
          <w:i/>
          <w:iCs/>
          <w:szCs w:val="24"/>
        </w:rPr>
        <w:t>informant</w:t>
      </w:r>
      <w:r w:rsidRPr="00345857">
        <w:rPr>
          <w:rFonts w:cs="Times New Roman"/>
          <w:i/>
          <w:iCs/>
          <w:szCs w:val="24"/>
        </w:rPr>
        <w:t xml:space="preserve"> continued by stating that other communities in Ghana have degraded their forests through mining and other activities. However, we have protected ours to be in prime condition to support timber harvesting, so we believe we must be given more </w:t>
      </w:r>
      <w:r w:rsidRPr="00345857">
        <w:rPr>
          <w:rFonts w:cs="Times New Roman"/>
          <w:i/>
          <w:iCs/>
          <w:szCs w:val="24"/>
        </w:rPr>
        <w:lastRenderedPageBreak/>
        <w:t>than five per cent</w:t>
      </w:r>
      <w:r>
        <w:rPr>
          <w:rFonts w:cs="Times New Roman"/>
          <w:i/>
          <w:iCs/>
          <w:szCs w:val="24"/>
        </w:rPr>
        <w:t xml:space="preserve"> (key informant </w:t>
      </w:r>
      <w:r w:rsidR="00332E59">
        <w:rPr>
          <w:rFonts w:cs="Times New Roman"/>
          <w:i/>
          <w:iCs/>
          <w:szCs w:val="24"/>
        </w:rPr>
        <w:t>6</w:t>
      </w:r>
      <w:r w:rsidR="00AE5F81">
        <w:rPr>
          <w:rFonts w:cs="Times New Roman"/>
          <w:i/>
          <w:iCs/>
          <w:szCs w:val="24"/>
        </w:rPr>
        <w:t xml:space="preserve"> from the traditional authority at the BFR</w:t>
      </w:r>
      <w:r>
        <w:rPr>
          <w:rFonts w:cs="Times New Roman"/>
          <w:i/>
          <w:iCs/>
          <w:szCs w:val="24"/>
        </w:rPr>
        <w:t>, 9</w:t>
      </w:r>
      <w:r w:rsidRPr="00345857">
        <w:rPr>
          <w:rFonts w:cs="Times New Roman"/>
          <w:i/>
          <w:iCs/>
          <w:szCs w:val="24"/>
          <w:vertAlign w:val="superscript"/>
        </w:rPr>
        <w:t>th</w:t>
      </w:r>
      <w:r>
        <w:rPr>
          <w:rFonts w:cs="Times New Roman"/>
          <w:i/>
          <w:iCs/>
          <w:szCs w:val="24"/>
        </w:rPr>
        <w:t xml:space="preserve"> February 2024).</w:t>
      </w:r>
    </w:p>
    <w:p w14:paraId="210740E6" w14:textId="4E769A92" w:rsidR="00680F6A" w:rsidRDefault="009C482C" w:rsidP="0058594F">
      <w:pPr>
        <w:ind w:left="0"/>
        <w:rPr>
          <w:rFonts w:cs="Times New Roman"/>
          <w:szCs w:val="24"/>
        </w:rPr>
      </w:pPr>
      <w:r w:rsidRPr="0027541D">
        <w:rPr>
          <w:rFonts w:cs="Times New Roman"/>
          <w:szCs w:val="24"/>
        </w:rPr>
        <w:t xml:space="preserve">In support of </w:t>
      </w:r>
      <w:r w:rsidR="0032372A">
        <w:rPr>
          <w:rFonts w:cs="Times New Roman"/>
          <w:szCs w:val="24"/>
        </w:rPr>
        <w:t>key informant 6</w:t>
      </w:r>
      <w:r w:rsidRPr="0027541D">
        <w:rPr>
          <w:rFonts w:cs="Times New Roman"/>
          <w:szCs w:val="24"/>
        </w:rPr>
        <w:t xml:space="preserve">, </w:t>
      </w:r>
      <w:r>
        <w:rPr>
          <w:rFonts w:cs="Times New Roman"/>
          <w:szCs w:val="24"/>
        </w:rPr>
        <w:t>key informant 2</w:t>
      </w:r>
      <w:r w:rsidRPr="0027541D">
        <w:rPr>
          <w:rFonts w:cs="Times New Roman"/>
          <w:szCs w:val="24"/>
        </w:rPr>
        <w:t xml:space="preserve"> from </w:t>
      </w:r>
      <w:r>
        <w:rPr>
          <w:rFonts w:cs="Times New Roman"/>
          <w:szCs w:val="24"/>
        </w:rPr>
        <w:t>the FSD</w:t>
      </w:r>
      <w:r w:rsidRPr="0027541D">
        <w:rPr>
          <w:rFonts w:cs="Times New Roman"/>
          <w:szCs w:val="24"/>
        </w:rPr>
        <w:t xml:space="preserve"> </w:t>
      </w:r>
      <w:r w:rsidR="00AE5F81">
        <w:rPr>
          <w:rFonts w:cs="Times New Roman"/>
          <w:szCs w:val="24"/>
        </w:rPr>
        <w:t>at the BFR on 9</w:t>
      </w:r>
      <w:r w:rsidR="00AE5F81" w:rsidRPr="00AE5F81">
        <w:rPr>
          <w:rFonts w:cs="Times New Roman"/>
          <w:szCs w:val="24"/>
          <w:vertAlign w:val="superscript"/>
        </w:rPr>
        <w:t>th</w:t>
      </w:r>
      <w:r w:rsidR="00AE5F81">
        <w:rPr>
          <w:rFonts w:cs="Times New Roman"/>
          <w:szCs w:val="24"/>
        </w:rPr>
        <w:t xml:space="preserve"> February 2024 </w:t>
      </w:r>
      <w:r>
        <w:rPr>
          <w:rFonts w:cs="Times New Roman"/>
          <w:szCs w:val="24"/>
        </w:rPr>
        <w:t>believed</w:t>
      </w:r>
      <w:r w:rsidRPr="0027541D">
        <w:rPr>
          <w:rFonts w:cs="Times New Roman"/>
          <w:szCs w:val="24"/>
        </w:rPr>
        <w:t xml:space="preserve"> that the SRA accrued from st</w:t>
      </w:r>
      <w:r>
        <w:rPr>
          <w:rFonts w:cs="Times New Roman"/>
          <w:szCs w:val="24"/>
        </w:rPr>
        <w:t>u</w:t>
      </w:r>
      <w:r w:rsidRPr="0027541D">
        <w:rPr>
          <w:rFonts w:cs="Times New Roman"/>
          <w:szCs w:val="24"/>
        </w:rPr>
        <w:t xml:space="preserve">mpage was small. </w:t>
      </w:r>
      <w:r w:rsidR="00AE5F81">
        <w:rPr>
          <w:rFonts w:cs="Times New Roman"/>
          <w:szCs w:val="24"/>
        </w:rPr>
        <w:t>The price of a</w:t>
      </w:r>
      <w:r w:rsidRPr="0027541D">
        <w:rPr>
          <w:rFonts w:cs="Times New Roman"/>
          <w:szCs w:val="24"/>
        </w:rPr>
        <w:t xml:space="preserve"> bag of cement increased consistently, </w:t>
      </w:r>
      <w:r>
        <w:rPr>
          <w:rFonts w:cs="Times New Roman"/>
          <w:szCs w:val="24"/>
        </w:rPr>
        <w:t>whereas the stumpage fee remained</w:t>
      </w:r>
      <w:r w:rsidRPr="0027541D">
        <w:rPr>
          <w:rFonts w:cs="Times New Roman"/>
          <w:szCs w:val="24"/>
        </w:rPr>
        <w:t xml:space="preserve"> the same. More</w:t>
      </w:r>
      <w:r>
        <w:rPr>
          <w:rFonts w:cs="Times New Roman"/>
          <w:szCs w:val="24"/>
        </w:rPr>
        <w:t>over</w:t>
      </w:r>
      <w:r w:rsidRPr="0027541D">
        <w:rPr>
          <w:rFonts w:cs="Times New Roman"/>
          <w:szCs w:val="24"/>
        </w:rPr>
        <w:t xml:space="preserve">, </w:t>
      </w:r>
      <w:r>
        <w:rPr>
          <w:rFonts w:cs="Times New Roman"/>
          <w:szCs w:val="24"/>
        </w:rPr>
        <w:t>FSD</w:t>
      </w:r>
      <w:r w:rsidRPr="0027541D">
        <w:rPr>
          <w:rFonts w:cs="Times New Roman"/>
          <w:szCs w:val="24"/>
        </w:rPr>
        <w:t xml:space="preserve"> d</w:t>
      </w:r>
      <w:r>
        <w:rPr>
          <w:rFonts w:cs="Times New Roman"/>
          <w:szCs w:val="24"/>
        </w:rPr>
        <w:t xml:space="preserve">id </w:t>
      </w:r>
      <w:r w:rsidRPr="0027541D">
        <w:rPr>
          <w:rFonts w:cs="Times New Roman"/>
          <w:szCs w:val="24"/>
        </w:rPr>
        <w:t>n</w:t>
      </w:r>
      <w:r>
        <w:rPr>
          <w:rFonts w:cs="Times New Roman"/>
          <w:szCs w:val="24"/>
        </w:rPr>
        <w:t>o</w:t>
      </w:r>
      <w:r w:rsidRPr="0027541D">
        <w:rPr>
          <w:rFonts w:cs="Times New Roman"/>
          <w:szCs w:val="24"/>
        </w:rPr>
        <w:t xml:space="preserve">t support communities with wood when </w:t>
      </w:r>
      <w:r w:rsidR="00AE5F81">
        <w:rPr>
          <w:rFonts w:cs="Times New Roman"/>
          <w:szCs w:val="24"/>
        </w:rPr>
        <w:t xml:space="preserve">the communities were </w:t>
      </w:r>
      <w:r w:rsidRPr="0027541D">
        <w:rPr>
          <w:rFonts w:cs="Times New Roman"/>
          <w:szCs w:val="24"/>
        </w:rPr>
        <w:t>undertaking projects. More</w:t>
      </w:r>
      <w:r>
        <w:rPr>
          <w:rFonts w:cs="Times New Roman"/>
          <w:szCs w:val="24"/>
        </w:rPr>
        <w:t>over</w:t>
      </w:r>
      <w:r w:rsidRPr="0027541D">
        <w:rPr>
          <w:rFonts w:cs="Times New Roman"/>
          <w:szCs w:val="24"/>
        </w:rPr>
        <w:t>, the community put up a school building</w:t>
      </w:r>
      <w:r>
        <w:rPr>
          <w:rFonts w:cs="Times New Roman"/>
          <w:szCs w:val="24"/>
        </w:rPr>
        <w:t xml:space="preserve"> and</w:t>
      </w:r>
      <w:r w:rsidRPr="0027541D">
        <w:rPr>
          <w:rFonts w:cs="Times New Roman"/>
          <w:szCs w:val="24"/>
        </w:rPr>
        <w:t xml:space="preserve"> requested wood for roofing. They were directed to see the contractors</w:t>
      </w:r>
      <w:r>
        <w:rPr>
          <w:rFonts w:cs="Times New Roman"/>
          <w:szCs w:val="24"/>
        </w:rPr>
        <w:t>,</w:t>
      </w:r>
      <w:r w:rsidRPr="0027541D">
        <w:rPr>
          <w:rFonts w:cs="Times New Roman"/>
          <w:szCs w:val="24"/>
        </w:rPr>
        <w:t xml:space="preserve"> but nothing good emerged.</w:t>
      </w:r>
      <w:r w:rsidR="0058594F">
        <w:rPr>
          <w:rFonts w:cs="Times New Roman"/>
          <w:szCs w:val="24"/>
        </w:rPr>
        <w:t xml:space="preserve"> </w:t>
      </w:r>
      <w:r w:rsidR="00AE5F81">
        <w:rPr>
          <w:rFonts w:cs="Times New Roman"/>
          <w:szCs w:val="24"/>
        </w:rPr>
        <w:t xml:space="preserve">A picture of the </w:t>
      </w:r>
      <w:r w:rsidR="00680F6A">
        <w:rPr>
          <w:rFonts w:cs="Times New Roman"/>
          <w:szCs w:val="24"/>
        </w:rPr>
        <w:t xml:space="preserve">site for the </w:t>
      </w:r>
      <w:r w:rsidR="00400433">
        <w:rPr>
          <w:rFonts w:cs="Times New Roman"/>
          <w:szCs w:val="24"/>
        </w:rPr>
        <w:t>market's construction</w:t>
      </w:r>
      <w:r w:rsidR="00680F6A">
        <w:rPr>
          <w:rFonts w:cs="Times New Roman"/>
          <w:szCs w:val="24"/>
        </w:rPr>
        <w:t xml:space="preserve"> </w:t>
      </w:r>
      <w:r w:rsidR="00AE5F81">
        <w:rPr>
          <w:rFonts w:cs="Times New Roman"/>
          <w:szCs w:val="24"/>
        </w:rPr>
        <w:t>is</w:t>
      </w:r>
      <w:r w:rsidR="00680F6A">
        <w:rPr>
          <w:rFonts w:cs="Times New Roman"/>
          <w:szCs w:val="24"/>
        </w:rPr>
        <w:t xml:space="preserve"> depicted in Plate 2.</w:t>
      </w:r>
    </w:p>
    <w:p w14:paraId="2E517B71" w14:textId="77777777" w:rsidR="00680F6A" w:rsidRPr="0027541D" w:rsidRDefault="00680F6A" w:rsidP="00772DAC">
      <w:pPr>
        <w:ind w:left="0" w:firstLine="0"/>
        <w:rPr>
          <w:rFonts w:cs="Times New Roman"/>
          <w:szCs w:val="24"/>
        </w:rPr>
      </w:pPr>
      <w:r>
        <w:rPr>
          <w:rFonts w:cs="Times New Roman"/>
          <w:noProof/>
          <w:szCs w:val="24"/>
          <w:lang w:val="en-US"/>
        </w:rPr>
        <w:drawing>
          <wp:inline distT="0" distB="0" distL="0" distR="0" wp14:anchorId="439858F3" wp14:editId="757B8561">
            <wp:extent cx="4650828" cy="2797175"/>
            <wp:effectExtent l="0" t="0" r="0" b="3175"/>
            <wp:docPr id="9677077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707712" name="Picture 967707712"/>
                    <pic:cNvPicPr/>
                  </pic:nvPicPr>
                  <pic:blipFill>
                    <a:blip r:embed="rId29">
                      <a:extLst>
                        <a:ext uri="{28A0092B-C50C-407E-A947-70E740481C1C}">
                          <a14:useLocalDpi xmlns:a14="http://schemas.microsoft.com/office/drawing/2010/main" val="0"/>
                        </a:ext>
                      </a:extLst>
                    </a:blip>
                    <a:stretch>
                      <a:fillRect/>
                    </a:stretch>
                  </pic:blipFill>
                  <pic:spPr>
                    <a:xfrm>
                      <a:off x="0" y="0"/>
                      <a:ext cx="4672875" cy="2810435"/>
                    </a:xfrm>
                    <a:prstGeom prst="rect">
                      <a:avLst/>
                    </a:prstGeom>
                  </pic:spPr>
                </pic:pic>
              </a:graphicData>
            </a:graphic>
          </wp:inline>
        </w:drawing>
      </w:r>
    </w:p>
    <w:p w14:paraId="06F96742" w14:textId="2AE7F990" w:rsidR="00680F6A" w:rsidRDefault="00680F6A" w:rsidP="00524689">
      <w:pPr>
        <w:pStyle w:val="LP"/>
      </w:pPr>
      <w:bookmarkStart w:id="351" w:name="_Toc172108064"/>
      <w:r w:rsidRPr="00524689">
        <w:rPr>
          <w:i/>
        </w:rPr>
        <w:t xml:space="preserve">Plate </w:t>
      </w:r>
      <w:r w:rsidR="006776BD" w:rsidRPr="00524689">
        <w:rPr>
          <w:i/>
        </w:rPr>
        <w:t>2</w:t>
      </w:r>
      <w:r w:rsidRPr="00524689">
        <w:rPr>
          <w:i/>
        </w:rPr>
        <w:t>:</w:t>
      </w:r>
      <w:r>
        <w:t xml:space="preserve"> Site for </w:t>
      </w:r>
      <w:r w:rsidR="00400433">
        <w:t>constructing</w:t>
      </w:r>
      <w:r>
        <w:t xml:space="preserve"> a market and police station.</w:t>
      </w:r>
      <w:bookmarkEnd w:id="351"/>
    </w:p>
    <w:p w14:paraId="28FB1436" w14:textId="34A46A8A" w:rsidR="00680F6A" w:rsidRDefault="00680F6A" w:rsidP="00772DAC">
      <w:pPr>
        <w:ind w:left="0" w:firstLine="0"/>
        <w:rPr>
          <w:rFonts w:cs="Times New Roman"/>
          <w:szCs w:val="24"/>
        </w:rPr>
      </w:pPr>
      <w:r>
        <w:rPr>
          <w:rFonts w:cs="Times New Roman"/>
          <w:szCs w:val="24"/>
        </w:rPr>
        <w:t>Source: Field</w:t>
      </w:r>
      <w:r w:rsidR="00AE5F81">
        <w:rPr>
          <w:rFonts w:cs="Times New Roman"/>
          <w:szCs w:val="24"/>
        </w:rPr>
        <w:t>work</w:t>
      </w:r>
      <w:r>
        <w:rPr>
          <w:rFonts w:cs="Times New Roman"/>
          <w:szCs w:val="24"/>
        </w:rPr>
        <w:t>, 2024.</w:t>
      </w:r>
    </w:p>
    <w:p w14:paraId="43432F2A" w14:textId="158E30F8" w:rsidR="00DD4B65" w:rsidRDefault="000C7EC5" w:rsidP="00DD4B65">
      <w:pPr>
        <w:spacing w:after="0"/>
        <w:ind w:left="0" w:firstLine="0"/>
        <w:rPr>
          <w:rFonts w:cs="Times New Roman"/>
          <w:szCs w:val="24"/>
        </w:rPr>
      </w:pPr>
      <w:r>
        <w:rPr>
          <w:rFonts w:cs="Times New Roman"/>
          <w:szCs w:val="24"/>
        </w:rPr>
        <w:tab/>
      </w:r>
      <w:bookmarkStart w:id="352" w:name="_Hlk165895344"/>
      <w:r w:rsidR="00DD4B65" w:rsidRPr="0027541D">
        <w:rPr>
          <w:rFonts w:cs="Times New Roman"/>
          <w:szCs w:val="24"/>
        </w:rPr>
        <w:t xml:space="preserve">In the context of SRA in the SSFR, </w:t>
      </w:r>
      <w:r w:rsidR="00DD4B65">
        <w:rPr>
          <w:rFonts w:cs="Times New Roman"/>
          <w:szCs w:val="24"/>
        </w:rPr>
        <w:t xml:space="preserve">focused </w:t>
      </w:r>
      <w:r w:rsidR="00DD4B65" w:rsidRPr="0027541D">
        <w:rPr>
          <w:rFonts w:cs="Times New Roman"/>
          <w:szCs w:val="24"/>
        </w:rPr>
        <w:t xml:space="preserve">group discussion </w:t>
      </w:r>
      <w:r w:rsidR="00332E59">
        <w:rPr>
          <w:rFonts w:cs="Times New Roman"/>
          <w:szCs w:val="24"/>
        </w:rPr>
        <w:t>1</w:t>
      </w:r>
      <w:r w:rsidR="00AE5F81">
        <w:rPr>
          <w:rFonts w:cs="Times New Roman"/>
          <w:szCs w:val="24"/>
        </w:rPr>
        <w:t xml:space="preserve">, comprising of cocoa farmers at </w:t>
      </w:r>
      <w:proofErr w:type="spellStart"/>
      <w:r w:rsidR="00AE5F81">
        <w:rPr>
          <w:rFonts w:cs="Times New Roman"/>
          <w:szCs w:val="24"/>
        </w:rPr>
        <w:t>Krofrom</w:t>
      </w:r>
      <w:proofErr w:type="spellEnd"/>
      <w:r w:rsidR="00DD4B65" w:rsidRPr="0027541D">
        <w:rPr>
          <w:rFonts w:cs="Times New Roman"/>
          <w:szCs w:val="24"/>
        </w:rPr>
        <w:t xml:space="preserve"> </w:t>
      </w:r>
      <w:r w:rsidR="00DD4B65">
        <w:rPr>
          <w:rFonts w:cs="Times New Roman"/>
          <w:szCs w:val="24"/>
        </w:rPr>
        <w:t xml:space="preserve">on the </w:t>
      </w:r>
      <w:r w:rsidR="00332E59">
        <w:rPr>
          <w:rFonts w:cs="Times New Roman"/>
          <w:szCs w:val="24"/>
        </w:rPr>
        <w:t>15</w:t>
      </w:r>
      <w:r w:rsidR="00DD4B65" w:rsidRPr="00D9471B">
        <w:rPr>
          <w:rFonts w:cs="Times New Roman"/>
          <w:szCs w:val="24"/>
          <w:vertAlign w:val="superscript"/>
        </w:rPr>
        <w:t>th</w:t>
      </w:r>
      <w:r w:rsidR="00DD4B65">
        <w:rPr>
          <w:rFonts w:cs="Times New Roman"/>
          <w:szCs w:val="24"/>
        </w:rPr>
        <w:t xml:space="preserve"> of March 2024 </w:t>
      </w:r>
      <w:r w:rsidR="00DD4B65" w:rsidRPr="0027541D">
        <w:rPr>
          <w:rFonts w:cs="Times New Roman"/>
          <w:szCs w:val="24"/>
        </w:rPr>
        <w:t xml:space="preserve">expressed </w:t>
      </w:r>
      <w:r w:rsidR="00DD4B65">
        <w:rPr>
          <w:rFonts w:cs="Times New Roman"/>
          <w:szCs w:val="24"/>
        </w:rPr>
        <w:t xml:space="preserve">views </w:t>
      </w:r>
      <w:proofErr w:type="gramStart"/>
      <w:r w:rsidR="00DD4B65">
        <w:rPr>
          <w:rFonts w:cs="Times New Roman"/>
          <w:szCs w:val="24"/>
        </w:rPr>
        <w:t>similar to</w:t>
      </w:r>
      <w:proofErr w:type="gramEnd"/>
      <w:r w:rsidR="00DD4B65" w:rsidRPr="0027541D">
        <w:rPr>
          <w:rFonts w:cs="Times New Roman"/>
          <w:szCs w:val="24"/>
        </w:rPr>
        <w:t xml:space="preserve"> those at Bobiri. They maintained that the effort</w:t>
      </w:r>
      <w:r w:rsidR="00DD4B65">
        <w:rPr>
          <w:rFonts w:cs="Times New Roman"/>
          <w:szCs w:val="24"/>
        </w:rPr>
        <w:t>s</w:t>
      </w:r>
      <w:r w:rsidR="00DD4B65" w:rsidRPr="0027541D">
        <w:rPr>
          <w:rFonts w:cs="Times New Roman"/>
          <w:szCs w:val="24"/>
        </w:rPr>
        <w:t xml:space="preserve"> to prevent illegal chainsaw operators and bush burning did not comm</w:t>
      </w:r>
      <w:r w:rsidR="00AE5F81">
        <w:rPr>
          <w:rFonts w:cs="Times New Roman"/>
          <w:szCs w:val="24"/>
        </w:rPr>
        <w:t>en</w:t>
      </w:r>
      <w:r w:rsidR="00DD4B65" w:rsidRPr="0027541D">
        <w:rPr>
          <w:rFonts w:cs="Times New Roman"/>
          <w:szCs w:val="24"/>
        </w:rPr>
        <w:t>s</w:t>
      </w:r>
      <w:r w:rsidR="00AE5F81">
        <w:rPr>
          <w:rFonts w:cs="Times New Roman"/>
          <w:szCs w:val="24"/>
        </w:rPr>
        <w:t>u</w:t>
      </w:r>
      <w:r w:rsidR="00DD4B65" w:rsidRPr="0027541D">
        <w:rPr>
          <w:rFonts w:cs="Times New Roman"/>
          <w:szCs w:val="24"/>
        </w:rPr>
        <w:t xml:space="preserve">rate with the </w:t>
      </w:r>
      <w:r w:rsidR="00DD4B65" w:rsidRPr="0027541D">
        <w:rPr>
          <w:rFonts w:cs="Times New Roman"/>
          <w:szCs w:val="24"/>
        </w:rPr>
        <w:lastRenderedPageBreak/>
        <w:t xml:space="preserve">amount they received as compensation </w:t>
      </w:r>
      <w:r w:rsidR="00DD4B65">
        <w:rPr>
          <w:rFonts w:cs="Times New Roman"/>
          <w:szCs w:val="24"/>
        </w:rPr>
        <w:t>and</w:t>
      </w:r>
      <w:r w:rsidR="00DD4B65" w:rsidRPr="0027541D">
        <w:rPr>
          <w:rFonts w:cs="Times New Roman"/>
          <w:szCs w:val="24"/>
        </w:rPr>
        <w:t xml:space="preserve"> that they were not allowed to cut trees to undertake their communal projects.</w:t>
      </w:r>
      <w:r w:rsidR="00DD4B65">
        <w:rPr>
          <w:rFonts w:cs="Times New Roman"/>
          <w:szCs w:val="24"/>
        </w:rPr>
        <w:t xml:space="preserve"> This confirms the argument </w:t>
      </w:r>
      <w:r w:rsidR="00332E59">
        <w:rPr>
          <w:rFonts w:cs="Times New Roman"/>
          <w:szCs w:val="24"/>
        </w:rPr>
        <w:t>of</w:t>
      </w:r>
      <w:r w:rsidR="00DD4B65">
        <w:rPr>
          <w:rFonts w:cs="Times New Roman"/>
          <w:szCs w:val="24"/>
        </w:rPr>
        <w:t xml:space="preserve"> the Social Exchange Theory, which notes that people will participate in an activity when they perceive that the benefits outweigh the cost</w:t>
      </w:r>
      <w:r w:rsidR="00332E59">
        <w:rPr>
          <w:rFonts w:cs="Times New Roman"/>
          <w:szCs w:val="24"/>
        </w:rPr>
        <w:t>s</w:t>
      </w:r>
      <w:r w:rsidR="00DD4B65">
        <w:rPr>
          <w:rFonts w:cs="Times New Roman"/>
          <w:szCs w:val="24"/>
        </w:rPr>
        <w:t xml:space="preserve">. In this case, the focus group believed that the cost of participation outweighed the benefits derived under the SRA. </w:t>
      </w:r>
    </w:p>
    <w:p w14:paraId="3FFEC56D" w14:textId="34E846AE" w:rsidR="00AC7AA0" w:rsidRPr="00AC7AA0" w:rsidRDefault="00AC7AA0" w:rsidP="00AC7AA0">
      <w:pPr>
        <w:pStyle w:val="BodyText"/>
        <w:ind w:left="0" w:firstLine="0"/>
      </w:pPr>
      <w:r>
        <w:tab/>
        <w:t>In response to the views expressed by the focus group discussion 1 on 15</w:t>
      </w:r>
      <w:r w:rsidRPr="00AC7AA0">
        <w:rPr>
          <w:vertAlign w:val="superscript"/>
        </w:rPr>
        <w:t>th</w:t>
      </w:r>
      <w:r>
        <w:t xml:space="preserve"> March 2024, key informant 10 from the FSD </w:t>
      </w:r>
      <w:r w:rsidR="00AE5F81">
        <w:t xml:space="preserve">at the SSFR </w:t>
      </w:r>
      <w:r>
        <w:t xml:space="preserve">on </w:t>
      </w:r>
      <w:r w:rsidR="00D86434">
        <w:t>18</w:t>
      </w:r>
      <w:r w:rsidR="00D86434" w:rsidRPr="00D86434">
        <w:rPr>
          <w:vertAlign w:val="superscript"/>
        </w:rPr>
        <w:t>th</w:t>
      </w:r>
      <w:r w:rsidR="00D86434">
        <w:t xml:space="preserve"> March 2024 explained that the amount communities earned as SRA was depend</w:t>
      </w:r>
      <w:r w:rsidR="000D4965">
        <w:t>e</w:t>
      </w:r>
      <w:r w:rsidR="00D86434">
        <w:t xml:space="preserve">nt on the type of tree harvested and the total square metre of trees harvested. Key informant 10 maintained that trees with high demands like Mahogany, Sapele, </w:t>
      </w:r>
      <w:r w:rsidR="00046381">
        <w:t xml:space="preserve">Rosewood, Odum, Senya, </w:t>
      </w:r>
      <w:proofErr w:type="spellStart"/>
      <w:r w:rsidR="00046381">
        <w:t>Kusia</w:t>
      </w:r>
      <w:proofErr w:type="spellEnd"/>
      <w:r w:rsidR="00046381">
        <w:t xml:space="preserve">, and </w:t>
      </w:r>
      <w:proofErr w:type="spellStart"/>
      <w:r w:rsidR="00046381">
        <w:t>Asamfena</w:t>
      </w:r>
      <w:proofErr w:type="spellEnd"/>
      <w:r w:rsidR="00046381">
        <w:t xml:space="preserve"> were expensive and a cubic metre of such trees which contain an average of 70 trees </w:t>
      </w:r>
      <w:r w:rsidR="00AE5F81">
        <w:t xml:space="preserve">per cubic metre </w:t>
      </w:r>
      <w:r w:rsidR="00046381">
        <w:t xml:space="preserve">was valued at GHC 19.13 and trees such as Esso, Wawa, </w:t>
      </w:r>
      <w:proofErr w:type="spellStart"/>
      <w:r w:rsidR="00046381">
        <w:t>Kyenkyen</w:t>
      </w:r>
      <w:proofErr w:type="spellEnd"/>
      <w:r w:rsidR="00046381">
        <w:t>, Bombax</w:t>
      </w:r>
      <w:r w:rsidR="005B1489">
        <w:t xml:space="preserve">, </w:t>
      </w:r>
      <w:proofErr w:type="spellStart"/>
      <w:r w:rsidR="005B1489">
        <w:t>Emire</w:t>
      </w:r>
      <w:proofErr w:type="spellEnd"/>
      <w:r w:rsidR="005B1489">
        <w:t xml:space="preserve"> and </w:t>
      </w:r>
      <w:proofErr w:type="spellStart"/>
      <w:r w:rsidR="005B1489">
        <w:t>Ofram</w:t>
      </w:r>
      <w:proofErr w:type="spellEnd"/>
      <w:r w:rsidR="005B1489">
        <w:t xml:space="preserve"> were valued at GHC 7. </w:t>
      </w:r>
      <w:r w:rsidR="000D4965">
        <w:t>Therefore,</w:t>
      </w:r>
      <w:r w:rsidR="005B1489">
        <w:t xml:space="preserve"> if about 4 cubic metres of less valued trees </w:t>
      </w:r>
      <w:r w:rsidR="000D4965">
        <w:t xml:space="preserve">were </w:t>
      </w:r>
      <w:r w:rsidR="005B1489">
        <w:t>harvested around a community the total amount w</w:t>
      </w:r>
      <w:r w:rsidR="000D4965">
        <w:t>ould</w:t>
      </w:r>
      <w:r w:rsidR="005B1489">
        <w:t xml:space="preserve"> be </w:t>
      </w:r>
      <w:r w:rsidR="00370174">
        <w:t xml:space="preserve">GHC 28 with GHC 1.4 accruing to the community. </w:t>
      </w:r>
      <w:r w:rsidR="000D4965">
        <w:t xml:space="preserve">Given this amount, the community members found it not beneficial to participate in the management of the reserve given the time and effort that </w:t>
      </w:r>
      <w:r w:rsidR="00AE5F81">
        <w:t>went</w:t>
      </w:r>
      <w:r w:rsidR="000D4965">
        <w:t xml:space="preserve"> into protecting the reserve. </w:t>
      </w:r>
    </w:p>
    <w:p w14:paraId="0375260B" w14:textId="3D882194" w:rsidR="00DD4B65" w:rsidRDefault="00DD4B65" w:rsidP="00DD4B65">
      <w:pPr>
        <w:spacing w:after="0"/>
        <w:ind w:left="0" w:firstLine="0"/>
        <w:rPr>
          <w:rFonts w:cs="Times New Roman"/>
          <w:szCs w:val="24"/>
        </w:rPr>
      </w:pPr>
      <w:r>
        <w:rPr>
          <w:rFonts w:cs="Times New Roman"/>
          <w:szCs w:val="24"/>
        </w:rPr>
        <w:tab/>
      </w:r>
      <w:r w:rsidRPr="0027541D">
        <w:rPr>
          <w:rFonts w:cs="Times New Roman"/>
          <w:szCs w:val="24"/>
        </w:rPr>
        <w:t xml:space="preserve">Another challenge associated with the </w:t>
      </w:r>
      <w:r>
        <w:rPr>
          <w:rFonts w:cs="Times New Roman"/>
          <w:szCs w:val="24"/>
        </w:rPr>
        <w:t>management</w:t>
      </w:r>
      <w:r w:rsidR="00332E59">
        <w:rPr>
          <w:rFonts w:cs="Times New Roman"/>
          <w:szCs w:val="24"/>
        </w:rPr>
        <w:t xml:space="preserve"> of the reserve</w:t>
      </w:r>
      <w:r w:rsidRPr="0027541D">
        <w:rPr>
          <w:rFonts w:cs="Times New Roman"/>
          <w:szCs w:val="24"/>
        </w:rPr>
        <w:t xml:space="preserve"> was the lack of </w:t>
      </w:r>
      <w:r>
        <w:rPr>
          <w:rFonts w:cs="Times New Roman"/>
          <w:szCs w:val="24"/>
        </w:rPr>
        <w:t xml:space="preserve">finance and </w:t>
      </w:r>
      <w:r w:rsidRPr="0027541D">
        <w:rPr>
          <w:rFonts w:cs="Times New Roman"/>
          <w:szCs w:val="24"/>
        </w:rPr>
        <w:t>logistics for FSD workers</w:t>
      </w:r>
      <w:r>
        <w:rPr>
          <w:rFonts w:cs="Times New Roman"/>
          <w:szCs w:val="24"/>
        </w:rPr>
        <w:t>,</w:t>
      </w:r>
      <w:r w:rsidRPr="0027541D">
        <w:rPr>
          <w:rFonts w:cs="Times New Roman"/>
          <w:szCs w:val="24"/>
        </w:rPr>
        <w:t xml:space="preserve"> especially forest guards and technical officers. </w:t>
      </w:r>
      <w:r>
        <w:rPr>
          <w:rFonts w:cs="Times New Roman"/>
          <w:szCs w:val="24"/>
        </w:rPr>
        <w:t>FSD personnel's bottlenecks comprised irregularities and salary delays.</w:t>
      </w:r>
      <w:r w:rsidRPr="0027541D">
        <w:rPr>
          <w:rFonts w:cs="Times New Roman"/>
          <w:szCs w:val="24"/>
        </w:rPr>
        <w:t xml:space="preserve"> They revealed that their work was associated with risks, such as being shot by illegal chainsaw operator</w:t>
      </w:r>
      <w:r>
        <w:rPr>
          <w:rFonts w:cs="Times New Roman"/>
          <w:szCs w:val="24"/>
        </w:rPr>
        <w:t xml:space="preserve">s, and because of the conditions </w:t>
      </w:r>
      <w:r>
        <w:rPr>
          <w:rFonts w:cs="Times New Roman"/>
          <w:szCs w:val="24"/>
        </w:rPr>
        <w:lastRenderedPageBreak/>
        <w:t>surrounding their finances, t</w:t>
      </w:r>
      <w:r w:rsidRPr="0027541D">
        <w:rPr>
          <w:rFonts w:cs="Times New Roman"/>
          <w:szCs w:val="24"/>
        </w:rPr>
        <w:t xml:space="preserve">hey sometimes </w:t>
      </w:r>
      <w:r>
        <w:rPr>
          <w:rFonts w:cs="Times New Roman"/>
          <w:szCs w:val="24"/>
        </w:rPr>
        <w:t>found it challenging to hold</w:t>
      </w:r>
      <w:r w:rsidRPr="0027541D">
        <w:rPr>
          <w:rFonts w:cs="Times New Roman"/>
          <w:szCs w:val="24"/>
        </w:rPr>
        <w:t xml:space="preserve"> up to their end of the deal. </w:t>
      </w:r>
    </w:p>
    <w:p w14:paraId="404127EC" w14:textId="7542F92E" w:rsidR="00DD4B65" w:rsidRPr="0027541D" w:rsidRDefault="00DD4B65" w:rsidP="00DD4B65">
      <w:pPr>
        <w:spacing w:after="0"/>
        <w:ind w:left="0" w:firstLine="0"/>
        <w:rPr>
          <w:rFonts w:cs="Times New Roman"/>
          <w:szCs w:val="24"/>
        </w:rPr>
      </w:pPr>
      <w:r>
        <w:rPr>
          <w:rFonts w:cs="Times New Roman"/>
          <w:szCs w:val="24"/>
        </w:rPr>
        <w:tab/>
      </w:r>
      <w:r w:rsidRPr="0027541D">
        <w:rPr>
          <w:rFonts w:cs="Times New Roman"/>
          <w:szCs w:val="24"/>
        </w:rPr>
        <w:t xml:space="preserve">To this effect, </w:t>
      </w:r>
      <w:r>
        <w:rPr>
          <w:rFonts w:cs="Times New Roman"/>
          <w:szCs w:val="24"/>
        </w:rPr>
        <w:t xml:space="preserve">key informant 2 from the FSD </w:t>
      </w:r>
      <w:r w:rsidR="00AE5F81">
        <w:rPr>
          <w:rFonts w:cs="Times New Roman"/>
          <w:szCs w:val="24"/>
        </w:rPr>
        <w:t xml:space="preserve">at the BFR </w:t>
      </w:r>
      <w:r>
        <w:rPr>
          <w:rFonts w:cs="Times New Roman"/>
          <w:szCs w:val="24"/>
        </w:rPr>
        <w:t>on 9</w:t>
      </w:r>
      <w:r w:rsidRPr="00D70C65">
        <w:rPr>
          <w:rFonts w:cs="Times New Roman"/>
          <w:szCs w:val="24"/>
          <w:vertAlign w:val="superscript"/>
        </w:rPr>
        <w:t>th</w:t>
      </w:r>
      <w:r>
        <w:rPr>
          <w:rFonts w:cs="Times New Roman"/>
          <w:szCs w:val="24"/>
        </w:rPr>
        <w:t xml:space="preserve"> February 2024 noted that the reserve workers</w:t>
      </w:r>
      <w:r w:rsidRPr="0027541D">
        <w:rPr>
          <w:rFonts w:cs="Times New Roman"/>
          <w:szCs w:val="24"/>
        </w:rPr>
        <w:t xml:space="preserve"> need</w:t>
      </w:r>
      <w:r>
        <w:rPr>
          <w:rFonts w:cs="Times New Roman"/>
          <w:szCs w:val="24"/>
        </w:rPr>
        <w:t>ed</w:t>
      </w:r>
      <w:r w:rsidRPr="0027541D">
        <w:rPr>
          <w:rFonts w:cs="Times New Roman"/>
          <w:szCs w:val="24"/>
        </w:rPr>
        <w:t xml:space="preserve"> logistics. This </w:t>
      </w:r>
      <w:r>
        <w:rPr>
          <w:rFonts w:cs="Times New Roman"/>
          <w:szCs w:val="24"/>
        </w:rPr>
        <w:t>was</w:t>
      </w:r>
      <w:r w:rsidRPr="0027541D">
        <w:rPr>
          <w:rFonts w:cs="Times New Roman"/>
          <w:szCs w:val="24"/>
        </w:rPr>
        <w:t xml:space="preserve"> </w:t>
      </w:r>
      <w:r>
        <w:rPr>
          <w:rFonts w:cs="Times New Roman"/>
          <w:szCs w:val="24"/>
        </w:rPr>
        <w:t>his</w:t>
      </w:r>
      <w:r w:rsidRPr="0027541D">
        <w:rPr>
          <w:rFonts w:cs="Times New Roman"/>
          <w:szCs w:val="24"/>
        </w:rPr>
        <w:t xml:space="preserve"> 28</w:t>
      </w:r>
      <w:r w:rsidRPr="0027541D">
        <w:rPr>
          <w:rFonts w:cs="Times New Roman"/>
          <w:szCs w:val="24"/>
          <w:vertAlign w:val="superscript"/>
        </w:rPr>
        <w:t>th</w:t>
      </w:r>
      <w:r w:rsidRPr="0027541D">
        <w:rPr>
          <w:rFonts w:cs="Times New Roman"/>
          <w:szCs w:val="24"/>
        </w:rPr>
        <w:t xml:space="preserve"> year in the service</w:t>
      </w:r>
      <w:r>
        <w:rPr>
          <w:rFonts w:cs="Times New Roman"/>
          <w:szCs w:val="24"/>
        </w:rPr>
        <w:t>,</w:t>
      </w:r>
      <w:r w:rsidRPr="0027541D">
        <w:rPr>
          <w:rFonts w:cs="Times New Roman"/>
          <w:szCs w:val="24"/>
        </w:rPr>
        <w:t xml:space="preserve"> but a motorbike that was given to </w:t>
      </w:r>
      <w:r>
        <w:rPr>
          <w:rFonts w:cs="Times New Roman"/>
          <w:szCs w:val="24"/>
        </w:rPr>
        <w:t>him</w:t>
      </w:r>
      <w:r w:rsidRPr="0027541D">
        <w:rPr>
          <w:rFonts w:cs="Times New Roman"/>
          <w:szCs w:val="24"/>
        </w:rPr>
        <w:t xml:space="preserve"> about 18 or 19 years ago was what </w:t>
      </w:r>
      <w:r>
        <w:rPr>
          <w:rFonts w:cs="Times New Roman"/>
          <w:szCs w:val="24"/>
        </w:rPr>
        <w:t>he was</w:t>
      </w:r>
      <w:r w:rsidRPr="0027541D">
        <w:rPr>
          <w:rFonts w:cs="Times New Roman"/>
          <w:szCs w:val="24"/>
        </w:rPr>
        <w:t xml:space="preserve"> still using. Reserve guards were </w:t>
      </w:r>
      <w:r>
        <w:rPr>
          <w:rFonts w:cs="Times New Roman"/>
          <w:szCs w:val="24"/>
        </w:rPr>
        <w:t>tasked</w:t>
      </w:r>
      <w:r w:rsidRPr="0027541D">
        <w:rPr>
          <w:rFonts w:cs="Times New Roman"/>
          <w:szCs w:val="24"/>
        </w:rPr>
        <w:t xml:space="preserve"> with using their meagre allowance to </w:t>
      </w:r>
      <w:r w:rsidR="00AE5F81">
        <w:rPr>
          <w:rFonts w:cs="Times New Roman"/>
          <w:szCs w:val="24"/>
        </w:rPr>
        <w:t>maintain</w:t>
      </w:r>
      <w:r w:rsidRPr="0027541D">
        <w:rPr>
          <w:rFonts w:cs="Times New Roman"/>
          <w:szCs w:val="24"/>
        </w:rPr>
        <w:t xml:space="preserve"> their motorbikes for monitoring and to come for </w:t>
      </w:r>
      <w:r>
        <w:rPr>
          <w:rFonts w:cs="Times New Roman"/>
          <w:szCs w:val="24"/>
        </w:rPr>
        <w:t xml:space="preserve">a </w:t>
      </w:r>
      <w:r w:rsidRPr="0027541D">
        <w:rPr>
          <w:rFonts w:cs="Times New Roman"/>
          <w:szCs w:val="24"/>
        </w:rPr>
        <w:t>refund later. Even those who ha</w:t>
      </w:r>
      <w:r>
        <w:rPr>
          <w:rFonts w:cs="Times New Roman"/>
          <w:szCs w:val="24"/>
        </w:rPr>
        <w:t>d</w:t>
      </w:r>
      <w:r w:rsidRPr="0027541D">
        <w:rPr>
          <w:rFonts w:cs="Times New Roman"/>
          <w:szCs w:val="24"/>
        </w:rPr>
        <w:t xml:space="preserve"> these motorbikes did not receive any allowance. These issues </w:t>
      </w:r>
      <w:r>
        <w:rPr>
          <w:rFonts w:cs="Times New Roman"/>
          <w:szCs w:val="24"/>
        </w:rPr>
        <w:t>compelled</w:t>
      </w:r>
      <w:r w:rsidRPr="0027541D">
        <w:rPr>
          <w:rFonts w:cs="Times New Roman"/>
          <w:szCs w:val="24"/>
        </w:rPr>
        <w:t xml:space="preserve"> </w:t>
      </w:r>
      <w:r>
        <w:rPr>
          <w:rFonts w:cs="Times New Roman"/>
          <w:szCs w:val="24"/>
        </w:rPr>
        <w:t>FSD</w:t>
      </w:r>
      <w:r w:rsidRPr="0027541D">
        <w:rPr>
          <w:rFonts w:cs="Times New Roman"/>
          <w:szCs w:val="24"/>
        </w:rPr>
        <w:t xml:space="preserve"> workers to undertake illegal activities. Therefore, the</w:t>
      </w:r>
      <w:r w:rsidR="00AE5F81">
        <w:rPr>
          <w:rFonts w:cs="Times New Roman"/>
          <w:szCs w:val="24"/>
        </w:rPr>
        <w:t xml:space="preserve"> FSD</w:t>
      </w:r>
      <w:r w:rsidRPr="0027541D">
        <w:rPr>
          <w:rFonts w:cs="Times New Roman"/>
          <w:szCs w:val="24"/>
        </w:rPr>
        <w:t xml:space="preserve"> should try </w:t>
      </w:r>
      <w:r>
        <w:rPr>
          <w:rFonts w:cs="Times New Roman"/>
          <w:szCs w:val="24"/>
        </w:rPr>
        <w:t>to</w:t>
      </w:r>
      <w:r w:rsidRPr="0027541D">
        <w:rPr>
          <w:rFonts w:cs="Times New Roman"/>
          <w:szCs w:val="24"/>
        </w:rPr>
        <w:t xml:space="preserve"> appropriately resource us to encourage us to work more. </w:t>
      </w:r>
    </w:p>
    <w:p w14:paraId="1EA55DDB" w14:textId="1EC14AB8" w:rsidR="00DD4B65" w:rsidRDefault="00DD4B65" w:rsidP="00DD4B65">
      <w:pPr>
        <w:ind w:left="0"/>
      </w:pPr>
      <w:r>
        <w:t>T</w:t>
      </w:r>
      <w:r w:rsidRPr="0027541D">
        <w:t xml:space="preserve">he </w:t>
      </w:r>
      <w:r w:rsidR="00AE5F81">
        <w:t>key informant 11</w:t>
      </w:r>
      <w:r w:rsidRPr="0027541D">
        <w:t xml:space="preserve"> </w:t>
      </w:r>
      <w:r>
        <w:t>from</w:t>
      </w:r>
      <w:r w:rsidRPr="0027541D">
        <w:t xml:space="preserve"> the </w:t>
      </w:r>
      <w:r>
        <w:t>FSD</w:t>
      </w:r>
      <w:r w:rsidRPr="0027541D">
        <w:t xml:space="preserve"> </w:t>
      </w:r>
      <w:r>
        <w:t xml:space="preserve">at the SSFR </w:t>
      </w:r>
      <w:r w:rsidR="00AE5F81">
        <w:t>on 12</w:t>
      </w:r>
      <w:r w:rsidR="00AE5F81" w:rsidRPr="00AE5F81">
        <w:rPr>
          <w:vertAlign w:val="superscript"/>
        </w:rPr>
        <w:t>th</w:t>
      </w:r>
      <w:r w:rsidR="00AE5F81">
        <w:t xml:space="preserve"> March 2024 </w:t>
      </w:r>
      <w:r w:rsidRPr="0027541D">
        <w:t>alluded to the fact that</w:t>
      </w:r>
      <w:r>
        <w:t xml:space="preserve"> the</w:t>
      </w:r>
      <w:r w:rsidRPr="0027541D">
        <w:t xml:space="preserve"> inconsistent salary </w:t>
      </w:r>
      <w:r>
        <w:t xml:space="preserve">payments </w:t>
      </w:r>
      <w:r w:rsidRPr="0027541D">
        <w:t xml:space="preserve">of forest guards could lead them to establish ‘communication’ with illegal chainsaw operators. The </w:t>
      </w:r>
      <w:r>
        <w:t>informant</w:t>
      </w:r>
      <w:r w:rsidRPr="0027541D">
        <w:t xml:space="preserve"> stressed the following. </w:t>
      </w:r>
    </w:p>
    <w:p w14:paraId="490E5B39" w14:textId="4D505473" w:rsidR="00DD4B65" w:rsidRPr="00255589" w:rsidRDefault="00DD4B65" w:rsidP="00DD4B65">
      <w:pPr>
        <w:ind w:left="1260" w:right="566" w:firstLine="0"/>
        <w:rPr>
          <w:rFonts w:cs="Times New Roman"/>
          <w:i/>
          <w:iCs/>
          <w:szCs w:val="24"/>
        </w:rPr>
      </w:pPr>
      <w:r>
        <w:rPr>
          <w:rFonts w:cs="Times New Roman"/>
          <w:i/>
          <w:iCs/>
          <w:szCs w:val="24"/>
        </w:rPr>
        <w:t>I</w:t>
      </w:r>
      <w:r w:rsidRPr="00255589">
        <w:rPr>
          <w:rFonts w:cs="Times New Roman"/>
          <w:i/>
          <w:iCs/>
          <w:szCs w:val="24"/>
        </w:rPr>
        <w:t>magine a forest guard who has not been paid for over two years, such a person could establish ‘communication’ with the illegal chainsaw operator to f</w:t>
      </w:r>
      <w:r w:rsidR="00AE5F81">
        <w:rPr>
          <w:rFonts w:cs="Times New Roman"/>
          <w:i/>
          <w:iCs/>
          <w:szCs w:val="24"/>
        </w:rPr>
        <w:t>e</w:t>
      </w:r>
      <w:r w:rsidRPr="00255589">
        <w:rPr>
          <w:rFonts w:cs="Times New Roman"/>
          <w:i/>
          <w:iCs/>
          <w:szCs w:val="24"/>
        </w:rPr>
        <w:t>ll tre</w:t>
      </w:r>
      <w:r w:rsidR="00AE5F81">
        <w:rPr>
          <w:rFonts w:cs="Times New Roman"/>
          <w:i/>
          <w:iCs/>
          <w:szCs w:val="24"/>
        </w:rPr>
        <w:t>e</w:t>
      </w:r>
      <w:r w:rsidRPr="00255589">
        <w:rPr>
          <w:rFonts w:cs="Times New Roman"/>
          <w:i/>
          <w:iCs/>
          <w:szCs w:val="24"/>
        </w:rPr>
        <w:t>s so that he can get his share, besides, man must eat, but if the pay is consistent, the guard will help to protect the forest</w:t>
      </w:r>
      <w:r>
        <w:rPr>
          <w:rFonts w:cs="Times New Roman"/>
          <w:i/>
          <w:iCs/>
          <w:szCs w:val="24"/>
        </w:rPr>
        <w:t xml:space="preserve"> (key informant </w:t>
      </w:r>
      <w:r w:rsidR="00332E59">
        <w:rPr>
          <w:rFonts w:cs="Times New Roman"/>
          <w:i/>
          <w:iCs/>
          <w:szCs w:val="24"/>
        </w:rPr>
        <w:t xml:space="preserve">11 </w:t>
      </w:r>
      <w:r>
        <w:rPr>
          <w:rFonts w:cs="Times New Roman"/>
          <w:i/>
          <w:iCs/>
          <w:szCs w:val="24"/>
        </w:rPr>
        <w:t>from FSD, 12</w:t>
      </w:r>
      <w:r w:rsidRPr="005166D5">
        <w:rPr>
          <w:rFonts w:cs="Times New Roman"/>
          <w:i/>
          <w:iCs/>
          <w:szCs w:val="24"/>
          <w:vertAlign w:val="superscript"/>
        </w:rPr>
        <w:t>th</w:t>
      </w:r>
      <w:r>
        <w:rPr>
          <w:rFonts w:cs="Times New Roman"/>
          <w:i/>
          <w:iCs/>
          <w:szCs w:val="24"/>
        </w:rPr>
        <w:t xml:space="preserve"> March 2024).</w:t>
      </w:r>
    </w:p>
    <w:p w14:paraId="46CE6A2E" w14:textId="3E396F88" w:rsidR="00DD4B65" w:rsidRDefault="00DD4B65" w:rsidP="00332E59">
      <w:pPr>
        <w:spacing w:after="0"/>
        <w:ind w:left="0"/>
        <w:rPr>
          <w:rFonts w:cs="Times New Roman"/>
          <w:szCs w:val="24"/>
        </w:rPr>
      </w:pPr>
      <w:r>
        <w:rPr>
          <w:rFonts w:cs="Times New Roman"/>
          <w:szCs w:val="24"/>
        </w:rPr>
        <w:t xml:space="preserve">While this study found that </w:t>
      </w:r>
      <w:r w:rsidR="00332E59">
        <w:rPr>
          <w:rFonts w:cs="Times New Roman"/>
          <w:szCs w:val="24"/>
        </w:rPr>
        <w:t xml:space="preserve">a </w:t>
      </w:r>
      <w:r>
        <w:rPr>
          <w:rFonts w:cs="Times New Roman"/>
          <w:szCs w:val="24"/>
        </w:rPr>
        <w:t xml:space="preserve">lack of resources and motivation limited the ability of the FSD workers and community members to effectively participate in the process, the study by </w:t>
      </w:r>
      <w:r w:rsidRPr="00813C48">
        <w:t xml:space="preserve">Wekesa </w:t>
      </w:r>
      <w:r>
        <w:t xml:space="preserve">(2017) revealed similar results. Wekesa revealed that inadequate resources prevented or discouraged </w:t>
      </w:r>
      <w:r>
        <w:lastRenderedPageBreak/>
        <w:t xml:space="preserve">community members and not the personnel of the FSD from participating in the process. </w:t>
      </w:r>
    </w:p>
    <w:p w14:paraId="77CC43B2" w14:textId="77777777" w:rsidR="00DD4B65" w:rsidRPr="0027541D" w:rsidRDefault="00DD4B65" w:rsidP="00DD4B65">
      <w:pPr>
        <w:spacing w:after="0"/>
        <w:ind w:left="0" w:firstLine="0"/>
        <w:rPr>
          <w:rFonts w:cs="Times New Roman"/>
          <w:szCs w:val="24"/>
        </w:rPr>
      </w:pPr>
      <w:r>
        <w:rPr>
          <w:rFonts w:cs="Times New Roman"/>
          <w:szCs w:val="24"/>
        </w:rPr>
        <w:tab/>
        <w:t>Another challenge identified in this study was the l</w:t>
      </w:r>
      <w:r w:rsidRPr="0027541D">
        <w:rPr>
          <w:rFonts w:cs="Times New Roman"/>
          <w:szCs w:val="24"/>
        </w:rPr>
        <w:t xml:space="preserve">ack of local content in the </w:t>
      </w:r>
      <w:r>
        <w:rPr>
          <w:rFonts w:cs="Times New Roman"/>
          <w:szCs w:val="24"/>
        </w:rPr>
        <w:t>FSD</w:t>
      </w:r>
      <w:r w:rsidRPr="0027541D">
        <w:rPr>
          <w:rFonts w:cs="Times New Roman"/>
          <w:szCs w:val="24"/>
        </w:rPr>
        <w:t xml:space="preserve"> workforce. The study </w:t>
      </w:r>
      <w:r>
        <w:rPr>
          <w:rFonts w:cs="Times New Roman"/>
          <w:szCs w:val="24"/>
        </w:rPr>
        <w:t>noted</w:t>
      </w:r>
      <w:r w:rsidRPr="0027541D">
        <w:rPr>
          <w:rFonts w:cs="Times New Roman"/>
          <w:szCs w:val="24"/>
        </w:rPr>
        <w:t xml:space="preserve"> that most workers</w:t>
      </w:r>
      <w:r>
        <w:rPr>
          <w:rFonts w:cs="Times New Roman"/>
          <w:szCs w:val="24"/>
        </w:rPr>
        <w:t>, such as forest guards, did not require higher levels of experience, education, or expertise to be employed. Nevertheless, they</w:t>
      </w:r>
      <w:r w:rsidRPr="0027541D">
        <w:rPr>
          <w:rFonts w:cs="Times New Roman"/>
          <w:szCs w:val="24"/>
        </w:rPr>
        <w:t xml:space="preserve"> were </w:t>
      </w:r>
      <w:r>
        <w:rPr>
          <w:rFonts w:cs="Times New Roman"/>
          <w:szCs w:val="24"/>
        </w:rPr>
        <w:t>primari</w:t>
      </w:r>
      <w:r w:rsidRPr="0027541D">
        <w:rPr>
          <w:rFonts w:cs="Times New Roman"/>
          <w:szCs w:val="24"/>
        </w:rPr>
        <w:t xml:space="preserve">ly from outside </w:t>
      </w:r>
      <w:r>
        <w:rPr>
          <w:rFonts w:cs="Times New Roman"/>
          <w:szCs w:val="24"/>
        </w:rPr>
        <w:t xml:space="preserve">fringe </w:t>
      </w:r>
      <w:r w:rsidRPr="0027541D">
        <w:rPr>
          <w:rFonts w:cs="Times New Roman"/>
          <w:szCs w:val="24"/>
        </w:rPr>
        <w:t xml:space="preserve">communities bordering the Reserve. This </w:t>
      </w:r>
      <w:r>
        <w:rPr>
          <w:rFonts w:cs="Times New Roman"/>
          <w:szCs w:val="24"/>
        </w:rPr>
        <w:t>w</w:t>
      </w:r>
      <w:r w:rsidRPr="0027541D">
        <w:rPr>
          <w:rFonts w:cs="Times New Roman"/>
          <w:szCs w:val="24"/>
        </w:rPr>
        <w:t>as a source of demotivation for the community members since they felt the</w:t>
      </w:r>
      <w:r>
        <w:rPr>
          <w:rFonts w:cs="Times New Roman"/>
          <w:szCs w:val="24"/>
        </w:rPr>
        <w:t xml:space="preserve"> FSD did not recognise their efforts in the management of the reserve</w:t>
      </w:r>
      <w:r w:rsidRPr="0027541D">
        <w:rPr>
          <w:rFonts w:cs="Times New Roman"/>
          <w:szCs w:val="24"/>
        </w:rPr>
        <w:t xml:space="preserve">. </w:t>
      </w:r>
    </w:p>
    <w:p w14:paraId="0504A6A0" w14:textId="10F90649" w:rsidR="00AE5F81" w:rsidRPr="00AE5F81" w:rsidRDefault="00DD4B65" w:rsidP="00AE5F81">
      <w:pPr>
        <w:spacing w:after="0"/>
        <w:ind w:left="0" w:firstLine="0"/>
        <w:rPr>
          <w:rFonts w:cs="Times New Roman"/>
          <w:szCs w:val="24"/>
        </w:rPr>
      </w:pPr>
      <w:r>
        <w:rPr>
          <w:rFonts w:cs="Times New Roman"/>
          <w:szCs w:val="24"/>
        </w:rPr>
        <w:tab/>
        <w:t xml:space="preserve">Key informant </w:t>
      </w:r>
      <w:r w:rsidR="00332E59">
        <w:rPr>
          <w:rFonts w:cs="Times New Roman"/>
          <w:szCs w:val="24"/>
        </w:rPr>
        <w:t>3</w:t>
      </w:r>
      <w:r>
        <w:rPr>
          <w:rFonts w:cs="Times New Roman"/>
          <w:szCs w:val="24"/>
        </w:rPr>
        <w:t xml:space="preserve"> from the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at the Bobiri forest reserve </w:t>
      </w:r>
      <w:r>
        <w:rPr>
          <w:rFonts w:cs="Times New Roman"/>
          <w:szCs w:val="24"/>
        </w:rPr>
        <w:t>on 8</w:t>
      </w:r>
      <w:r w:rsidRPr="009A7467">
        <w:rPr>
          <w:rFonts w:cs="Times New Roman"/>
          <w:szCs w:val="24"/>
          <w:vertAlign w:val="superscript"/>
        </w:rPr>
        <w:t>th</w:t>
      </w:r>
      <w:r>
        <w:rPr>
          <w:rFonts w:cs="Times New Roman"/>
          <w:szCs w:val="24"/>
        </w:rPr>
        <w:t xml:space="preserve"> February 2024 argued</w:t>
      </w:r>
      <w:r w:rsidRPr="0027541D">
        <w:rPr>
          <w:rFonts w:cs="Times New Roman"/>
          <w:szCs w:val="24"/>
        </w:rPr>
        <w:t xml:space="preserve"> that the community should be notified when there w</w:t>
      </w:r>
      <w:r>
        <w:rPr>
          <w:rFonts w:cs="Times New Roman"/>
          <w:szCs w:val="24"/>
        </w:rPr>
        <w:t>ould</w:t>
      </w:r>
      <w:r w:rsidRPr="0027541D">
        <w:rPr>
          <w:rFonts w:cs="Times New Roman"/>
          <w:szCs w:val="24"/>
        </w:rPr>
        <w:t xml:space="preserve"> be forest guard recruitment so that some community members could be employed. This was because someone already staying by the resource could better </w:t>
      </w:r>
      <w:r>
        <w:rPr>
          <w:rFonts w:cs="Times New Roman"/>
          <w:szCs w:val="24"/>
        </w:rPr>
        <w:t>care for</w:t>
      </w:r>
      <w:r w:rsidRPr="0027541D">
        <w:rPr>
          <w:rFonts w:cs="Times New Roman"/>
          <w:szCs w:val="24"/>
        </w:rPr>
        <w:t xml:space="preserve"> the resource than someone from outside</w:t>
      </w:r>
      <w:r>
        <w:rPr>
          <w:rFonts w:cs="Times New Roman"/>
          <w:szCs w:val="24"/>
        </w:rPr>
        <w:t xml:space="preserve">. Besides, this would also reduce illegal activities within the reserve, since they </w:t>
      </w:r>
      <w:r w:rsidR="00AE5F81">
        <w:rPr>
          <w:rFonts w:cs="Times New Roman"/>
          <w:szCs w:val="24"/>
        </w:rPr>
        <w:t>were</w:t>
      </w:r>
      <w:r>
        <w:rPr>
          <w:rFonts w:cs="Times New Roman"/>
          <w:szCs w:val="24"/>
        </w:rPr>
        <w:t xml:space="preserve"> usually caused by those not working. O</w:t>
      </w:r>
      <w:r w:rsidRPr="0027541D">
        <w:rPr>
          <w:rFonts w:cs="Times New Roman"/>
          <w:szCs w:val="24"/>
        </w:rPr>
        <w:t>ne d</w:t>
      </w:r>
      <w:r w:rsidR="00AE5F81">
        <w:rPr>
          <w:rFonts w:cs="Times New Roman"/>
          <w:szCs w:val="24"/>
        </w:rPr>
        <w:t>id</w:t>
      </w:r>
      <w:r w:rsidRPr="0027541D">
        <w:rPr>
          <w:rFonts w:cs="Times New Roman"/>
          <w:szCs w:val="24"/>
        </w:rPr>
        <w:t xml:space="preserve"> not need a higher degree to become a forest guard</w:t>
      </w:r>
      <w:r>
        <w:rPr>
          <w:rFonts w:cs="Times New Roman"/>
          <w:szCs w:val="24"/>
        </w:rPr>
        <w:t>,</w:t>
      </w:r>
      <w:r w:rsidRPr="0027541D">
        <w:rPr>
          <w:rFonts w:cs="Times New Roman"/>
          <w:szCs w:val="24"/>
        </w:rPr>
        <w:t xml:space="preserve"> and </w:t>
      </w:r>
      <w:r>
        <w:rPr>
          <w:rFonts w:cs="Times New Roman"/>
          <w:szCs w:val="24"/>
        </w:rPr>
        <w:t>as</w:t>
      </w:r>
      <w:r w:rsidRPr="0027541D">
        <w:rPr>
          <w:rFonts w:cs="Times New Roman"/>
          <w:szCs w:val="24"/>
        </w:rPr>
        <w:t xml:space="preserve"> one has been staying and interacting with the resources for some time, the person has some level of competence to become a forest guard.</w:t>
      </w:r>
    </w:p>
    <w:p w14:paraId="724DED76" w14:textId="601EE6BB" w:rsidR="00DD4B65" w:rsidRPr="0027541D" w:rsidRDefault="00DD4B65" w:rsidP="00332E59">
      <w:pPr>
        <w:spacing w:after="0"/>
        <w:ind w:left="0"/>
        <w:rPr>
          <w:rFonts w:cs="Times New Roman"/>
          <w:szCs w:val="24"/>
        </w:rPr>
      </w:pPr>
      <w:r>
        <w:rPr>
          <w:rFonts w:cs="Times New Roman"/>
          <w:szCs w:val="24"/>
        </w:rPr>
        <w:t>T</w:t>
      </w:r>
      <w:r w:rsidRPr="0027541D">
        <w:rPr>
          <w:rFonts w:cs="Times New Roman"/>
          <w:szCs w:val="24"/>
        </w:rPr>
        <w:t xml:space="preserve">he situation was different for the SSFR. </w:t>
      </w:r>
      <w:r>
        <w:rPr>
          <w:rFonts w:cs="Times New Roman"/>
          <w:szCs w:val="24"/>
        </w:rPr>
        <w:t xml:space="preserve">Key informant </w:t>
      </w:r>
      <w:r w:rsidR="00332E59">
        <w:rPr>
          <w:rFonts w:cs="Times New Roman"/>
          <w:szCs w:val="24"/>
        </w:rPr>
        <w:t>11</w:t>
      </w:r>
      <w:r>
        <w:rPr>
          <w:rFonts w:cs="Times New Roman"/>
          <w:szCs w:val="24"/>
        </w:rPr>
        <w:t xml:space="preserve"> from the FSD</w:t>
      </w:r>
      <w:r w:rsidRPr="0027541D">
        <w:rPr>
          <w:rFonts w:cs="Times New Roman"/>
          <w:szCs w:val="24"/>
        </w:rPr>
        <w:t xml:space="preserve"> at the SSFR reserve </w:t>
      </w:r>
      <w:r>
        <w:rPr>
          <w:rFonts w:cs="Times New Roman"/>
          <w:szCs w:val="24"/>
        </w:rPr>
        <w:t>on 12</w:t>
      </w:r>
      <w:r w:rsidRPr="00D92628">
        <w:rPr>
          <w:rFonts w:cs="Times New Roman"/>
          <w:szCs w:val="24"/>
          <w:vertAlign w:val="superscript"/>
        </w:rPr>
        <w:t>th</w:t>
      </w:r>
      <w:r>
        <w:rPr>
          <w:rFonts w:cs="Times New Roman"/>
          <w:szCs w:val="24"/>
        </w:rPr>
        <w:t xml:space="preserve"> March 2024 </w:t>
      </w:r>
      <w:r w:rsidRPr="0027541D">
        <w:rPr>
          <w:rFonts w:cs="Times New Roman"/>
          <w:szCs w:val="24"/>
        </w:rPr>
        <w:t>maintained that the lack of jobs in the enclave compelled community members to venture into the forest to over-exploit the resource</w:t>
      </w:r>
      <w:r>
        <w:rPr>
          <w:rFonts w:cs="Times New Roman"/>
          <w:szCs w:val="24"/>
        </w:rPr>
        <w:t>. H</w:t>
      </w:r>
      <w:r w:rsidRPr="0027541D">
        <w:rPr>
          <w:rFonts w:cs="Times New Roman"/>
          <w:szCs w:val="24"/>
        </w:rPr>
        <w:t>ence</w:t>
      </w:r>
      <w:r>
        <w:rPr>
          <w:rFonts w:cs="Times New Roman"/>
          <w:szCs w:val="24"/>
        </w:rPr>
        <w:t>,</w:t>
      </w:r>
      <w:r w:rsidRPr="0027541D">
        <w:rPr>
          <w:rFonts w:cs="Times New Roman"/>
          <w:szCs w:val="24"/>
        </w:rPr>
        <w:t xml:space="preserve"> more youth could be employed as guards.</w:t>
      </w:r>
    </w:p>
    <w:p w14:paraId="329BB3FD" w14:textId="242AAFFF" w:rsidR="00DD4B65" w:rsidRPr="0027541D" w:rsidRDefault="00DD4B65" w:rsidP="00DD4B65">
      <w:pPr>
        <w:spacing w:after="0"/>
        <w:ind w:left="0" w:firstLine="0"/>
        <w:rPr>
          <w:rFonts w:cs="Times New Roman"/>
          <w:szCs w:val="24"/>
        </w:rPr>
      </w:pPr>
      <w:r>
        <w:rPr>
          <w:rFonts w:cs="Times New Roman"/>
          <w:szCs w:val="24"/>
        </w:rPr>
        <w:tab/>
      </w:r>
      <w:r w:rsidRPr="0027541D">
        <w:rPr>
          <w:rFonts w:cs="Times New Roman"/>
          <w:szCs w:val="24"/>
        </w:rPr>
        <w:t xml:space="preserve">A </w:t>
      </w:r>
      <w:r>
        <w:rPr>
          <w:rFonts w:cs="Times New Roman"/>
          <w:szCs w:val="24"/>
        </w:rPr>
        <w:t>significant</w:t>
      </w:r>
      <w:r w:rsidRPr="0027541D">
        <w:rPr>
          <w:rFonts w:cs="Times New Roman"/>
          <w:szCs w:val="24"/>
        </w:rPr>
        <w:t xml:space="preserve"> challenge in SSFR was </w:t>
      </w:r>
      <w:r>
        <w:rPr>
          <w:rFonts w:cs="Times New Roman"/>
          <w:szCs w:val="24"/>
        </w:rPr>
        <w:t xml:space="preserve">the </w:t>
      </w:r>
      <w:r w:rsidRPr="0027541D">
        <w:rPr>
          <w:rFonts w:cs="Times New Roman"/>
          <w:szCs w:val="24"/>
        </w:rPr>
        <w:t>illegal chainsaw operation</w:t>
      </w:r>
      <w:r>
        <w:rPr>
          <w:rFonts w:cs="Times New Roman"/>
          <w:szCs w:val="24"/>
        </w:rPr>
        <w:t xml:space="preserve"> stemming from a lack of forest guards</w:t>
      </w:r>
      <w:r w:rsidR="00AE5F81">
        <w:rPr>
          <w:rFonts w:cs="Times New Roman"/>
          <w:szCs w:val="24"/>
        </w:rPr>
        <w:t>, the elongated nature of the reserve, and lack of accessible roads</w:t>
      </w:r>
      <w:r w:rsidRPr="0027541D">
        <w:rPr>
          <w:rFonts w:cs="Times New Roman"/>
          <w:szCs w:val="24"/>
        </w:rPr>
        <w:t xml:space="preserve">. The study revealed </w:t>
      </w:r>
      <w:r>
        <w:rPr>
          <w:rFonts w:cs="Times New Roman"/>
          <w:szCs w:val="24"/>
        </w:rPr>
        <w:t xml:space="preserve">a high incidence of illegal chainsaw </w:t>
      </w:r>
      <w:r>
        <w:rPr>
          <w:rFonts w:cs="Times New Roman"/>
          <w:szCs w:val="24"/>
        </w:rPr>
        <w:lastRenderedPageBreak/>
        <w:t>operations in the SSFR, which</w:t>
      </w:r>
      <w:r w:rsidRPr="0027541D">
        <w:rPr>
          <w:rFonts w:cs="Times New Roman"/>
          <w:szCs w:val="24"/>
        </w:rPr>
        <w:t xml:space="preserve"> usually occurred in the evening when forest guards were not around. Also, there were a limited number of forest guards patrolling the Reserve. Consequently, they designated months for the working and patrolling aspects of the reserve. This made it difficult for guards to curb illegal chainsaw operators. The operators</w:t>
      </w:r>
      <w:r>
        <w:rPr>
          <w:rFonts w:cs="Times New Roman"/>
          <w:szCs w:val="24"/>
        </w:rPr>
        <w:t>, on the other hand, were aware of the schedules of these forest guards, so they could operate in the sections of the forest that were</w:t>
      </w:r>
      <w:r w:rsidRPr="0027541D">
        <w:rPr>
          <w:rFonts w:cs="Times New Roman"/>
          <w:szCs w:val="24"/>
        </w:rPr>
        <w:t xml:space="preserve"> not under guard. </w:t>
      </w:r>
    </w:p>
    <w:p w14:paraId="1A54CEF3" w14:textId="46F757CB" w:rsidR="00DD4B65" w:rsidRDefault="00DD4B65" w:rsidP="00DD4B65">
      <w:pPr>
        <w:spacing w:after="0"/>
        <w:ind w:left="0" w:firstLine="0"/>
        <w:rPr>
          <w:rFonts w:cs="Times New Roman"/>
          <w:szCs w:val="24"/>
        </w:rPr>
      </w:pPr>
      <w:r w:rsidRPr="0027541D">
        <w:rPr>
          <w:rFonts w:cs="Times New Roman"/>
          <w:szCs w:val="24"/>
        </w:rPr>
        <w:t xml:space="preserve"> </w:t>
      </w:r>
      <w:r>
        <w:rPr>
          <w:rFonts w:cs="Times New Roman"/>
          <w:szCs w:val="24"/>
        </w:rPr>
        <w:tab/>
        <w:t>Key informant</w:t>
      </w:r>
      <w:r w:rsidRPr="0027541D">
        <w:rPr>
          <w:rFonts w:cs="Times New Roman"/>
          <w:szCs w:val="24"/>
        </w:rPr>
        <w:t xml:space="preserve"> </w:t>
      </w:r>
      <w:r w:rsidR="00332E59">
        <w:rPr>
          <w:rFonts w:cs="Times New Roman"/>
          <w:szCs w:val="24"/>
        </w:rPr>
        <w:t>11</w:t>
      </w:r>
      <w:r>
        <w:rPr>
          <w:rFonts w:cs="Times New Roman"/>
          <w:szCs w:val="24"/>
        </w:rPr>
        <w:t xml:space="preserve"> from the</w:t>
      </w:r>
      <w:r w:rsidR="00332E59">
        <w:rPr>
          <w:rFonts w:cs="Times New Roman"/>
          <w:szCs w:val="24"/>
        </w:rPr>
        <w:t xml:space="preserve"> D.A.</w:t>
      </w:r>
      <w:r>
        <w:rPr>
          <w:rFonts w:cs="Times New Roman"/>
          <w:szCs w:val="24"/>
        </w:rPr>
        <w:t xml:space="preserve"> at SSFR on </w:t>
      </w:r>
      <w:r w:rsidR="00332E59">
        <w:rPr>
          <w:rFonts w:cs="Times New Roman"/>
          <w:szCs w:val="24"/>
        </w:rPr>
        <w:t>12</w:t>
      </w:r>
      <w:r w:rsidRPr="00D92628">
        <w:rPr>
          <w:rFonts w:cs="Times New Roman"/>
          <w:szCs w:val="24"/>
          <w:vertAlign w:val="superscript"/>
        </w:rPr>
        <w:t>th</w:t>
      </w:r>
      <w:r>
        <w:rPr>
          <w:rFonts w:cs="Times New Roman"/>
          <w:szCs w:val="24"/>
        </w:rPr>
        <w:t xml:space="preserve"> March 2024</w:t>
      </w:r>
      <w:r w:rsidRPr="0027541D">
        <w:rPr>
          <w:rFonts w:cs="Times New Roman"/>
          <w:szCs w:val="24"/>
        </w:rPr>
        <w:t xml:space="preserve"> stated that the chainsaw operators </w:t>
      </w:r>
      <w:r w:rsidR="00332E59">
        <w:rPr>
          <w:rFonts w:cs="Times New Roman"/>
          <w:szCs w:val="24"/>
        </w:rPr>
        <w:t>posed serious</w:t>
      </w:r>
      <w:r w:rsidRPr="0027541D">
        <w:rPr>
          <w:rFonts w:cs="Times New Roman"/>
          <w:szCs w:val="24"/>
        </w:rPr>
        <w:t xml:space="preserve"> problems</w:t>
      </w:r>
      <w:r>
        <w:rPr>
          <w:rFonts w:cs="Times New Roman"/>
          <w:szCs w:val="24"/>
        </w:rPr>
        <w:t>, making</w:t>
      </w:r>
      <w:r w:rsidRPr="0027541D">
        <w:rPr>
          <w:rFonts w:cs="Times New Roman"/>
          <w:szCs w:val="24"/>
        </w:rPr>
        <w:t xml:space="preserve"> </w:t>
      </w:r>
      <w:r w:rsidR="00332E59">
        <w:rPr>
          <w:rFonts w:cs="Times New Roman"/>
          <w:szCs w:val="24"/>
        </w:rPr>
        <w:t>the management of the reserve</w:t>
      </w:r>
      <w:r w:rsidRPr="0027541D">
        <w:rPr>
          <w:rFonts w:cs="Times New Roman"/>
          <w:szCs w:val="24"/>
        </w:rPr>
        <w:t xml:space="preserve"> tedious. </w:t>
      </w:r>
      <w:r w:rsidR="00AE5F81">
        <w:rPr>
          <w:rFonts w:cs="Times New Roman"/>
          <w:szCs w:val="24"/>
        </w:rPr>
        <w:t>He</w:t>
      </w:r>
      <w:r w:rsidRPr="0027541D">
        <w:rPr>
          <w:rFonts w:cs="Times New Roman"/>
          <w:szCs w:val="24"/>
        </w:rPr>
        <w:t xml:space="preserve"> noted a limited number of forest guards and a large patrol area. </w:t>
      </w:r>
      <w:r w:rsidR="00AE5F81">
        <w:rPr>
          <w:rFonts w:cs="Times New Roman"/>
          <w:szCs w:val="24"/>
        </w:rPr>
        <w:t>He</w:t>
      </w:r>
      <w:r w:rsidR="00332E59">
        <w:rPr>
          <w:rFonts w:cs="Times New Roman"/>
          <w:szCs w:val="24"/>
        </w:rPr>
        <w:t xml:space="preserve"> </w:t>
      </w:r>
      <w:r w:rsidRPr="0027541D">
        <w:rPr>
          <w:rFonts w:cs="Times New Roman"/>
          <w:szCs w:val="24"/>
        </w:rPr>
        <w:t>revealed that there were about five communities under his watch</w:t>
      </w:r>
      <w:r>
        <w:rPr>
          <w:rFonts w:cs="Times New Roman"/>
          <w:szCs w:val="24"/>
        </w:rPr>
        <w:t>, and each of these communities had their respective months i</w:t>
      </w:r>
      <w:r w:rsidRPr="0027541D">
        <w:rPr>
          <w:rFonts w:cs="Times New Roman"/>
          <w:szCs w:val="24"/>
        </w:rPr>
        <w:t>n which he worked. Therefore, he m</w:t>
      </w:r>
      <w:r w:rsidR="00AE5F81">
        <w:rPr>
          <w:rFonts w:cs="Times New Roman"/>
          <w:szCs w:val="24"/>
        </w:rPr>
        <w:t>ight</w:t>
      </w:r>
      <w:r w:rsidRPr="0027541D">
        <w:rPr>
          <w:rFonts w:cs="Times New Roman"/>
          <w:szCs w:val="24"/>
        </w:rPr>
        <w:t xml:space="preserve"> </w:t>
      </w:r>
      <w:proofErr w:type="gramStart"/>
      <w:r w:rsidRPr="0027541D">
        <w:rPr>
          <w:rFonts w:cs="Times New Roman"/>
          <w:szCs w:val="24"/>
        </w:rPr>
        <w:t>working</w:t>
      </w:r>
      <w:proofErr w:type="gramEnd"/>
      <w:r w:rsidRPr="0027541D">
        <w:rPr>
          <w:rFonts w:cs="Times New Roman"/>
          <w:szCs w:val="24"/>
        </w:rPr>
        <w:t xml:space="preserve"> at </w:t>
      </w:r>
      <w:proofErr w:type="spellStart"/>
      <w:r w:rsidRPr="0027541D">
        <w:rPr>
          <w:rFonts w:cs="Times New Roman"/>
          <w:szCs w:val="24"/>
        </w:rPr>
        <w:t>Apesika</w:t>
      </w:r>
      <w:proofErr w:type="spellEnd"/>
      <w:r w:rsidRPr="0027541D">
        <w:rPr>
          <w:rFonts w:cs="Times New Roman"/>
          <w:szCs w:val="24"/>
        </w:rPr>
        <w:t xml:space="preserve"> and w</w:t>
      </w:r>
      <w:r w:rsidR="00AE5F81">
        <w:rPr>
          <w:rFonts w:cs="Times New Roman"/>
          <w:szCs w:val="24"/>
        </w:rPr>
        <w:t>ould be</w:t>
      </w:r>
      <w:r w:rsidRPr="0027541D">
        <w:rPr>
          <w:rFonts w:cs="Times New Roman"/>
          <w:szCs w:val="24"/>
        </w:rPr>
        <w:t xml:space="preserve"> oblivious to the happenings at </w:t>
      </w:r>
      <w:proofErr w:type="spellStart"/>
      <w:r>
        <w:rPr>
          <w:rFonts w:cs="Times New Roman"/>
          <w:szCs w:val="24"/>
        </w:rPr>
        <w:t>Nkawanda</w:t>
      </w:r>
      <w:proofErr w:type="spellEnd"/>
      <w:r w:rsidRPr="0027541D">
        <w:rPr>
          <w:rFonts w:cs="Times New Roman"/>
          <w:szCs w:val="24"/>
        </w:rPr>
        <w:t>. Th</w:t>
      </w:r>
      <w:r>
        <w:rPr>
          <w:rFonts w:cs="Times New Roman"/>
          <w:szCs w:val="24"/>
        </w:rPr>
        <w:t>is made it easy for the</w:t>
      </w:r>
      <w:r w:rsidRPr="0027541D">
        <w:rPr>
          <w:rFonts w:cs="Times New Roman"/>
          <w:szCs w:val="24"/>
        </w:rPr>
        <w:t xml:space="preserve"> chainsaw operators to exploit th</w:t>
      </w:r>
      <w:r>
        <w:rPr>
          <w:rFonts w:cs="Times New Roman"/>
          <w:szCs w:val="24"/>
        </w:rPr>
        <w:t>e</w:t>
      </w:r>
      <w:r w:rsidRPr="0027541D">
        <w:rPr>
          <w:rFonts w:cs="Times New Roman"/>
          <w:szCs w:val="24"/>
        </w:rPr>
        <w:t xml:space="preserve"> situation. In addition, </w:t>
      </w:r>
      <w:r>
        <w:rPr>
          <w:rFonts w:cs="Times New Roman"/>
          <w:szCs w:val="24"/>
        </w:rPr>
        <w:t>the guard</w:t>
      </w:r>
      <w:r w:rsidRPr="0027541D">
        <w:rPr>
          <w:rFonts w:cs="Times New Roman"/>
          <w:szCs w:val="24"/>
        </w:rPr>
        <w:t xml:space="preserve"> work</w:t>
      </w:r>
      <w:r>
        <w:rPr>
          <w:rFonts w:cs="Times New Roman"/>
          <w:szCs w:val="24"/>
        </w:rPr>
        <w:t>ed</w:t>
      </w:r>
      <w:r w:rsidRPr="0027541D">
        <w:rPr>
          <w:rFonts w:cs="Times New Roman"/>
          <w:szCs w:val="24"/>
        </w:rPr>
        <w:t xml:space="preserve"> in each community </w:t>
      </w:r>
      <w:r w:rsidR="00332E59">
        <w:rPr>
          <w:rFonts w:cs="Times New Roman"/>
          <w:szCs w:val="24"/>
        </w:rPr>
        <w:t>for</w:t>
      </w:r>
      <w:r>
        <w:rPr>
          <w:rFonts w:cs="Times New Roman"/>
          <w:szCs w:val="24"/>
        </w:rPr>
        <w:t xml:space="preserve"> different months. As a result, </w:t>
      </w:r>
      <w:r w:rsidR="00332E59">
        <w:rPr>
          <w:rFonts w:cs="Times New Roman"/>
          <w:szCs w:val="24"/>
        </w:rPr>
        <w:t>key informant 13 from the</w:t>
      </w:r>
      <w:r>
        <w:rPr>
          <w:rFonts w:cs="Times New Roman"/>
          <w:szCs w:val="24"/>
        </w:rPr>
        <w:t xml:space="preserve"> </w:t>
      </w:r>
      <w:r w:rsidRPr="0027541D">
        <w:rPr>
          <w:rFonts w:cs="Times New Roman"/>
          <w:szCs w:val="24"/>
        </w:rPr>
        <w:t>D</w:t>
      </w:r>
      <w:r>
        <w:rPr>
          <w:rFonts w:cs="Times New Roman"/>
          <w:szCs w:val="24"/>
        </w:rPr>
        <w:t>.</w:t>
      </w:r>
      <w:r w:rsidRPr="0027541D">
        <w:rPr>
          <w:rFonts w:cs="Times New Roman"/>
          <w:szCs w:val="24"/>
        </w:rPr>
        <w:t>A</w:t>
      </w:r>
      <w:r>
        <w:rPr>
          <w:rFonts w:cs="Times New Roman"/>
          <w:szCs w:val="24"/>
        </w:rPr>
        <w:t xml:space="preserve">. </w:t>
      </w:r>
      <w:r w:rsidR="00AE5F81">
        <w:rPr>
          <w:rFonts w:cs="Times New Roman"/>
          <w:szCs w:val="24"/>
        </w:rPr>
        <w:t xml:space="preserve">at the SSFR </w:t>
      </w:r>
      <w:r w:rsidR="00332E59">
        <w:rPr>
          <w:rFonts w:cs="Times New Roman"/>
          <w:szCs w:val="24"/>
        </w:rPr>
        <w:t>on 27</w:t>
      </w:r>
      <w:r w:rsidR="00332E59" w:rsidRPr="00332E59">
        <w:rPr>
          <w:rFonts w:cs="Times New Roman"/>
          <w:szCs w:val="24"/>
          <w:vertAlign w:val="superscript"/>
        </w:rPr>
        <w:t>th</w:t>
      </w:r>
      <w:r w:rsidR="00332E59">
        <w:rPr>
          <w:rFonts w:cs="Times New Roman"/>
          <w:szCs w:val="24"/>
        </w:rPr>
        <w:t xml:space="preserve"> March 2024</w:t>
      </w:r>
      <w:r w:rsidRPr="0027541D">
        <w:rPr>
          <w:rFonts w:cs="Times New Roman"/>
          <w:szCs w:val="24"/>
        </w:rPr>
        <w:t xml:space="preserve"> </w:t>
      </w:r>
      <w:r>
        <w:rPr>
          <w:rFonts w:cs="Times New Roman"/>
          <w:szCs w:val="24"/>
        </w:rPr>
        <w:t xml:space="preserve">revealed that </w:t>
      </w:r>
      <w:r w:rsidRPr="0027541D">
        <w:rPr>
          <w:rFonts w:cs="Times New Roman"/>
          <w:szCs w:val="24"/>
        </w:rPr>
        <w:t>illegal chainsaw operators ha</w:t>
      </w:r>
      <w:r>
        <w:rPr>
          <w:rFonts w:cs="Times New Roman"/>
          <w:szCs w:val="24"/>
        </w:rPr>
        <w:t>d</w:t>
      </w:r>
      <w:r w:rsidRPr="0027541D">
        <w:rPr>
          <w:rFonts w:cs="Times New Roman"/>
          <w:szCs w:val="24"/>
        </w:rPr>
        <w:t xml:space="preserve"> fallen most of the trees</w:t>
      </w:r>
      <w:r>
        <w:rPr>
          <w:rFonts w:cs="Times New Roman"/>
          <w:szCs w:val="24"/>
        </w:rPr>
        <w:t>,</w:t>
      </w:r>
      <w:r w:rsidRPr="0027541D">
        <w:rPr>
          <w:rFonts w:cs="Times New Roman"/>
          <w:szCs w:val="24"/>
        </w:rPr>
        <w:t xml:space="preserve"> including that </w:t>
      </w:r>
      <w:r w:rsidR="00AE5F81">
        <w:rPr>
          <w:rFonts w:cs="Times New Roman"/>
          <w:szCs w:val="24"/>
        </w:rPr>
        <w:t xml:space="preserve">planted under </w:t>
      </w:r>
      <w:r w:rsidRPr="0027541D">
        <w:rPr>
          <w:rFonts w:cs="Times New Roman"/>
          <w:szCs w:val="24"/>
        </w:rPr>
        <w:t xml:space="preserve">the </w:t>
      </w:r>
      <w:proofErr w:type="spellStart"/>
      <w:r w:rsidR="00332E59">
        <w:rPr>
          <w:rFonts w:cs="Times New Roman"/>
          <w:szCs w:val="24"/>
        </w:rPr>
        <w:t>T</w:t>
      </w:r>
      <w:r>
        <w:rPr>
          <w:rFonts w:cs="Times New Roman"/>
          <w:szCs w:val="24"/>
        </w:rPr>
        <w:t>au</w:t>
      </w:r>
      <w:r w:rsidRPr="0027541D">
        <w:rPr>
          <w:rFonts w:cs="Times New Roman"/>
          <w:szCs w:val="24"/>
        </w:rPr>
        <w:t>ngya</w:t>
      </w:r>
      <w:proofErr w:type="spellEnd"/>
      <w:r w:rsidRPr="0027541D">
        <w:rPr>
          <w:rFonts w:cs="Times New Roman"/>
          <w:szCs w:val="24"/>
        </w:rPr>
        <w:t xml:space="preserve"> system.</w:t>
      </w:r>
    </w:p>
    <w:p w14:paraId="4293F22E" w14:textId="27DB3511" w:rsidR="00DD4B65" w:rsidRPr="0027541D" w:rsidRDefault="00DD4B65" w:rsidP="00DD4B65">
      <w:pPr>
        <w:spacing w:after="0"/>
        <w:ind w:left="0" w:firstLine="0"/>
        <w:rPr>
          <w:rFonts w:cs="Times New Roman"/>
          <w:szCs w:val="24"/>
        </w:rPr>
      </w:pPr>
      <w:r>
        <w:rPr>
          <w:rFonts w:cs="Times New Roman"/>
          <w:szCs w:val="24"/>
        </w:rPr>
        <w:tab/>
      </w:r>
      <w:r w:rsidRPr="0027541D">
        <w:rPr>
          <w:rFonts w:cs="Times New Roman"/>
          <w:szCs w:val="24"/>
        </w:rPr>
        <w:t xml:space="preserve">In connection with the chainsaw operators, the </w:t>
      </w:r>
      <w:r>
        <w:rPr>
          <w:rFonts w:cs="Times New Roman"/>
          <w:szCs w:val="24"/>
        </w:rPr>
        <w:t>FSD</w:t>
      </w:r>
      <w:r w:rsidRPr="0027541D">
        <w:rPr>
          <w:rFonts w:cs="Times New Roman"/>
          <w:szCs w:val="24"/>
        </w:rPr>
        <w:t xml:space="preserve"> devised ways to stifle the activities by appointing informants in various communities to help </w:t>
      </w:r>
      <w:r>
        <w:rPr>
          <w:rFonts w:cs="Times New Roman"/>
          <w:szCs w:val="24"/>
        </w:rPr>
        <w:t>protect the resources,</w:t>
      </w:r>
      <w:r w:rsidRPr="0027541D">
        <w:rPr>
          <w:rFonts w:cs="Times New Roman"/>
          <w:szCs w:val="24"/>
        </w:rPr>
        <w:t xml:space="preserve"> </w:t>
      </w:r>
      <w:r>
        <w:rPr>
          <w:rFonts w:cs="Times New Roman"/>
          <w:szCs w:val="24"/>
        </w:rPr>
        <w:t>which</w:t>
      </w:r>
      <w:r w:rsidRPr="0027541D">
        <w:rPr>
          <w:rFonts w:cs="Times New Roman"/>
          <w:szCs w:val="24"/>
        </w:rPr>
        <w:t xml:space="preserve"> was </w:t>
      </w:r>
      <w:r>
        <w:rPr>
          <w:rFonts w:cs="Times New Roman"/>
          <w:szCs w:val="24"/>
        </w:rPr>
        <w:t xml:space="preserve">also </w:t>
      </w:r>
      <w:r w:rsidRPr="0027541D">
        <w:rPr>
          <w:rFonts w:cs="Times New Roman"/>
          <w:szCs w:val="24"/>
        </w:rPr>
        <w:t>challenging. These informants were met with hostility</w:t>
      </w:r>
      <w:r>
        <w:rPr>
          <w:rFonts w:cs="Times New Roman"/>
          <w:szCs w:val="24"/>
        </w:rPr>
        <w:t xml:space="preserve"> by some community members,</w:t>
      </w:r>
      <w:r w:rsidRPr="0027541D">
        <w:rPr>
          <w:rFonts w:cs="Times New Roman"/>
          <w:szCs w:val="24"/>
        </w:rPr>
        <w:t xml:space="preserve"> hampering their ability to undertake the task. </w:t>
      </w:r>
      <w:r>
        <w:rPr>
          <w:rFonts w:cs="Times New Roman"/>
          <w:szCs w:val="24"/>
        </w:rPr>
        <w:t xml:space="preserve">Key informant </w:t>
      </w:r>
      <w:r w:rsidR="00332E59">
        <w:rPr>
          <w:rFonts w:cs="Times New Roman"/>
          <w:szCs w:val="24"/>
        </w:rPr>
        <w:t>11</w:t>
      </w:r>
      <w:r>
        <w:rPr>
          <w:rFonts w:cs="Times New Roman"/>
          <w:szCs w:val="24"/>
        </w:rPr>
        <w:t xml:space="preserve"> from the FSD</w:t>
      </w:r>
      <w:r w:rsidRPr="0027541D">
        <w:rPr>
          <w:rFonts w:cs="Times New Roman"/>
          <w:szCs w:val="24"/>
        </w:rPr>
        <w:t xml:space="preserve"> </w:t>
      </w:r>
      <w:r w:rsidR="00AE5F81">
        <w:rPr>
          <w:rFonts w:cs="Times New Roman"/>
          <w:szCs w:val="24"/>
        </w:rPr>
        <w:t xml:space="preserve">at the SSFR </w:t>
      </w:r>
      <w:r>
        <w:rPr>
          <w:rFonts w:cs="Times New Roman"/>
          <w:szCs w:val="24"/>
        </w:rPr>
        <w:t>on 12</w:t>
      </w:r>
      <w:r w:rsidRPr="00793C4D">
        <w:rPr>
          <w:rFonts w:cs="Times New Roman"/>
          <w:szCs w:val="24"/>
          <w:vertAlign w:val="superscript"/>
        </w:rPr>
        <w:t>th</w:t>
      </w:r>
      <w:r>
        <w:rPr>
          <w:rFonts w:cs="Times New Roman"/>
          <w:szCs w:val="24"/>
        </w:rPr>
        <w:t xml:space="preserve"> March 2024</w:t>
      </w:r>
      <w:r w:rsidRPr="0027541D">
        <w:rPr>
          <w:rFonts w:cs="Times New Roman"/>
          <w:szCs w:val="24"/>
        </w:rPr>
        <w:t xml:space="preserve"> maintained that reporting, fining or confiscating the loot of these chainsaw operators usually left them in a precarious situation</w:t>
      </w:r>
      <w:r>
        <w:rPr>
          <w:rFonts w:cs="Times New Roman"/>
          <w:szCs w:val="24"/>
        </w:rPr>
        <w:t xml:space="preserve">. </w:t>
      </w:r>
      <w:r w:rsidR="00332E59">
        <w:rPr>
          <w:rFonts w:cs="Times New Roman"/>
          <w:szCs w:val="24"/>
        </w:rPr>
        <w:t>Key informant 12 from the</w:t>
      </w:r>
      <w:r w:rsidRPr="0027541D">
        <w:rPr>
          <w:rFonts w:cs="Times New Roman"/>
          <w:szCs w:val="24"/>
        </w:rPr>
        <w:t xml:space="preserve"> </w:t>
      </w:r>
      <w:r w:rsidRPr="0027541D">
        <w:rPr>
          <w:rFonts w:cs="Times New Roman"/>
          <w:szCs w:val="24"/>
        </w:rPr>
        <w:lastRenderedPageBreak/>
        <w:t>D</w:t>
      </w:r>
      <w:r>
        <w:rPr>
          <w:rFonts w:cs="Times New Roman"/>
          <w:szCs w:val="24"/>
        </w:rPr>
        <w:t>.</w:t>
      </w:r>
      <w:r w:rsidRPr="0027541D">
        <w:rPr>
          <w:rFonts w:cs="Times New Roman"/>
          <w:szCs w:val="24"/>
        </w:rPr>
        <w:t>A</w:t>
      </w:r>
      <w:r>
        <w:rPr>
          <w:rFonts w:cs="Times New Roman"/>
          <w:szCs w:val="24"/>
        </w:rPr>
        <w:t xml:space="preserve">. </w:t>
      </w:r>
      <w:r w:rsidR="00332E59">
        <w:rPr>
          <w:rFonts w:cs="Times New Roman"/>
          <w:szCs w:val="24"/>
        </w:rPr>
        <w:t>on 12</w:t>
      </w:r>
      <w:r w:rsidR="00332E59" w:rsidRPr="00332E59">
        <w:rPr>
          <w:rFonts w:cs="Times New Roman"/>
          <w:szCs w:val="24"/>
          <w:vertAlign w:val="superscript"/>
        </w:rPr>
        <w:t>th</w:t>
      </w:r>
      <w:r w:rsidR="00332E59">
        <w:rPr>
          <w:rFonts w:cs="Times New Roman"/>
          <w:szCs w:val="24"/>
        </w:rPr>
        <w:t xml:space="preserve"> March 2024 </w:t>
      </w:r>
      <w:r w:rsidRPr="0027541D">
        <w:rPr>
          <w:rFonts w:cs="Times New Roman"/>
          <w:szCs w:val="24"/>
        </w:rPr>
        <w:t xml:space="preserve">mentioned that </w:t>
      </w:r>
      <w:r>
        <w:rPr>
          <w:rFonts w:cs="Times New Roman"/>
          <w:szCs w:val="24"/>
        </w:rPr>
        <w:t>c</w:t>
      </w:r>
      <w:r w:rsidRPr="0027541D">
        <w:rPr>
          <w:rFonts w:cs="Times New Roman"/>
          <w:szCs w:val="24"/>
        </w:rPr>
        <w:t xml:space="preserve">ommunity members who </w:t>
      </w:r>
      <w:r>
        <w:rPr>
          <w:rFonts w:cs="Times New Roman"/>
          <w:szCs w:val="24"/>
        </w:rPr>
        <w:t>help</w:t>
      </w:r>
      <w:r w:rsidR="00332E59">
        <w:rPr>
          <w:rFonts w:cs="Times New Roman"/>
          <w:szCs w:val="24"/>
        </w:rPr>
        <w:t>ed</w:t>
      </w:r>
      <w:r>
        <w:rPr>
          <w:rFonts w:cs="Times New Roman"/>
          <w:szCs w:val="24"/>
        </w:rPr>
        <w:t xml:space="preserve"> </w:t>
      </w:r>
      <w:r w:rsidRPr="0027541D">
        <w:rPr>
          <w:rFonts w:cs="Times New Roman"/>
          <w:szCs w:val="24"/>
        </w:rPr>
        <w:t xml:space="preserve">the </w:t>
      </w:r>
      <w:r>
        <w:rPr>
          <w:rFonts w:cs="Times New Roman"/>
          <w:szCs w:val="24"/>
        </w:rPr>
        <w:t>F</w:t>
      </w:r>
      <w:r w:rsidR="00332E59">
        <w:rPr>
          <w:rFonts w:cs="Times New Roman"/>
          <w:szCs w:val="24"/>
        </w:rPr>
        <w:t>SD</w:t>
      </w:r>
      <w:r w:rsidRPr="0027541D">
        <w:rPr>
          <w:rFonts w:cs="Times New Roman"/>
          <w:szCs w:val="24"/>
        </w:rPr>
        <w:t xml:space="preserve"> </w:t>
      </w:r>
      <w:r>
        <w:rPr>
          <w:rFonts w:cs="Times New Roman"/>
          <w:szCs w:val="24"/>
        </w:rPr>
        <w:t>ha</w:t>
      </w:r>
      <w:r w:rsidR="00332E59">
        <w:rPr>
          <w:rFonts w:cs="Times New Roman"/>
          <w:szCs w:val="24"/>
        </w:rPr>
        <w:t>d</w:t>
      </w:r>
      <w:r w:rsidRPr="0027541D">
        <w:rPr>
          <w:rFonts w:cs="Times New Roman"/>
          <w:szCs w:val="24"/>
        </w:rPr>
        <w:t xml:space="preserve"> issues with the community</w:t>
      </w:r>
      <w:r>
        <w:rPr>
          <w:rFonts w:cs="Times New Roman"/>
          <w:szCs w:val="24"/>
        </w:rPr>
        <w:t>,</w:t>
      </w:r>
      <w:r w:rsidRPr="0027541D">
        <w:rPr>
          <w:rFonts w:cs="Times New Roman"/>
          <w:szCs w:val="24"/>
        </w:rPr>
        <w:t xml:space="preserve"> especially when it c</w:t>
      </w:r>
      <w:r w:rsidR="00332E59">
        <w:rPr>
          <w:rFonts w:cs="Times New Roman"/>
          <w:szCs w:val="24"/>
        </w:rPr>
        <w:t>ame</w:t>
      </w:r>
      <w:r w:rsidRPr="0027541D">
        <w:rPr>
          <w:rFonts w:cs="Times New Roman"/>
          <w:szCs w:val="24"/>
        </w:rPr>
        <w:t xml:space="preserve"> to light that </w:t>
      </w:r>
      <w:r w:rsidR="00AE5F81">
        <w:rPr>
          <w:rFonts w:cs="Times New Roman"/>
          <w:szCs w:val="24"/>
        </w:rPr>
        <w:t>they</w:t>
      </w:r>
      <w:r w:rsidRPr="0027541D">
        <w:rPr>
          <w:rFonts w:cs="Times New Roman"/>
          <w:szCs w:val="24"/>
        </w:rPr>
        <w:t xml:space="preserve"> were informant</w:t>
      </w:r>
      <w:r w:rsidR="00AE5F81">
        <w:rPr>
          <w:rFonts w:cs="Times New Roman"/>
          <w:szCs w:val="24"/>
        </w:rPr>
        <w:t>s</w:t>
      </w:r>
      <w:r w:rsidRPr="0027541D">
        <w:rPr>
          <w:rFonts w:cs="Times New Roman"/>
          <w:szCs w:val="24"/>
        </w:rPr>
        <w:t xml:space="preserve">.  </w:t>
      </w:r>
    </w:p>
    <w:p w14:paraId="40BEA780" w14:textId="6FC641F2" w:rsidR="00DD4B65" w:rsidRPr="0027541D" w:rsidRDefault="00DD4B65" w:rsidP="00DD4B65">
      <w:pPr>
        <w:spacing w:after="0"/>
        <w:ind w:left="0" w:firstLine="0"/>
        <w:rPr>
          <w:rFonts w:cs="Times New Roman"/>
          <w:szCs w:val="24"/>
        </w:rPr>
      </w:pPr>
      <w:r>
        <w:rPr>
          <w:rFonts w:cs="Times New Roman"/>
          <w:szCs w:val="24"/>
        </w:rPr>
        <w:tab/>
        <w:t>Conversely,</w:t>
      </w:r>
      <w:r w:rsidRPr="0027541D">
        <w:rPr>
          <w:rFonts w:cs="Times New Roman"/>
          <w:szCs w:val="24"/>
        </w:rPr>
        <w:t xml:space="preserve"> some community members acted as </w:t>
      </w:r>
      <w:r>
        <w:rPr>
          <w:rFonts w:cs="Times New Roman"/>
          <w:szCs w:val="24"/>
        </w:rPr>
        <w:t>informants</w:t>
      </w:r>
      <w:r w:rsidRPr="0027541D">
        <w:rPr>
          <w:rFonts w:cs="Times New Roman"/>
          <w:szCs w:val="24"/>
        </w:rPr>
        <w:t xml:space="preserve"> for the chainsaw operators</w:t>
      </w:r>
      <w:r>
        <w:rPr>
          <w:rFonts w:cs="Times New Roman"/>
          <w:szCs w:val="24"/>
        </w:rPr>
        <w:t xml:space="preserve"> to help them</w:t>
      </w:r>
      <w:r w:rsidRPr="0027541D">
        <w:rPr>
          <w:rFonts w:cs="Times New Roman"/>
          <w:szCs w:val="24"/>
        </w:rPr>
        <w:t xml:space="preserve"> elude forest guards</w:t>
      </w:r>
      <w:r>
        <w:rPr>
          <w:rFonts w:cs="Times New Roman"/>
          <w:szCs w:val="24"/>
        </w:rPr>
        <w:t>.</w:t>
      </w:r>
      <w:r w:rsidRPr="0027541D">
        <w:rPr>
          <w:rFonts w:cs="Times New Roman"/>
          <w:szCs w:val="24"/>
        </w:rPr>
        <w:t xml:space="preserve"> </w:t>
      </w:r>
      <w:r>
        <w:rPr>
          <w:rFonts w:cs="Times New Roman"/>
          <w:szCs w:val="24"/>
        </w:rPr>
        <w:t>C</w:t>
      </w:r>
      <w:r w:rsidRPr="0027541D">
        <w:rPr>
          <w:rFonts w:cs="Times New Roman"/>
          <w:szCs w:val="24"/>
        </w:rPr>
        <w:t xml:space="preserve">ommunity members with a share of </w:t>
      </w:r>
      <w:r>
        <w:rPr>
          <w:rFonts w:cs="Times New Roman"/>
          <w:szCs w:val="24"/>
        </w:rPr>
        <w:t>illegal products</w:t>
      </w:r>
      <w:r w:rsidRPr="0027541D">
        <w:rPr>
          <w:rFonts w:cs="Times New Roman"/>
          <w:szCs w:val="24"/>
        </w:rPr>
        <w:t xml:space="preserve"> usually plied the route with their cars or moto</w:t>
      </w:r>
      <w:r>
        <w:rPr>
          <w:rFonts w:cs="Times New Roman"/>
          <w:szCs w:val="24"/>
        </w:rPr>
        <w:t>r</w:t>
      </w:r>
      <w:r w:rsidRPr="0027541D">
        <w:rPr>
          <w:rFonts w:cs="Times New Roman"/>
          <w:szCs w:val="24"/>
        </w:rPr>
        <w:t>bikes to ascertain whether the road was free from forest guards to enable safe passage. To this</w:t>
      </w:r>
      <w:r>
        <w:rPr>
          <w:rFonts w:cs="Times New Roman"/>
          <w:szCs w:val="24"/>
        </w:rPr>
        <w:t xml:space="preserve"> end</w:t>
      </w:r>
      <w:r w:rsidRPr="0027541D">
        <w:rPr>
          <w:rFonts w:cs="Times New Roman"/>
          <w:szCs w:val="24"/>
        </w:rPr>
        <w:t xml:space="preserve">, </w:t>
      </w:r>
      <w:r>
        <w:rPr>
          <w:rFonts w:cs="Times New Roman"/>
          <w:szCs w:val="24"/>
        </w:rPr>
        <w:t>key informant</w:t>
      </w:r>
      <w:r w:rsidR="00332E59">
        <w:rPr>
          <w:rFonts w:cs="Times New Roman"/>
          <w:szCs w:val="24"/>
        </w:rPr>
        <w:t xml:space="preserve"> 11</w:t>
      </w:r>
      <w:r>
        <w:rPr>
          <w:rFonts w:cs="Times New Roman"/>
          <w:szCs w:val="24"/>
        </w:rPr>
        <w:t xml:space="preserve"> from</w:t>
      </w:r>
      <w:r w:rsidRPr="0027541D">
        <w:rPr>
          <w:rFonts w:cs="Times New Roman"/>
          <w:szCs w:val="24"/>
        </w:rPr>
        <w:t xml:space="preserve"> </w:t>
      </w:r>
      <w:r>
        <w:rPr>
          <w:rFonts w:cs="Times New Roman"/>
          <w:szCs w:val="24"/>
        </w:rPr>
        <w:t>the FSD</w:t>
      </w:r>
      <w:r w:rsidRPr="0027541D">
        <w:rPr>
          <w:rFonts w:cs="Times New Roman"/>
          <w:szCs w:val="24"/>
        </w:rPr>
        <w:t xml:space="preserve"> </w:t>
      </w:r>
      <w:r w:rsidR="00AE5F81">
        <w:rPr>
          <w:rFonts w:cs="Times New Roman"/>
          <w:szCs w:val="24"/>
        </w:rPr>
        <w:t xml:space="preserve">at the SSFR </w:t>
      </w:r>
      <w:r w:rsidR="00332E59">
        <w:rPr>
          <w:rFonts w:cs="Times New Roman"/>
          <w:szCs w:val="24"/>
        </w:rPr>
        <w:t>on 12</w:t>
      </w:r>
      <w:r w:rsidR="00332E59" w:rsidRPr="00332E59">
        <w:rPr>
          <w:rFonts w:cs="Times New Roman"/>
          <w:szCs w:val="24"/>
          <w:vertAlign w:val="superscript"/>
        </w:rPr>
        <w:t>th</w:t>
      </w:r>
      <w:r w:rsidR="00332E59">
        <w:rPr>
          <w:rFonts w:cs="Times New Roman"/>
          <w:szCs w:val="24"/>
        </w:rPr>
        <w:t xml:space="preserve"> March </w:t>
      </w:r>
      <w:r w:rsidRPr="0027541D">
        <w:rPr>
          <w:rFonts w:cs="Times New Roman"/>
          <w:szCs w:val="24"/>
        </w:rPr>
        <w:t xml:space="preserve">maintained that </w:t>
      </w:r>
      <w:r>
        <w:rPr>
          <w:rFonts w:cs="Times New Roman"/>
          <w:szCs w:val="24"/>
        </w:rPr>
        <w:t>community members</w:t>
      </w:r>
      <w:r w:rsidRPr="0027541D">
        <w:rPr>
          <w:rFonts w:cs="Times New Roman"/>
          <w:szCs w:val="24"/>
        </w:rPr>
        <w:t xml:space="preserve"> served as spies for illegal tree f</w:t>
      </w:r>
      <w:r w:rsidR="00AE5F81">
        <w:rPr>
          <w:rFonts w:cs="Times New Roman"/>
          <w:szCs w:val="24"/>
        </w:rPr>
        <w:t>e</w:t>
      </w:r>
      <w:r w:rsidRPr="0027541D">
        <w:rPr>
          <w:rFonts w:cs="Times New Roman"/>
          <w:szCs w:val="24"/>
        </w:rPr>
        <w:t>llers. They sometimes patrol</w:t>
      </w:r>
      <w:r>
        <w:rPr>
          <w:rFonts w:cs="Times New Roman"/>
          <w:szCs w:val="24"/>
        </w:rPr>
        <w:t>led</w:t>
      </w:r>
      <w:r w:rsidRPr="0027541D">
        <w:rPr>
          <w:rFonts w:cs="Times New Roman"/>
          <w:szCs w:val="24"/>
        </w:rPr>
        <w:t xml:space="preserve"> the road </w:t>
      </w:r>
      <w:r>
        <w:rPr>
          <w:rFonts w:cs="Times New Roman"/>
          <w:szCs w:val="24"/>
        </w:rPr>
        <w:t>to</w:t>
      </w:r>
      <w:r w:rsidRPr="0027541D">
        <w:rPr>
          <w:rFonts w:cs="Times New Roman"/>
          <w:szCs w:val="24"/>
        </w:rPr>
        <w:t xml:space="preserve"> </w:t>
      </w:r>
      <w:r>
        <w:rPr>
          <w:rFonts w:cs="Times New Roman"/>
          <w:szCs w:val="24"/>
        </w:rPr>
        <w:t>en</w:t>
      </w:r>
      <w:r w:rsidRPr="0027541D">
        <w:rPr>
          <w:rFonts w:cs="Times New Roman"/>
          <w:szCs w:val="24"/>
        </w:rPr>
        <w:t>sure that forestry guards were not around so that illegal trees could be sent to the market.</w:t>
      </w:r>
    </w:p>
    <w:p w14:paraId="6D2CBCB4" w14:textId="5E9EB1C2" w:rsidR="0029022A" w:rsidRDefault="00DD4B65" w:rsidP="00DD4B65">
      <w:pPr>
        <w:ind w:left="0"/>
        <w:rPr>
          <w:rFonts w:cs="Times New Roman"/>
          <w:szCs w:val="24"/>
        </w:rPr>
      </w:pPr>
      <w:r>
        <w:rPr>
          <w:rFonts w:cs="Times New Roman"/>
          <w:szCs w:val="24"/>
        </w:rPr>
        <w:t xml:space="preserve">Delving deeper into these </w:t>
      </w:r>
      <w:r w:rsidRPr="0027541D">
        <w:rPr>
          <w:rFonts w:cs="Times New Roman"/>
          <w:szCs w:val="24"/>
        </w:rPr>
        <w:t>challenge</w:t>
      </w:r>
      <w:r>
        <w:rPr>
          <w:rFonts w:cs="Times New Roman"/>
          <w:szCs w:val="24"/>
        </w:rPr>
        <w:t>s, the study noted that bushfires posed severe challenges to the management</w:t>
      </w:r>
      <w:r w:rsidRPr="0027541D">
        <w:rPr>
          <w:rFonts w:cs="Times New Roman"/>
          <w:szCs w:val="24"/>
        </w:rPr>
        <w:t xml:space="preserve"> process at the SSFR</w:t>
      </w:r>
      <w:r>
        <w:rPr>
          <w:rFonts w:cs="Times New Roman"/>
          <w:szCs w:val="24"/>
        </w:rPr>
        <w:t>.</w:t>
      </w:r>
      <w:r w:rsidRPr="0027541D">
        <w:rPr>
          <w:rFonts w:cs="Times New Roman"/>
          <w:szCs w:val="24"/>
        </w:rPr>
        <w:t xml:space="preserve"> </w:t>
      </w:r>
      <w:r>
        <w:rPr>
          <w:rFonts w:cs="Times New Roman"/>
          <w:szCs w:val="24"/>
        </w:rPr>
        <w:t>D</w:t>
      </w:r>
      <w:r w:rsidRPr="0027541D">
        <w:rPr>
          <w:rFonts w:cs="Times New Roman"/>
          <w:szCs w:val="24"/>
        </w:rPr>
        <w:t>ue to rampant bushfires, most of the forests ha</w:t>
      </w:r>
      <w:r w:rsidR="00AE5F81">
        <w:rPr>
          <w:rFonts w:cs="Times New Roman"/>
          <w:szCs w:val="24"/>
        </w:rPr>
        <w:t>d</w:t>
      </w:r>
      <w:r w:rsidRPr="0027541D">
        <w:rPr>
          <w:rFonts w:cs="Times New Roman"/>
          <w:szCs w:val="24"/>
        </w:rPr>
        <w:t xml:space="preserve"> been reduced to grasslands. Bush burning by the hunters posed a difficult challenge to </w:t>
      </w:r>
      <w:r>
        <w:rPr>
          <w:rFonts w:cs="Times New Roman"/>
          <w:szCs w:val="24"/>
        </w:rPr>
        <w:t>forest managemen</w:t>
      </w:r>
      <w:r w:rsidRPr="0027541D">
        <w:rPr>
          <w:rFonts w:cs="Times New Roman"/>
          <w:szCs w:val="24"/>
        </w:rPr>
        <w:t xml:space="preserve">t. </w:t>
      </w:r>
      <w:r>
        <w:rPr>
          <w:rFonts w:cs="Times New Roman"/>
          <w:szCs w:val="24"/>
        </w:rPr>
        <w:t>It was revealed that t</w:t>
      </w:r>
      <w:r w:rsidRPr="0027541D">
        <w:rPr>
          <w:rFonts w:cs="Times New Roman"/>
          <w:szCs w:val="24"/>
        </w:rPr>
        <w:t xml:space="preserve">here was </w:t>
      </w:r>
      <w:r>
        <w:rPr>
          <w:rFonts w:cs="Times New Roman"/>
          <w:szCs w:val="24"/>
        </w:rPr>
        <w:t>significant</w:t>
      </w:r>
      <w:r w:rsidRPr="0027541D">
        <w:rPr>
          <w:rFonts w:cs="Times New Roman"/>
          <w:szCs w:val="24"/>
        </w:rPr>
        <w:t xml:space="preserve"> bush burning every four years</w:t>
      </w:r>
      <w:r>
        <w:rPr>
          <w:rFonts w:cs="Times New Roman"/>
          <w:szCs w:val="24"/>
        </w:rPr>
        <w:t>,</w:t>
      </w:r>
      <w:r w:rsidRPr="0027541D">
        <w:rPr>
          <w:rFonts w:cs="Times New Roman"/>
          <w:szCs w:val="24"/>
        </w:rPr>
        <w:t xml:space="preserve"> but this happen</w:t>
      </w:r>
      <w:r w:rsidR="00AE5F81">
        <w:rPr>
          <w:rFonts w:cs="Times New Roman"/>
          <w:szCs w:val="24"/>
        </w:rPr>
        <w:t>s</w:t>
      </w:r>
      <w:r w:rsidRPr="0027541D">
        <w:rPr>
          <w:rFonts w:cs="Times New Roman"/>
          <w:szCs w:val="24"/>
        </w:rPr>
        <w:t xml:space="preserve"> now every year</w:t>
      </w:r>
      <w:r>
        <w:rPr>
          <w:rFonts w:cs="Times New Roman"/>
          <w:szCs w:val="24"/>
        </w:rPr>
        <w:t>.</w:t>
      </w:r>
      <w:r w:rsidRPr="0027541D">
        <w:rPr>
          <w:rFonts w:cs="Times New Roman"/>
          <w:szCs w:val="24"/>
        </w:rPr>
        <w:t xml:space="preserve"> </w:t>
      </w:r>
      <w:r w:rsidR="00332E59">
        <w:rPr>
          <w:rFonts w:cs="Times New Roman"/>
          <w:szCs w:val="24"/>
        </w:rPr>
        <w:t>T</w:t>
      </w:r>
      <w:r w:rsidRPr="0027541D">
        <w:rPr>
          <w:rFonts w:cs="Times New Roman"/>
          <w:szCs w:val="24"/>
        </w:rPr>
        <w:t xml:space="preserve">he </w:t>
      </w:r>
      <w:r w:rsidR="00332E59">
        <w:rPr>
          <w:rFonts w:cs="Times New Roman"/>
          <w:szCs w:val="24"/>
        </w:rPr>
        <w:t xml:space="preserve">focus </w:t>
      </w:r>
      <w:r w:rsidRPr="0027541D">
        <w:rPr>
          <w:rFonts w:cs="Times New Roman"/>
          <w:szCs w:val="24"/>
        </w:rPr>
        <w:t xml:space="preserve">group discussion </w:t>
      </w:r>
      <w:r w:rsidR="00AE5F81">
        <w:rPr>
          <w:rFonts w:cs="Times New Roman"/>
          <w:szCs w:val="24"/>
        </w:rPr>
        <w:t xml:space="preserve">4, comprising of farmers, held at </w:t>
      </w:r>
      <w:proofErr w:type="spellStart"/>
      <w:r w:rsidR="00AE5F81">
        <w:rPr>
          <w:rFonts w:cs="Times New Roman"/>
          <w:szCs w:val="24"/>
        </w:rPr>
        <w:t>Osubeng</w:t>
      </w:r>
      <w:proofErr w:type="spellEnd"/>
      <w:r w:rsidR="00332E59">
        <w:rPr>
          <w:rFonts w:cs="Times New Roman"/>
          <w:szCs w:val="24"/>
        </w:rPr>
        <w:t xml:space="preserve"> </w:t>
      </w:r>
      <w:r w:rsidR="00AE5F81">
        <w:rPr>
          <w:rFonts w:cs="Times New Roman"/>
          <w:szCs w:val="24"/>
        </w:rPr>
        <w:t xml:space="preserve">in the SSFR </w:t>
      </w:r>
      <w:r w:rsidR="00332E59">
        <w:rPr>
          <w:rFonts w:cs="Times New Roman"/>
          <w:szCs w:val="24"/>
        </w:rPr>
        <w:t>on 22</w:t>
      </w:r>
      <w:r w:rsidR="00332E59" w:rsidRPr="00332E59">
        <w:rPr>
          <w:rFonts w:cs="Times New Roman"/>
          <w:szCs w:val="24"/>
          <w:vertAlign w:val="superscript"/>
        </w:rPr>
        <w:t>nd</w:t>
      </w:r>
      <w:r w:rsidR="00332E59">
        <w:rPr>
          <w:rFonts w:cs="Times New Roman"/>
          <w:szCs w:val="24"/>
        </w:rPr>
        <w:t xml:space="preserve"> March 2024 </w:t>
      </w:r>
      <w:r w:rsidRPr="0027541D">
        <w:rPr>
          <w:rFonts w:cs="Times New Roman"/>
          <w:szCs w:val="24"/>
        </w:rPr>
        <w:t>revealed that t</w:t>
      </w:r>
      <w:r>
        <w:rPr>
          <w:rFonts w:cs="Times New Roman"/>
          <w:szCs w:val="24"/>
        </w:rPr>
        <w:t>wo major bush-burning occurrences</w:t>
      </w:r>
      <w:r w:rsidRPr="0027541D">
        <w:rPr>
          <w:rFonts w:cs="Times New Roman"/>
          <w:szCs w:val="24"/>
        </w:rPr>
        <w:t xml:space="preserve"> led to </w:t>
      </w:r>
      <w:r>
        <w:rPr>
          <w:rFonts w:cs="Times New Roman"/>
          <w:szCs w:val="24"/>
        </w:rPr>
        <w:t xml:space="preserve">the </w:t>
      </w:r>
      <w:r w:rsidRPr="0027541D">
        <w:rPr>
          <w:rFonts w:cs="Times New Roman"/>
          <w:szCs w:val="24"/>
        </w:rPr>
        <w:t>loss of properties and foodstuff</w:t>
      </w:r>
      <w:r w:rsidR="00332E59">
        <w:rPr>
          <w:rFonts w:cs="Times New Roman"/>
          <w:szCs w:val="24"/>
        </w:rPr>
        <w:t xml:space="preserve"> after which t</w:t>
      </w:r>
      <w:r>
        <w:rPr>
          <w:rFonts w:cs="Times New Roman"/>
          <w:szCs w:val="24"/>
        </w:rPr>
        <w:t>he FSD promised</w:t>
      </w:r>
      <w:r w:rsidRPr="0027541D">
        <w:rPr>
          <w:rFonts w:cs="Times New Roman"/>
          <w:szCs w:val="24"/>
        </w:rPr>
        <w:t xml:space="preserve"> </w:t>
      </w:r>
      <w:r>
        <w:rPr>
          <w:rFonts w:cs="Times New Roman"/>
          <w:szCs w:val="24"/>
        </w:rPr>
        <w:t xml:space="preserve">to set up </w:t>
      </w:r>
      <w:r w:rsidRPr="0027541D">
        <w:rPr>
          <w:rFonts w:cs="Times New Roman"/>
          <w:szCs w:val="24"/>
        </w:rPr>
        <w:t xml:space="preserve">fire volunteers </w:t>
      </w:r>
      <w:r>
        <w:rPr>
          <w:rFonts w:cs="Times New Roman"/>
          <w:szCs w:val="24"/>
        </w:rPr>
        <w:t>as the first defen</w:t>
      </w:r>
      <w:r w:rsidR="00332E59">
        <w:rPr>
          <w:rFonts w:cs="Times New Roman"/>
          <w:szCs w:val="24"/>
        </w:rPr>
        <w:t>c</w:t>
      </w:r>
      <w:r>
        <w:rPr>
          <w:rFonts w:cs="Times New Roman"/>
          <w:szCs w:val="24"/>
        </w:rPr>
        <w:t>e before the fire service arrived.</w:t>
      </w:r>
      <w:bookmarkEnd w:id="352"/>
      <w:r>
        <w:rPr>
          <w:rFonts w:cs="Times New Roman"/>
          <w:szCs w:val="24"/>
        </w:rPr>
        <w:t xml:space="preserve"> </w:t>
      </w:r>
      <w:r w:rsidR="00680F6A" w:rsidRPr="0027541D">
        <w:rPr>
          <w:rFonts w:cs="Times New Roman"/>
          <w:szCs w:val="24"/>
        </w:rPr>
        <w:t xml:space="preserve"> </w:t>
      </w:r>
      <w:r w:rsidR="0051463A">
        <w:rPr>
          <w:rFonts w:cs="Times New Roman"/>
          <w:szCs w:val="24"/>
        </w:rPr>
        <w:t xml:space="preserve">A </w:t>
      </w:r>
      <w:r w:rsidR="00AE5F81">
        <w:rPr>
          <w:rFonts w:cs="Times New Roman"/>
          <w:szCs w:val="24"/>
        </w:rPr>
        <w:t xml:space="preserve">picture of a </w:t>
      </w:r>
      <w:r w:rsidR="0051463A">
        <w:rPr>
          <w:rFonts w:cs="Times New Roman"/>
          <w:szCs w:val="24"/>
        </w:rPr>
        <w:t xml:space="preserve">section of the Southern Scarp Forest Reserve reduced to grassland </w:t>
      </w:r>
      <w:r w:rsidR="0029022A">
        <w:rPr>
          <w:rFonts w:cs="Times New Roman"/>
          <w:szCs w:val="24"/>
        </w:rPr>
        <w:t xml:space="preserve">at </w:t>
      </w:r>
      <w:proofErr w:type="spellStart"/>
      <w:r w:rsidR="0029022A">
        <w:rPr>
          <w:rFonts w:cs="Times New Roman"/>
          <w:szCs w:val="24"/>
        </w:rPr>
        <w:t>Suminakesse</w:t>
      </w:r>
      <w:proofErr w:type="spellEnd"/>
      <w:r w:rsidR="0029022A">
        <w:rPr>
          <w:rFonts w:cs="Times New Roman"/>
          <w:szCs w:val="24"/>
        </w:rPr>
        <w:t xml:space="preserve"> </w:t>
      </w:r>
      <w:r w:rsidR="0051463A">
        <w:rPr>
          <w:rFonts w:cs="Times New Roman"/>
          <w:szCs w:val="24"/>
        </w:rPr>
        <w:t xml:space="preserve">is shown in Plate </w:t>
      </w:r>
      <w:r w:rsidR="0029022A">
        <w:rPr>
          <w:rFonts w:cs="Times New Roman"/>
          <w:szCs w:val="24"/>
        </w:rPr>
        <w:t xml:space="preserve">3. </w:t>
      </w:r>
    </w:p>
    <w:p w14:paraId="6850321C" w14:textId="77777777" w:rsidR="00680F6A" w:rsidRPr="0027541D" w:rsidRDefault="0029022A" w:rsidP="000C7EC5">
      <w:pPr>
        <w:spacing w:after="0"/>
        <w:ind w:left="0" w:firstLine="0"/>
        <w:rPr>
          <w:rFonts w:cs="Times New Roman"/>
          <w:szCs w:val="24"/>
        </w:rPr>
      </w:pPr>
      <w:r>
        <w:rPr>
          <w:rFonts w:cs="Times New Roman"/>
          <w:noProof/>
          <w:szCs w:val="24"/>
          <w:lang w:val="en-US"/>
        </w:rPr>
        <w:lastRenderedPageBreak/>
        <w:drawing>
          <wp:inline distT="0" distB="0" distL="0" distR="0" wp14:anchorId="7E22EDE5" wp14:editId="1D0D7915">
            <wp:extent cx="4817110" cy="3613150"/>
            <wp:effectExtent l="0" t="0" r="2540" b="6350"/>
            <wp:docPr id="4421442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144215" name="Picture 442144215"/>
                    <pic:cNvPicPr/>
                  </pic:nvPicPr>
                  <pic:blipFill>
                    <a:blip r:embed="rId30">
                      <a:extLst>
                        <a:ext uri="{28A0092B-C50C-407E-A947-70E740481C1C}">
                          <a14:useLocalDpi xmlns:a14="http://schemas.microsoft.com/office/drawing/2010/main" val="0"/>
                        </a:ext>
                      </a:extLst>
                    </a:blip>
                    <a:stretch>
                      <a:fillRect/>
                    </a:stretch>
                  </pic:blipFill>
                  <pic:spPr>
                    <a:xfrm>
                      <a:off x="0" y="0"/>
                      <a:ext cx="4817110" cy="3613150"/>
                    </a:xfrm>
                    <a:prstGeom prst="rect">
                      <a:avLst/>
                    </a:prstGeom>
                  </pic:spPr>
                </pic:pic>
              </a:graphicData>
            </a:graphic>
          </wp:inline>
        </w:drawing>
      </w:r>
      <w:r w:rsidR="0051463A">
        <w:rPr>
          <w:rFonts w:cs="Times New Roman"/>
          <w:szCs w:val="24"/>
        </w:rPr>
        <w:t xml:space="preserve"> </w:t>
      </w:r>
      <w:r w:rsidR="00680F6A" w:rsidRPr="0027541D">
        <w:rPr>
          <w:rFonts w:cs="Times New Roman"/>
          <w:szCs w:val="24"/>
        </w:rPr>
        <w:t xml:space="preserve"> </w:t>
      </w:r>
    </w:p>
    <w:p w14:paraId="679F4B97" w14:textId="4FCAFA54" w:rsidR="0029022A" w:rsidRDefault="0029022A" w:rsidP="00524689">
      <w:pPr>
        <w:pStyle w:val="LP"/>
      </w:pPr>
      <w:bookmarkStart w:id="353" w:name="_Toc172108065"/>
      <w:r w:rsidRPr="00524689">
        <w:rPr>
          <w:i/>
        </w:rPr>
        <w:t xml:space="preserve">Plate </w:t>
      </w:r>
      <w:r w:rsidR="006776BD" w:rsidRPr="00524689">
        <w:rPr>
          <w:i/>
        </w:rPr>
        <w:t>3</w:t>
      </w:r>
      <w:r w:rsidRPr="00524689">
        <w:rPr>
          <w:i/>
        </w:rPr>
        <w:t>:</w:t>
      </w:r>
      <w:r>
        <w:t xml:space="preserve"> A portion of the Southern Scarp Forest Reserve reduced to grassland.</w:t>
      </w:r>
      <w:bookmarkEnd w:id="353"/>
    </w:p>
    <w:p w14:paraId="6523BD84" w14:textId="7CD1F485" w:rsidR="0029022A" w:rsidRPr="0029022A" w:rsidRDefault="0029022A" w:rsidP="0029022A">
      <w:pPr>
        <w:pStyle w:val="BodyText"/>
        <w:ind w:left="0" w:firstLine="0"/>
      </w:pPr>
      <w:r>
        <w:t>Source: Field</w:t>
      </w:r>
      <w:r w:rsidR="007D20E0">
        <w:t>work</w:t>
      </w:r>
      <w:r>
        <w:t xml:space="preserve"> (2024).</w:t>
      </w:r>
    </w:p>
    <w:p w14:paraId="272A4CBE" w14:textId="5975D351" w:rsidR="001B0ACF" w:rsidRPr="0027541D" w:rsidRDefault="001B0ACF" w:rsidP="001B0ACF">
      <w:pPr>
        <w:spacing w:after="0"/>
        <w:ind w:left="0"/>
        <w:rPr>
          <w:rFonts w:cs="Times New Roman"/>
          <w:szCs w:val="24"/>
        </w:rPr>
      </w:pPr>
      <w:bookmarkStart w:id="354" w:name="_Hlk165895374"/>
      <w:r w:rsidRPr="0027541D">
        <w:rPr>
          <w:rFonts w:cs="Times New Roman"/>
          <w:szCs w:val="24"/>
        </w:rPr>
        <w:t xml:space="preserve">Similarly, </w:t>
      </w:r>
      <w:r>
        <w:rPr>
          <w:rFonts w:cs="Times New Roman"/>
          <w:szCs w:val="24"/>
        </w:rPr>
        <w:t>d</w:t>
      </w:r>
      <w:r w:rsidRPr="0027541D">
        <w:rPr>
          <w:rFonts w:cs="Times New Roman"/>
          <w:szCs w:val="24"/>
        </w:rPr>
        <w:t xml:space="preserve">ue to the </w:t>
      </w:r>
      <w:r>
        <w:rPr>
          <w:rFonts w:cs="Times New Roman"/>
          <w:szCs w:val="24"/>
        </w:rPr>
        <w:t xml:space="preserve">damages caused by </w:t>
      </w:r>
      <w:r w:rsidRPr="0027541D">
        <w:rPr>
          <w:rFonts w:cs="Times New Roman"/>
          <w:szCs w:val="24"/>
        </w:rPr>
        <w:t xml:space="preserve">rampant bushfires caused by hunters with dogs, the traditional authority at </w:t>
      </w:r>
      <w:proofErr w:type="spellStart"/>
      <w:r w:rsidRPr="0027541D">
        <w:rPr>
          <w:rFonts w:cs="Times New Roman"/>
          <w:szCs w:val="24"/>
        </w:rPr>
        <w:t>Suminakesse</w:t>
      </w:r>
      <w:proofErr w:type="spellEnd"/>
      <w:r w:rsidRPr="0027541D">
        <w:rPr>
          <w:rFonts w:cs="Times New Roman"/>
          <w:szCs w:val="24"/>
        </w:rPr>
        <w:t xml:space="preserve"> </w:t>
      </w:r>
      <w:r>
        <w:rPr>
          <w:rFonts w:cs="Times New Roman"/>
          <w:szCs w:val="24"/>
        </w:rPr>
        <w:t>decided to make owning dogs in the community a taboo</w:t>
      </w:r>
      <w:r w:rsidRPr="0027541D">
        <w:rPr>
          <w:rFonts w:cs="Times New Roman"/>
          <w:szCs w:val="24"/>
        </w:rPr>
        <w:t>. They revealed that these hunters set fire to the bush</w:t>
      </w:r>
      <w:r>
        <w:rPr>
          <w:rFonts w:cs="Times New Roman"/>
          <w:szCs w:val="24"/>
        </w:rPr>
        <w:t>,</w:t>
      </w:r>
      <w:r w:rsidRPr="0027541D">
        <w:rPr>
          <w:rFonts w:cs="Times New Roman"/>
          <w:szCs w:val="24"/>
        </w:rPr>
        <w:t xml:space="preserve"> and when the bush animals tr</w:t>
      </w:r>
      <w:r>
        <w:rPr>
          <w:rFonts w:cs="Times New Roman"/>
          <w:szCs w:val="24"/>
        </w:rPr>
        <w:t>ied</w:t>
      </w:r>
      <w:r w:rsidRPr="0027541D">
        <w:rPr>
          <w:rFonts w:cs="Times New Roman"/>
          <w:szCs w:val="24"/>
        </w:rPr>
        <w:t xml:space="preserve"> to escape the fire, they set dogs on them.</w:t>
      </w:r>
      <w:r w:rsidR="00AE5F81">
        <w:rPr>
          <w:rFonts w:cs="Times New Roman"/>
          <w:szCs w:val="24"/>
        </w:rPr>
        <w:t xml:space="preserve"> O</w:t>
      </w:r>
      <w:r w:rsidRPr="0027541D">
        <w:rPr>
          <w:rFonts w:cs="Times New Roman"/>
          <w:szCs w:val="24"/>
        </w:rPr>
        <w:t>utlawing dogs in the community ha</w:t>
      </w:r>
      <w:r w:rsidR="00AE5F81">
        <w:rPr>
          <w:rFonts w:cs="Times New Roman"/>
          <w:szCs w:val="24"/>
        </w:rPr>
        <w:t>d</w:t>
      </w:r>
      <w:r w:rsidRPr="0027541D">
        <w:rPr>
          <w:rFonts w:cs="Times New Roman"/>
          <w:szCs w:val="24"/>
        </w:rPr>
        <w:t xml:space="preserve"> led to a reduction in such incidences. </w:t>
      </w:r>
    </w:p>
    <w:p w14:paraId="1CCEDC0F" w14:textId="331E8C0D" w:rsidR="001B0ACF" w:rsidRPr="0027541D" w:rsidRDefault="001B0ACF" w:rsidP="001B0ACF">
      <w:pPr>
        <w:spacing w:after="0"/>
        <w:ind w:left="0" w:firstLine="0"/>
        <w:rPr>
          <w:rFonts w:cs="Times New Roman"/>
          <w:szCs w:val="24"/>
        </w:rPr>
      </w:pPr>
      <w:r>
        <w:rPr>
          <w:rFonts w:cs="Times New Roman"/>
          <w:szCs w:val="24"/>
        </w:rPr>
        <w:tab/>
        <w:t>In addition, the formal rules used by the FSD at the SSFR posed challenges to the process. The study noted that some T.O.s prevented community members from harvesting non-timber forest products (</w:t>
      </w:r>
      <w:r w:rsidR="00AE5F81">
        <w:rPr>
          <w:rFonts w:cs="Times New Roman"/>
          <w:szCs w:val="24"/>
        </w:rPr>
        <w:t>NTFP</w:t>
      </w:r>
      <w:r>
        <w:rPr>
          <w:rFonts w:cs="Times New Roman"/>
          <w:szCs w:val="24"/>
        </w:rPr>
        <w:t>) in their bid to conserve resources.</w:t>
      </w:r>
      <w:r w:rsidRPr="0027541D">
        <w:rPr>
          <w:rFonts w:cs="Times New Roman"/>
          <w:szCs w:val="24"/>
        </w:rPr>
        <w:t xml:space="preserve"> Key</w:t>
      </w:r>
      <w:r>
        <w:rPr>
          <w:rFonts w:cs="Times New Roman"/>
          <w:szCs w:val="24"/>
        </w:rPr>
        <w:t xml:space="preserve"> informant </w:t>
      </w:r>
      <w:r w:rsidR="0030657E">
        <w:rPr>
          <w:rFonts w:cs="Times New Roman"/>
          <w:szCs w:val="24"/>
        </w:rPr>
        <w:t>10</w:t>
      </w:r>
      <w:r>
        <w:rPr>
          <w:rFonts w:cs="Times New Roman"/>
          <w:szCs w:val="24"/>
        </w:rPr>
        <w:t xml:space="preserve"> from the FSD</w:t>
      </w:r>
      <w:r w:rsidRPr="0027541D">
        <w:rPr>
          <w:rFonts w:cs="Times New Roman"/>
          <w:szCs w:val="24"/>
        </w:rPr>
        <w:t xml:space="preserve"> </w:t>
      </w:r>
      <w:r w:rsidR="00AE5F81">
        <w:rPr>
          <w:rFonts w:cs="Times New Roman"/>
          <w:szCs w:val="24"/>
        </w:rPr>
        <w:t xml:space="preserve">at the SSFR </w:t>
      </w:r>
      <w:r>
        <w:rPr>
          <w:rFonts w:cs="Times New Roman"/>
          <w:szCs w:val="24"/>
        </w:rPr>
        <w:t>on 4</w:t>
      </w:r>
      <w:r w:rsidRPr="007942AF">
        <w:rPr>
          <w:rFonts w:cs="Times New Roman"/>
          <w:szCs w:val="24"/>
          <w:vertAlign w:val="superscript"/>
        </w:rPr>
        <w:t>th</w:t>
      </w:r>
      <w:r>
        <w:rPr>
          <w:rFonts w:cs="Times New Roman"/>
          <w:szCs w:val="24"/>
        </w:rPr>
        <w:t xml:space="preserve"> March 2024 believed that in this challenging economy, preventing community members from harvesting products, such as canes from the forest, </w:t>
      </w:r>
      <w:r>
        <w:rPr>
          <w:rFonts w:cs="Times New Roman"/>
          <w:szCs w:val="24"/>
        </w:rPr>
        <w:lastRenderedPageBreak/>
        <w:t>resulted in conflicts between the FSD and the members, as this was the job they needed to perform.</w:t>
      </w:r>
      <w:r w:rsidRPr="0027541D">
        <w:rPr>
          <w:rFonts w:cs="Times New Roman"/>
          <w:szCs w:val="24"/>
        </w:rPr>
        <w:t xml:space="preserve"> </w:t>
      </w:r>
      <w:r>
        <w:rPr>
          <w:rFonts w:cs="Times New Roman"/>
          <w:szCs w:val="24"/>
        </w:rPr>
        <w:t>The representative further noted that another source of the conflict was obtaining a permit to f</w:t>
      </w:r>
      <w:r w:rsidR="00AE5F81">
        <w:rPr>
          <w:rFonts w:cs="Times New Roman"/>
          <w:szCs w:val="24"/>
        </w:rPr>
        <w:t>e</w:t>
      </w:r>
      <w:r>
        <w:rPr>
          <w:rFonts w:cs="Times New Roman"/>
          <w:szCs w:val="24"/>
        </w:rPr>
        <w:t>ll trees in the community since it took a long time to obtain these permits, and members usually cut the trees without permits.</w:t>
      </w:r>
    </w:p>
    <w:p w14:paraId="46DCE66B" w14:textId="1AE45010" w:rsidR="001B0ACF" w:rsidRPr="0027541D" w:rsidRDefault="001B0ACF" w:rsidP="001B0ACF">
      <w:pPr>
        <w:spacing w:after="0"/>
        <w:ind w:left="0" w:firstLine="0"/>
        <w:rPr>
          <w:rFonts w:cs="Times New Roman"/>
          <w:szCs w:val="24"/>
        </w:rPr>
      </w:pPr>
      <w:r>
        <w:rPr>
          <w:rFonts w:cs="Times New Roman"/>
          <w:szCs w:val="24"/>
        </w:rPr>
        <w:tab/>
        <w:t xml:space="preserve">It </w:t>
      </w:r>
      <w:r w:rsidR="00AE5F81">
        <w:rPr>
          <w:rFonts w:cs="Times New Roman"/>
          <w:szCs w:val="24"/>
        </w:rPr>
        <w:t>is</w:t>
      </w:r>
      <w:r>
        <w:rPr>
          <w:rFonts w:cs="Times New Roman"/>
          <w:szCs w:val="24"/>
        </w:rPr>
        <w:t xml:space="preserve"> crucial to mention that p</w:t>
      </w:r>
      <w:r w:rsidRPr="0027541D">
        <w:rPr>
          <w:rFonts w:cs="Times New Roman"/>
          <w:szCs w:val="24"/>
        </w:rPr>
        <w:t xml:space="preserve">opulation growth in the form of community expansion </w:t>
      </w:r>
      <w:r>
        <w:rPr>
          <w:rFonts w:cs="Times New Roman"/>
          <w:szCs w:val="24"/>
        </w:rPr>
        <w:t xml:space="preserve">also </w:t>
      </w:r>
      <w:r w:rsidRPr="0027541D">
        <w:rPr>
          <w:rFonts w:cs="Times New Roman"/>
          <w:szCs w:val="24"/>
        </w:rPr>
        <w:t xml:space="preserve">posed </w:t>
      </w:r>
      <w:r>
        <w:rPr>
          <w:rFonts w:cs="Times New Roman"/>
          <w:szCs w:val="24"/>
        </w:rPr>
        <w:t xml:space="preserve">severe </w:t>
      </w:r>
      <w:r w:rsidRPr="0027541D">
        <w:rPr>
          <w:rFonts w:cs="Times New Roman"/>
          <w:szCs w:val="24"/>
        </w:rPr>
        <w:t xml:space="preserve">challenges to this process. It was established that, due to the growth of communities, there was </w:t>
      </w:r>
      <w:r>
        <w:rPr>
          <w:rFonts w:cs="Times New Roman"/>
          <w:szCs w:val="24"/>
        </w:rPr>
        <w:t xml:space="preserve">a </w:t>
      </w:r>
      <w:r w:rsidRPr="0027541D">
        <w:rPr>
          <w:rFonts w:cs="Times New Roman"/>
          <w:szCs w:val="24"/>
        </w:rPr>
        <w:t xml:space="preserve">demand for farmland, raw materials for buildings and fuelwood, </w:t>
      </w:r>
      <w:r>
        <w:rPr>
          <w:rFonts w:cs="Times New Roman"/>
          <w:szCs w:val="24"/>
        </w:rPr>
        <w:t xml:space="preserve">and </w:t>
      </w:r>
      <w:r w:rsidRPr="0027541D">
        <w:rPr>
          <w:rFonts w:cs="Times New Roman"/>
          <w:szCs w:val="24"/>
        </w:rPr>
        <w:t xml:space="preserve">new parcels of land which could only be obtained within the </w:t>
      </w:r>
      <w:r w:rsidR="00AE5F81">
        <w:rPr>
          <w:rFonts w:cs="Times New Roman"/>
          <w:szCs w:val="24"/>
        </w:rPr>
        <w:t>SSFR</w:t>
      </w:r>
      <w:r w:rsidRPr="0027541D">
        <w:rPr>
          <w:rFonts w:cs="Times New Roman"/>
          <w:szCs w:val="24"/>
        </w:rPr>
        <w:t xml:space="preserve"> for community cemeteries</w:t>
      </w:r>
      <w:r>
        <w:rPr>
          <w:rFonts w:cs="Times New Roman"/>
          <w:szCs w:val="24"/>
        </w:rPr>
        <w:t>,</w:t>
      </w:r>
      <w:r w:rsidRPr="0027541D">
        <w:rPr>
          <w:rFonts w:cs="Times New Roman"/>
          <w:szCs w:val="24"/>
        </w:rPr>
        <w:t xml:space="preserve"> among other things. In this regard, </w:t>
      </w:r>
      <w:r>
        <w:rPr>
          <w:rFonts w:cs="Times New Roman"/>
          <w:szCs w:val="24"/>
        </w:rPr>
        <w:t xml:space="preserve">key informant </w:t>
      </w:r>
      <w:r w:rsidR="0030657E">
        <w:rPr>
          <w:rFonts w:cs="Times New Roman"/>
          <w:szCs w:val="24"/>
        </w:rPr>
        <w:t>13</w:t>
      </w:r>
      <w:r>
        <w:rPr>
          <w:rFonts w:cs="Times New Roman"/>
          <w:szCs w:val="24"/>
        </w:rPr>
        <w:t xml:space="preserve"> from the</w:t>
      </w:r>
      <w:r w:rsidRPr="0027541D">
        <w:rPr>
          <w:rFonts w:cs="Times New Roman"/>
          <w:szCs w:val="24"/>
        </w:rPr>
        <w:t xml:space="preserve"> D</w:t>
      </w:r>
      <w:r>
        <w:rPr>
          <w:rFonts w:cs="Times New Roman"/>
          <w:szCs w:val="24"/>
        </w:rPr>
        <w:t>.</w:t>
      </w:r>
      <w:r w:rsidRPr="0027541D">
        <w:rPr>
          <w:rFonts w:cs="Times New Roman"/>
          <w:szCs w:val="24"/>
        </w:rPr>
        <w:t>A</w:t>
      </w:r>
      <w:r>
        <w:rPr>
          <w:rFonts w:cs="Times New Roman"/>
          <w:szCs w:val="24"/>
        </w:rPr>
        <w:t>.</w:t>
      </w:r>
      <w:r w:rsidRPr="0027541D">
        <w:rPr>
          <w:rFonts w:cs="Times New Roman"/>
          <w:szCs w:val="24"/>
        </w:rPr>
        <w:t xml:space="preserve"> </w:t>
      </w:r>
      <w:r w:rsidR="00AE5F81">
        <w:rPr>
          <w:rFonts w:cs="Times New Roman"/>
          <w:szCs w:val="24"/>
        </w:rPr>
        <w:t xml:space="preserve">at the SSFR </w:t>
      </w:r>
      <w:r>
        <w:rPr>
          <w:rFonts w:cs="Times New Roman"/>
          <w:szCs w:val="24"/>
        </w:rPr>
        <w:t>on the 27</w:t>
      </w:r>
      <w:r w:rsidRPr="008831F5">
        <w:rPr>
          <w:rFonts w:cs="Times New Roman"/>
          <w:szCs w:val="24"/>
          <w:vertAlign w:val="superscript"/>
        </w:rPr>
        <w:t>th</w:t>
      </w:r>
      <w:r>
        <w:rPr>
          <w:rFonts w:cs="Times New Roman"/>
          <w:szCs w:val="24"/>
        </w:rPr>
        <w:t xml:space="preserve"> of March 2024 </w:t>
      </w:r>
      <w:r w:rsidRPr="0027541D">
        <w:rPr>
          <w:rFonts w:cs="Times New Roman"/>
          <w:szCs w:val="24"/>
        </w:rPr>
        <w:t xml:space="preserve">revealed that the forest boundaries were now close to the communities. It was easy for everyone to convert the forest to a farm or something else. </w:t>
      </w:r>
      <w:r>
        <w:rPr>
          <w:rFonts w:cs="Times New Roman"/>
          <w:szCs w:val="24"/>
        </w:rPr>
        <w:t xml:space="preserve">The key informant at Aduhima maintained that the </w:t>
      </w:r>
      <w:r w:rsidRPr="0027541D">
        <w:rPr>
          <w:rFonts w:cs="Times New Roman"/>
          <w:szCs w:val="24"/>
        </w:rPr>
        <w:t>farm used to be</w:t>
      </w:r>
      <w:r>
        <w:rPr>
          <w:rFonts w:cs="Times New Roman"/>
          <w:szCs w:val="24"/>
        </w:rPr>
        <w:t>long to</w:t>
      </w:r>
      <w:r w:rsidRPr="0027541D">
        <w:rPr>
          <w:rFonts w:cs="Times New Roman"/>
          <w:szCs w:val="24"/>
        </w:rPr>
        <w:t xml:space="preserve"> </w:t>
      </w:r>
      <w:r>
        <w:rPr>
          <w:rFonts w:cs="Times New Roman"/>
          <w:szCs w:val="24"/>
        </w:rPr>
        <w:t>the</w:t>
      </w:r>
      <w:r w:rsidRPr="0027541D">
        <w:rPr>
          <w:rFonts w:cs="Times New Roman"/>
          <w:szCs w:val="24"/>
        </w:rPr>
        <w:t xml:space="preserve"> grandfather</w:t>
      </w:r>
      <w:r>
        <w:rPr>
          <w:rFonts w:cs="Times New Roman"/>
          <w:szCs w:val="24"/>
        </w:rPr>
        <w:t>,</w:t>
      </w:r>
      <w:r w:rsidRPr="0027541D">
        <w:rPr>
          <w:rFonts w:cs="Times New Roman"/>
          <w:szCs w:val="24"/>
        </w:rPr>
        <w:t xml:space="preserve"> who converted part of the reserve </w:t>
      </w:r>
      <w:r>
        <w:rPr>
          <w:rFonts w:cs="Times New Roman"/>
          <w:szCs w:val="24"/>
        </w:rPr>
        <w:t>in</w:t>
      </w:r>
      <w:r w:rsidRPr="0027541D">
        <w:rPr>
          <w:rFonts w:cs="Times New Roman"/>
          <w:szCs w:val="24"/>
        </w:rPr>
        <w:t>to his farm. He was later arrested and released before the far</w:t>
      </w:r>
      <w:r>
        <w:rPr>
          <w:rFonts w:cs="Times New Roman"/>
          <w:szCs w:val="24"/>
        </w:rPr>
        <w:t xml:space="preserve">m </w:t>
      </w:r>
      <w:r w:rsidRPr="0027541D">
        <w:rPr>
          <w:rFonts w:cs="Times New Roman"/>
          <w:szCs w:val="24"/>
        </w:rPr>
        <w:t xml:space="preserve">was released to him to continue farming. </w:t>
      </w:r>
    </w:p>
    <w:p w14:paraId="23806ED7" w14:textId="3C961540" w:rsidR="001B0ACF" w:rsidRPr="0027541D" w:rsidRDefault="001B0ACF" w:rsidP="001B0ACF">
      <w:pPr>
        <w:spacing w:after="0"/>
        <w:ind w:left="0" w:firstLine="0"/>
        <w:rPr>
          <w:rFonts w:cs="Times New Roman"/>
          <w:szCs w:val="24"/>
        </w:rPr>
      </w:pPr>
      <w:r>
        <w:rPr>
          <w:rFonts w:cs="Times New Roman"/>
          <w:szCs w:val="24"/>
        </w:rPr>
        <w:tab/>
        <w:t xml:space="preserve">As evidence, key informant </w:t>
      </w:r>
      <w:r w:rsidR="0030657E">
        <w:rPr>
          <w:rFonts w:cs="Times New Roman"/>
          <w:szCs w:val="24"/>
        </w:rPr>
        <w:t>11</w:t>
      </w:r>
      <w:r>
        <w:rPr>
          <w:rFonts w:cs="Times New Roman"/>
          <w:szCs w:val="24"/>
        </w:rPr>
        <w:t xml:space="preserve"> from the</w:t>
      </w:r>
      <w:r w:rsidRPr="0027541D">
        <w:rPr>
          <w:rFonts w:cs="Times New Roman"/>
          <w:szCs w:val="24"/>
        </w:rPr>
        <w:t xml:space="preserve"> </w:t>
      </w:r>
      <w:r>
        <w:rPr>
          <w:rFonts w:cs="Times New Roman"/>
          <w:szCs w:val="24"/>
        </w:rPr>
        <w:t xml:space="preserve">FSD </w:t>
      </w:r>
      <w:r w:rsidR="00AE5F81">
        <w:rPr>
          <w:rFonts w:cs="Times New Roman"/>
          <w:szCs w:val="24"/>
        </w:rPr>
        <w:t xml:space="preserve">at the SSFR </w:t>
      </w:r>
      <w:r>
        <w:rPr>
          <w:rFonts w:cs="Times New Roman"/>
          <w:szCs w:val="24"/>
        </w:rPr>
        <w:t xml:space="preserve">on the </w:t>
      </w:r>
      <w:proofErr w:type="gramStart"/>
      <w:r>
        <w:rPr>
          <w:rFonts w:cs="Times New Roman"/>
          <w:szCs w:val="24"/>
        </w:rPr>
        <w:t>12</w:t>
      </w:r>
      <w:r w:rsidRPr="00C06091">
        <w:rPr>
          <w:rFonts w:cs="Times New Roman"/>
          <w:szCs w:val="24"/>
          <w:vertAlign w:val="superscript"/>
        </w:rPr>
        <w:t>th</w:t>
      </w:r>
      <w:proofErr w:type="gramEnd"/>
      <w:r>
        <w:rPr>
          <w:rFonts w:cs="Times New Roman"/>
          <w:szCs w:val="24"/>
        </w:rPr>
        <w:t xml:space="preserve"> March 2024</w:t>
      </w:r>
      <w:r w:rsidRPr="0027541D">
        <w:rPr>
          <w:rFonts w:cs="Times New Roman"/>
          <w:szCs w:val="24"/>
        </w:rPr>
        <w:t xml:space="preserve"> noted that the </w:t>
      </w:r>
      <w:r>
        <w:rPr>
          <w:rFonts w:cs="Times New Roman"/>
          <w:szCs w:val="24"/>
        </w:rPr>
        <w:t>community's population</w:t>
      </w:r>
      <w:r w:rsidRPr="0027541D">
        <w:rPr>
          <w:rFonts w:cs="Times New Roman"/>
          <w:szCs w:val="24"/>
        </w:rPr>
        <w:t xml:space="preserve"> ha</w:t>
      </w:r>
      <w:r>
        <w:rPr>
          <w:rFonts w:cs="Times New Roman"/>
          <w:szCs w:val="24"/>
        </w:rPr>
        <w:t>d</w:t>
      </w:r>
      <w:r w:rsidRPr="0027541D">
        <w:rPr>
          <w:rFonts w:cs="Times New Roman"/>
          <w:szCs w:val="24"/>
        </w:rPr>
        <w:t xml:space="preserve"> increased</w:t>
      </w:r>
      <w:r>
        <w:rPr>
          <w:rFonts w:cs="Times New Roman"/>
          <w:szCs w:val="24"/>
        </w:rPr>
        <w:t>,</w:t>
      </w:r>
      <w:r w:rsidRPr="0027541D">
        <w:rPr>
          <w:rFonts w:cs="Times New Roman"/>
          <w:szCs w:val="24"/>
        </w:rPr>
        <w:t xml:space="preserve"> </w:t>
      </w:r>
      <w:r>
        <w:rPr>
          <w:rFonts w:cs="Times New Roman"/>
          <w:szCs w:val="24"/>
        </w:rPr>
        <w:t xml:space="preserve">leading to </w:t>
      </w:r>
      <w:r w:rsidRPr="0027541D">
        <w:rPr>
          <w:rFonts w:cs="Times New Roman"/>
          <w:szCs w:val="24"/>
        </w:rPr>
        <w:t>illegal clear</w:t>
      </w:r>
      <w:r>
        <w:rPr>
          <w:rFonts w:cs="Times New Roman"/>
          <w:szCs w:val="24"/>
        </w:rPr>
        <w:t>ing of</w:t>
      </w:r>
      <w:r w:rsidRPr="0027541D">
        <w:rPr>
          <w:rFonts w:cs="Times New Roman"/>
          <w:szCs w:val="24"/>
        </w:rPr>
        <w:t xml:space="preserve"> forestry lands for farming. </w:t>
      </w:r>
      <w:r w:rsidR="00AE5F81">
        <w:rPr>
          <w:rFonts w:cs="Times New Roman"/>
          <w:szCs w:val="24"/>
        </w:rPr>
        <w:t>He also noted that o</w:t>
      </w:r>
      <w:r w:rsidRPr="0027541D">
        <w:rPr>
          <w:rFonts w:cs="Times New Roman"/>
          <w:szCs w:val="24"/>
        </w:rPr>
        <w:t>ther</w:t>
      </w:r>
      <w:r w:rsidR="00AE5F81">
        <w:rPr>
          <w:rFonts w:cs="Times New Roman"/>
          <w:szCs w:val="24"/>
        </w:rPr>
        <w:t xml:space="preserve"> community members</w:t>
      </w:r>
      <w:r w:rsidRPr="0027541D">
        <w:rPr>
          <w:rFonts w:cs="Times New Roman"/>
          <w:szCs w:val="24"/>
        </w:rPr>
        <w:t xml:space="preserve"> ha</w:t>
      </w:r>
      <w:r w:rsidR="00AE5F81">
        <w:rPr>
          <w:rFonts w:cs="Times New Roman"/>
          <w:szCs w:val="24"/>
        </w:rPr>
        <w:t>d</w:t>
      </w:r>
      <w:r w:rsidRPr="0027541D">
        <w:rPr>
          <w:rFonts w:cs="Times New Roman"/>
          <w:szCs w:val="24"/>
        </w:rPr>
        <w:t xml:space="preserve"> </w:t>
      </w:r>
      <w:r w:rsidR="00AE5F81">
        <w:rPr>
          <w:rFonts w:cs="Times New Roman"/>
          <w:szCs w:val="24"/>
        </w:rPr>
        <w:t>converted</w:t>
      </w:r>
      <w:r w:rsidRPr="0027541D">
        <w:rPr>
          <w:rFonts w:cs="Times New Roman"/>
          <w:szCs w:val="24"/>
        </w:rPr>
        <w:t xml:space="preserve"> forestry</w:t>
      </w:r>
      <w:r>
        <w:rPr>
          <w:rFonts w:cs="Times New Roman"/>
          <w:szCs w:val="24"/>
        </w:rPr>
        <w:t>-</w:t>
      </w:r>
      <w:r w:rsidRPr="0027541D">
        <w:rPr>
          <w:rFonts w:cs="Times New Roman"/>
          <w:szCs w:val="24"/>
        </w:rPr>
        <w:t>protected land</w:t>
      </w:r>
      <w:r w:rsidR="00AE5F81">
        <w:rPr>
          <w:rFonts w:cs="Times New Roman"/>
          <w:szCs w:val="24"/>
        </w:rPr>
        <w:t>s</w:t>
      </w:r>
      <w:r w:rsidRPr="0027541D">
        <w:rPr>
          <w:rFonts w:cs="Times New Roman"/>
          <w:szCs w:val="24"/>
        </w:rPr>
        <w:t xml:space="preserve"> into cocoa farms</w:t>
      </w:r>
      <w:r>
        <w:rPr>
          <w:rFonts w:cs="Times New Roman"/>
          <w:szCs w:val="24"/>
        </w:rPr>
        <w:t>, which is</w:t>
      </w:r>
      <w:r w:rsidRPr="0027541D">
        <w:rPr>
          <w:rFonts w:cs="Times New Roman"/>
          <w:szCs w:val="24"/>
        </w:rPr>
        <w:t xml:space="preserve"> contrary to </w:t>
      </w:r>
      <w:r w:rsidR="00AE5F81">
        <w:rPr>
          <w:rFonts w:cs="Times New Roman"/>
          <w:szCs w:val="24"/>
        </w:rPr>
        <w:t xml:space="preserve">FSD’s </w:t>
      </w:r>
      <w:r w:rsidRPr="0027541D">
        <w:rPr>
          <w:rFonts w:cs="Times New Roman"/>
          <w:szCs w:val="24"/>
        </w:rPr>
        <w:t xml:space="preserve">rules. </w:t>
      </w:r>
      <w:r w:rsidR="00AE5F81">
        <w:rPr>
          <w:rFonts w:cs="Times New Roman"/>
          <w:szCs w:val="24"/>
        </w:rPr>
        <w:t>He further stressed that w</w:t>
      </w:r>
      <w:r w:rsidRPr="0027541D">
        <w:rPr>
          <w:rFonts w:cs="Times New Roman"/>
          <w:szCs w:val="24"/>
        </w:rPr>
        <w:t xml:space="preserve">hen </w:t>
      </w:r>
      <w:r w:rsidR="00AE5F81">
        <w:rPr>
          <w:rFonts w:cs="Times New Roman"/>
          <w:szCs w:val="24"/>
        </w:rPr>
        <w:t>community members convert forest lands to farmlands</w:t>
      </w:r>
      <w:r w:rsidRPr="0027541D">
        <w:rPr>
          <w:rFonts w:cs="Times New Roman"/>
          <w:szCs w:val="24"/>
        </w:rPr>
        <w:t>,</w:t>
      </w:r>
      <w:r w:rsidR="00AE5F81">
        <w:rPr>
          <w:rFonts w:cs="Times New Roman"/>
          <w:szCs w:val="24"/>
        </w:rPr>
        <w:t xml:space="preserve"> FSD</w:t>
      </w:r>
      <w:r w:rsidRPr="0027541D">
        <w:rPr>
          <w:rFonts w:cs="Times New Roman"/>
          <w:szCs w:val="24"/>
        </w:rPr>
        <w:t xml:space="preserve"> either destroy</w:t>
      </w:r>
      <w:r w:rsidR="00AE5F81">
        <w:rPr>
          <w:rFonts w:cs="Times New Roman"/>
          <w:szCs w:val="24"/>
        </w:rPr>
        <w:t>ed</w:t>
      </w:r>
      <w:r w:rsidRPr="0027541D">
        <w:rPr>
          <w:rFonts w:cs="Times New Roman"/>
          <w:szCs w:val="24"/>
        </w:rPr>
        <w:t xml:space="preserve"> these farms or reach</w:t>
      </w:r>
      <w:r w:rsidR="00AE5F81">
        <w:rPr>
          <w:rFonts w:cs="Times New Roman"/>
          <w:szCs w:val="24"/>
        </w:rPr>
        <w:t>ed</w:t>
      </w:r>
      <w:r w:rsidRPr="0027541D">
        <w:rPr>
          <w:rFonts w:cs="Times New Roman"/>
          <w:szCs w:val="24"/>
        </w:rPr>
        <w:t xml:space="preserve"> a 50-50 agreement with the</w:t>
      </w:r>
      <w:r w:rsidR="00AE5F81">
        <w:rPr>
          <w:rFonts w:cs="Times New Roman"/>
          <w:szCs w:val="24"/>
        </w:rPr>
        <w:t>se members</w:t>
      </w:r>
      <w:r>
        <w:rPr>
          <w:rFonts w:cs="Times New Roman"/>
          <w:szCs w:val="24"/>
        </w:rPr>
        <w:t xml:space="preserve"> </w:t>
      </w:r>
      <w:r w:rsidR="00AE5F81">
        <w:rPr>
          <w:rFonts w:cs="Times New Roman"/>
          <w:szCs w:val="24"/>
        </w:rPr>
        <w:t xml:space="preserve">where the FSD </w:t>
      </w:r>
      <w:r>
        <w:rPr>
          <w:rFonts w:cs="Times New Roman"/>
          <w:szCs w:val="24"/>
        </w:rPr>
        <w:t>provid</w:t>
      </w:r>
      <w:r w:rsidR="00AE5F81">
        <w:rPr>
          <w:rFonts w:cs="Times New Roman"/>
          <w:szCs w:val="24"/>
        </w:rPr>
        <w:t>ed</w:t>
      </w:r>
      <w:r w:rsidRPr="0027541D">
        <w:rPr>
          <w:rFonts w:cs="Times New Roman"/>
          <w:szCs w:val="24"/>
        </w:rPr>
        <w:t xml:space="preserve"> them with tree seedlings to intersperse their farms in the form of a modified </w:t>
      </w:r>
      <w:proofErr w:type="spellStart"/>
      <w:r w:rsidRPr="0027541D">
        <w:rPr>
          <w:rFonts w:cs="Times New Roman"/>
          <w:szCs w:val="24"/>
        </w:rPr>
        <w:t>T</w:t>
      </w:r>
      <w:r>
        <w:rPr>
          <w:rFonts w:cs="Times New Roman"/>
          <w:szCs w:val="24"/>
        </w:rPr>
        <w:t>au</w:t>
      </w:r>
      <w:r w:rsidRPr="0027541D">
        <w:rPr>
          <w:rFonts w:cs="Times New Roman"/>
          <w:szCs w:val="24"/>
        </w:rPr>
        <w:t>ngya</w:t>
      </w:r>
      <w:proofErr w:type="spellEnd"/>
      <w:r w:rsidRPr="0027541D">
        <w:rPr>
          <w:rFonts w:cs="Times New Roman"/>
          <w:szCs w:val="24"/>
        </w:rPr>
        <w:t xml:space="preserve"> system.</w:t>
      </w:r>
    </w:p>
    <w:p w14:paraId="1128EB06" w14:textId="77777777" w:rsidR="001B0ACF" w:rsidRDefault="001B0ACF" w:rsidP="001B0ACF">
      <w:pPr>
        <w:spacing w:after="0"/>
        <w:ind w:left="0" w:firstLine="0"/>
        <w:rPr>
          <w:rFonts w:cs="Times New Roman"/>
          <w:szCs w:val="24"/>
        </w:rPr>
      </w:pPr>
      <w:r>
        <w:rPr>
          <w:rFonts w:cs="Times New Roman"/>
          <w:szCs w:val="24"/>
        </w:rPr>
        <w:lastRenderedPageBreak/>
        <w:tab/>
        <w:t>Furthermore, the study noted tensions between community members and FSD, resulting from a l</w:t>
      </w:r>
      <w:r w:rsidRPr="0027541D">
        <w:rPr>
          <w:rFonts w:cs="Times New Roman"/>
          <w:szCs w:val="24"/>
        </w:rPr>
        <w:t>ack of trust</w:t>
      </w:r>
      <w:r>
        <w:rPr>
          <w:rFonts w:cs="Times New Roman"/>
          <w:szCs w:val="24"/>
        </w:rPr>
        <w:t>.</w:t>
      </w:r>
      <w:r w:rsidRPr="0027541D">
        <w:rPr>
          <w:rFonts w:cs="Times New Roman"/>
          <w:szCs w:val="24"/>
        </w:rPr>
        <w:t xml:space="preserve"> The </w:t>
      </w:r>
      <w:r>
        <w:rPr>
          <w:rFonts w:cs="Times New Roman"/>
          <w:szCs w:val="24"/>
        </w:rPr>
        <w:t>FSD</w:t>
      </w:r>
      <w:r w:rsidRPr="0027541D">
        <w:rPr>
          <w:rFonts w:cs="Times New Roman"/>
          <w:szCs w:val="24"/>
        </w:rPr>
        <w:t xml:space="preserve"> had issues with the community and vice versa. On the part of the community members, they believed that </w:t>
      </w:r>
      <w:r>
        <w:rPr>
          <w:rFonts w:cs="Times New Roman"/>
          <w:szCs w:val="24"/>
        </w:rPr>
        <w:t>FSD</w:t>
      </w:r>
      <w:r w:rsidRPr="0027541D">
        <w:rPr>
          <w:rFonts w:cs="Times New Roman"/>
          <w:szCs w:val="24"/>
        </w:rPr>
        <w:t xml:space="preserve"> and illegal chainsaw operators worked together. They maintained that the </w:t>
      </w:r>
      <w:r>
        <w:rPr>
          <w:rFonts w:cs="Times New Roman"/>
          <w:szCs w:val="24"/>
        </w:rPr>
        <w:t>FSD</w:t>
      </w:r>
      <w:r w:rsidRPr="0027541D">
        <w:rPr>
          <w:rFonts w:cs="Times New Roman"/>
          <w:szCs w:val="24"/>
        </w:rPr>
        <w:t xml:space="preserve"> communicated with chainsaw operators for money. </w:t>
      </w:r>
    </w:p>
    <w:p w14:paraId="69CD1281" w14:textId="64BA1A2E" w:rsidR="001B0ACF" w:rsidRDefault="001B0ACF" w:rsidP="001B0ACF">
      <w:pPr>
        <w:spacing w:after="0"/>
        <w:ind w:left="0" w:firstLine="0"/>
        <w:rPr>
          <w:rFonts w:cs="Times New Roman"/>
          <w:szCs w:val="24"/>
        </w:rPr>
      </w:pPr>
      <w:r>
        <w:rPr>
          <w:rFonts w:cs="Times New Roman"/>
          <w:szCs w:val="24"/>
        </w:rPr>
        <w:tab/>
      </w:r>
      <w:r w:rsidRPr="0027541D">
        <w:rPr>
          <w:rFonts w:cs="Times New Roman"/>
          <w:szCs w:val="24"/>
        </w:rPr>
        <w:t xml:space="preserve">From the discussions, </w:t>
      </w:r>
      <w:r>
        <w:rPr>
          <w:rFonts w:cs="Times New Roman"/>
          <w:szCs w:val="24"/>
        </w:rPr>
        <w:t xml:space="preserve">it came to light that </w:t>
      </w:r>
      <w:r w:rsidRPr="0027541D">
        <w:rPr>
          <w:rFonts w:cs="Times New Roman"/>
          <w:szCs w:val="24"/>
        </w:rPr>
        <w:t xml:space="preserve">community members would report illegal chainsaw operators to the </w:t>
      </w:r>
      <w:r>
        <w:rPr>
          <w:rFonts w:cs="Times New Roman"/>
          <w:szCs w:val="24"/>
        </w:rPr>
        <w:t xml:space="preserve">FSD However, they faced no punishment and were released </w:t>
      </w:r>
      <w:r w:rsidRPr="0027541D">
        <w:rPr>
          <w:rFonts w:cs="Times New Roman"/>
          <w:szCs w:val="24"/>
        </w:rPr>
        <w:t xml:space="preserve">the next day. They further revealed that </w:t>
      </w:r>
      <w:r>
        <w:rPr>
          <w:rFonts w:cs="Times New Roman"/>
          <w:szCs w:val="24"/>
        </w:rPr>
        <w:t>chainsaw operators knew they would have to pay when caught, so they carried</w:t>
      </w:r>
      <w:r w:rsidRPr="0027541D">
        <w:rPr>
          <w:rFonts w:cs="Times New Roman"/>
          <w:szCs w:val="24"/>
        </w:rPr>
        <w:t xml:space="preserve"> their money along. </w:t>
      </w:r>
    </w:p>
    <w:p w14:paraId="7B4BCA15" w14:textId="2EC46257" w:rsidR="001B0ACF" w:rsidRPr="0027541D" w:rsidRDefault="001B0ACF" w:rsidP="001B0ACF">
      <w:pPr>
        <w:spacing w:after="0"/>
        <w:ind w:left="0" w:firstLine="0"/>
        <w:rPr>
          <w:rFonts w:cs="Times New Roman"/>
          <w:szCs w:val="24"/>
        </w:rPr>
      </w:pPr>
      <w:r>
        <w:rPr>
          <w:rFonts w:cs="Times New Roman"/>
          <w:szCs w:val="24"/>
        </w:rPr>
        <w:tab/>
      </w:r>
      <w:r w:rsidRPr="0027541D">
        <w:rPr>
          <w:rFonts w:cs="Times New Roman"/>
          <w:szCs w:val="24"/>
        </w:rPr>
        <w:t>Another source of mistrust expressed by community members w</w:t>
      </w:r>
      <w:r>
        <w:rPr>
          <w:rFonts w:cs="Times New Roman"/>
          <w:szCs w:val="24"/>
        </w:rPr>
        <w:t>as</w:t>
      </w:r>
      <w:r w:rsidRPr="0027541D">
        <w:rPr>
          <w:rFonts w:cs="Times New Roman"/>
          <w:szCs w:val="24"/>
        </w:rPr>
        <w:t xml:space="preserve"> the unfair distribution of tree seedlings to farmers. They maintained that even though the </w:t>
      </w:r>
      <w:r>
        <w:rPr>
          <w:rFonts w:cs="Times New Roman"/>
          <w:szCs w:val="24"/>
        </w:rPr>
        <w:t>FSD</w:t>
      </w:r>
      <w:r w:rsidRPr="0027541D">
        <w:rPr>
          <w:rFonts w:cs="Times New Roman"/>
          <w:szCs w:val="24"/>
        </w:rPr>
        <w:t xml:space="preserve"> knew the number of people in each group, the seedlings they usually brought w</w:t>
      </w:r>
      <w:r>
        <w:rPr>
          <w:rFonts w:cs="Times New Roman"/>
          <w:szCs w:val="24"/>
        </w:rPr>
        <w:t>ere</w:t>
      </w:r>
      <w:r w:rsidRPr="0027541D">
        <w:rPr>
          <w:rFonts w:cs="Times New Roman"/>
          <w:szCs w:val="24"/>
        </w:rPr>
        <w:t xml:space="preserve"> fewer than their number</w:t>
      </w:r>
      <w:r>
        <w:rPr>
          <w:rFonts w:cs="Times New Roman"/>
          <w:szCs w:val="24"/>
        </w:rPr>
        <w:t>, or they may not have brought</w:t>
      </w:r>
      <w:r w:rsidRPr="0027541D">
        <w:rPr>
          <w:rFonts w:cs="Times New Roman"/>
          <w:szCs w:val="24"/>
        </w:rPr>
        <w:t xml:space="preserve"> these seedlings at all. As a result, some members decided not to attend meetings or participate in any activities concerning the SSFR. </w:t>
      </w:r>
      <w:r>
        <w:rPr>
          <w:rFonts w:cs="Times New Roman"/>
          <w:szCs w:val="24"/>
        </w:rPr>
        <w:t>K</w:t>
      </w:r>
      <w:r w:rsidRPr="0027541D">
        <w:rPr>
          <w:rFonts w:cs="Times New Roman"/>
          <w:szCs w:val="24"/>
        </w:rPr>
        <w:t xml:space="preserve">ey informant </w:t>
      </w:r>
      <w:r w:rsidR="0030657E">
        <w:rPr>
          <w:rFonts w:cs="Times New Roman"/>
          <w:szCs w:val="24"/>
        </w:rPr>
        <w:t>12</w:t>
      </w:r>
      <w:r>
        <w:rPr>
          <w:rFonts w:cs="Times New Roman"/>
          <w:szCs w:val="24"/>
        </w:rPr>
        <w:t xml:space="preserve"> from the D. A. </w:t>
      </w:r>
      <w:r w:rsidR="00AE5F81">
        <w:rPr>
          <w:rFonts w:cs="Times New Roman"/>
          <w:szCs w:val="24"/>
        </w:rPr>
        <w:t xml:space="preserve">at the SSFR </w:t>
      </w:r>
      <w:r>
        <w:rPr>
          <w:rFonts w:cs="Times New Roman"/>
          <w:szCs w:val="24"/>
        </w:rPr>
        <w:t>on 12</w:t>
      </w:r>
      <w:r w:rsidRPr="00C865EF">
        <w:rPr>
          <w:rFonts w:cs="Times New Roman"/>
          <w:szCs w:val="24"/>
          <w:vertAlign w:val="superscript"/>
        </w:rPr>
        <w:t>th</w:t>
      </w:r>
      <w:r>
        <w:rPr>
          <w:rFonts w:cs="Times New Roman"/>
          <w:szCs w:val="24"/>
        </w:rPr>
        <w:t xml:space="preserve"> March 2024</w:t>
      </w:r>
      <w:r w:rsidRPr="0027541D">
        <w:rPr>
          <w:rFonts w:cs="Times New Roman"/>
          <w:szCs w:val="24"/>
        </w:rPr>
        <w:t xml:space="preserve"> revealed that the </w:t>
      </w:r>
      <w:r>
        <w:rPr>
          <w:rFonts w:cs="Times New Roman"/>
          <w:szCs w:val="24"/>
        </w:rPr>
        <w:t>FSD d</w:t>
      </w:r>
      <w:r w:rsidR="00AE5F81">
        <w:rPr>
          <w:rFonts w:cs="Times New Roman"/>
          <w:szCs w:val="24"/>
        </w:rPr>
        <w:t>id</w:t>
      </w:r>
      <w:r>
        <w:rPr>
          <w:rFonts w:cs="Times New Roman"/>
          <w:szCs w:val="24"/>
        </w:rPr>
        <w:t xml:space="preserve"> not deal fairly with them</w:t>
      </w:r>
      <w:r w:rsidRPr="0027541D">
        <w:rPr>
          <w:rFonts w:cs="Times New Roman"/>
          <w:szCs w:val="24"/>
        </w:rPr>
        <w:t xml:space="preserve">. </w:t>
      </w:r>
      <w:r w:rsidR="00AE5F81">
        <w:rPr>
          <w:rFonts w:cs="Times New Roman"/>
          <w:szCs w:val="24"/>
        </w:rPr>
        <w:t>According to him, when the FSD</w:t>
      </w:r>
      <w:r w:rsidRPr="0027541D">
        <w:rPr>
          <w:rFonts w:cs="Times New Roman"/>
          <w:szCs w:val="24"/>
        </w:rPr>
        <w:t xml:space="preserve"> promise</w:t>
      </w:r>
      <w:r w:rsidR="00AE5F81">
        <w:rPr>
          <w:rFonts w:cs="Times New Roman"/>
          <w:szCs w:val="24"/>
        </w:rPr>
        <w:t>d</w:t>
      </w:r>
      <w:r w:rsidRPr="0027541D">
        <w:rPr>
          <w:rFonts w:cs="Times New Roman"/>
          <w:szCs w:val="24"/>
        </w:rPr>
        <w:t xml:space="preserve"> to bring tree seedlings, the</w:t>
      </w:r>
      <w:r>
        <w:rPr>
          <w:rFonts w:cs="Times New Roman"/>
          <w:szCs w:val="24"/>
        </w:rPr>
        <w:t>y</w:t>
      </w:r>
      <w:r w:rsidRPr="0027541D">
        <w:rPr>
          <w:rFonts w:cs="Times New Roman"/>
          <w:szCs w:val="24"/>
        </w:rPr>
        <w:t xml:space="preserve"> br</w:t>
      </w:r>
      <w:r w:rsidR="00AE5F81">
        <w:rPr>
          <w:rFonts w:cs="Times New Roman"/>
          <w:szCs w:val="24"/>
        </w:rPr>
        <w:t>ought</w:t>
      </w:r>
      <w:r w:rsidRPr="0027541D">
        <w:rPr>
          <w:rFonts w:cs="Times New Roman"/>
          <w:szCs w:val="24"/>
        </w:rPr>
        <w:t xml:space="preserve"> a few seedlings which bec</w:t>
      </w:r>
      <w:r w:rsidR="00AE5F81">
        <w:rPr>
          <w:rFonts w:cs="Times New Roman"/>
          <w:szCs w:val="24"/>
        </w:rPr>
        <w:t>a</w:t>
      </w:r>
      <w:r w:rsidRPr="0027541D">
        <w:rPr>
          <w:rFonts w:cs="Times New Roman"/>
          <w:szCs w:val="24"/>
        </w:rPr>
        <w:t xml:space="preserve">me difficult to share because </w:t>
      </w:r>
      <w:r>
        <w:rPr>
          <w:rFonts w:cs="Times New Roman"/>
          <w:szCs w:val="24"/>
        </w:rPr>
        <w:t>one</w:t>
      </w:r>
      <w:r w:rsidRPr="0027541D">
        <w:rPr>
          <w:rFonts w:cs="Times New Roman"/>
          <w:szCs w:val="24"/>
        </w:rPr>
        <w:t xml:space="preserve"> c</w:t>
      </w:r>
      <w:r w:rsidR="00AE5F81">
        <w:rPr>
          <w:rFonts w:cs="Times New Roman"/>
          <w:szCs w:val="24"/>
        </w:rPr>
        <w:t>ould not</w:t>
      </w:r>
      <w:r w:rsidRPr="0027541D">
        <w:rPr>
          <w:rFonts w:cs="Times New Roman"/>
          <w:szCs w:val="24"/>
        </w:rPr>
        <w:t xml:space="preserve"> determine who </w:t>
      </w:r>
      <w:r w:rsidR="00AE5F81">
        <w:rPr>
          <w:rFonts w:cs="Times New Roman"/>
          <w:szCs w:val="24"/>
        </w:rPr>
        <w:t xml:space="preserve">should </w:t>
      </w:r>
      <w:r w:rsidRPr="0027541D">
        <w:rPr>
          <w:rFonts w:cs="Times New Roman"/>
          <w:szCs w:val="24"/>
        </w:rPr>
        <w:t xml:space="preserve">receive and who </w:t>
      </w:r>
      <w:r w:rsidR="00AE5F81">
        <w:rPr>
          <w:rFonts w:cs="Times New Roman"/>
          <w:szCs w:val="24"/>
        </w:rPr>
        <w:t>should</w:t>
      </w:r>
      <w:r w:rsidRPr="0027541D">
        <w:rPr>
          <w:rFonts w:cs="Times New Roman"/>
          <w:szCs w:val="24"/>
        </w:rPr>
        <w:t xml:space="preserve"> not</w:t>
      </w:r>
      <w:r>
        <w:rPr>
          <w:rFonts w:cs="Times New Roman"/>
          <w:szCs w:val="24"/>
        </w:rPr>
        <w:t>,</w:t>
      </w:r>
      <w:r w:rsidRPr="0027541D">
        <w:rPr>
          <w:rFonts w:cs="Times New Roman"/>
          <w:szCs w:val="24"/>
        </w:rPr>
        <w:t xml:space="preserve"> or they d</w:t>
      </w:r>
      <w:r w:rsidR="00AE5F81">
        <w:rPr>
          <w:rFonts w:cs="Times New Roman"/>
          <w:szCs w:val="24"/>
        </w:rPr>
        <w:t>o</w:t>
      </w:r>
      <w:r w:rsidRPr="0027541D">
        <w:rPr>
          <w:rFonts w:cs="Times New Roman"/>
          <w:szCs w:val="24"/>
        </w:rPr>
        <w:t xml:space="preserve"> not bring seedlings</w:t>
      </w:r>
      <w:r w:rsidR="00AE5F81">
        <w:rPr>
          <w:rFonts w:cs="Times New Roman"/>
          <w:szCs w:val="24"/>
        </w:rPr>
        <w:t xml:space="preserve"> sometimes, yet the farmers</w:t>
      </w:r>
      <w:r w:rsidRPr="0027541D">
        <w:rPr>
          <w:rFonts w:cs="Times New Roman"/>
          <w:szCs w:val="24"/>
        </w:rPr>
        <w:t xml:space="preserve"> also need these trees to provide shade for </w:t>
      </w:r>
      <w:r w:rsidR="00AE5F81">
        <w:rPr>
          <w:rFonts w:cs="Times New Roman"/>
          <w:szCs w:val="24"/>
        </w:rPr>
        <w:t xml:space="preserve">their </w:t>
      </w:r>
      <w:r w:rsidRPr="0027541D">
        <w:rPr>
          <w:rFonts w:cs="Times New Roman"/>
          <w:szCs w:val="24"/>
        </w:rPr>
        <w:t xml:space="preserve">cocoa trees. </w:t>
      </w:r>
    </w:p>
    <w:p w14:paraId="25948510" w14:textId="113ADE59" w:rsidR="001B0ACF" w:rsidRPr="0027541D" w:rsidRDefault="001B0ACF" w:rsidP="001B0ACF">
      <w:pPr>
        <w:spacing w:after="0"/>
        <w:ind w:left="0" w:firstLine="0"/>
        <w:rPr>
          <w:rFonts w:cs="Times New Roman"/>
          <w:szCs w:val="24"/>
        </w:rPr>
      </w:pPr>
      <w:r>
        <w:rPr>
          <w:rFonts w:cs="Times New Roman"/>
          <w:szCs w:val="24"/>
        </w:rPr>
        <w:tab/>
      </w:r>
      <w:r w:rsidRPr="0027541D">
        <w:rPr>
          <w:rFonts w:cs="Times New Roman"/>
          <w:szCs w:val="24"/>
        </w:rPr>
        <w:t xml:space="preserve">On the part of the </w:t>
      </w:r>
      <w:r>
        <w:rPr>
          <w:rFonts w:cs="Times New Roman"/>
          <w:szCs w:val="24"/>
        </w:rPr>
        <w:t>F</w:t>
      </w:r>
      <w:r w:rsidR="00CB3C14">
        <w:rPr>
          <w:rFonts w:cs="Times New Roman"/>
          <w:szCs w:val="24"/>
        </w:rPr>
        <w:t>SD</w:t>
      </w:r>
      <w:r w:rsidRPr="0027541D">
        <w:rPr>
          <w:rFonts w:cs="Times New Roman"/>
          <w:szCs w:val="24"/>
        </w:rPr>
        <w:t xml:space="preserve">, they argued that the </w:t>
      </w:r>
      <w:r w:rsidR="00AE5F81">
        <w:rPr>
          <w:rFonts w:cs="Times New Roman"/>
          <w:szCs w:val="24"/>
        </w:rPr>
        <w:t xml:space="preserve">community </w:t>
      </w:r>
      <w:r w:rsidRPr="0027541D">
        <w:rPr>
          <w:rFonts w:cs="Times New Roman"/>
          <w:szCs w:val="24"/>
        </w:rPr>
        <w:t>people sometimes d</w:t>
      </w:r>
      <w:r w:rsidR="00AE5F81">
        <w:rPr>
          <w:rFonts w:cs="Times New Roman"/>
          <w:szCs w:val="24"/>
        </w:rPr>
        <w:t>o</w:t>
      </w:r>
      <w:r w:rsidRPr="0027541D">
        <w:rPr>
          <w:rFonts w:cs="Times New Roman"/>
          <w:szCs w:val="24"/>
        </w:rPr>
        <w:t xml:space="preserve"> not plant the seedlings </w:t>
      </w:r>
      <w:r>
        <w:rPr>
          <w:rFonts w:cs="Times New Roman"/>
          <w:szCs w:val="24"/>
        </w:rPr>
        <w:t xml:space="preserve">based on </w:t>
      </w:r>
      <w:r w:rsidRPr="0027541D">
        <w:rPr>
          <w:rFonts w:cs="Times New Roman"/>
          <w:szCs w:val="24"/>
        </w:rPr>
        <w:t xml:space="preserve">the </w:t>
      </w:r>
      <w:r>
        <w:rPr>
          <w:rFonts w:cs="Times New Roman"/>
          <w:szCs w:val="24"/>
        </w:rPr>
        <w:t>correc</w:t>
      </w:r>
      <w:r w:rsidRPr="0027541D">
        <w:rPr>
          <w:rFonts w:cs="Times New Roman"/>
          <w:szCs w:val="24"/>
        </w:rPr>
        <w:t>t specifications because they were aware that within two years</w:t>
      </w:r>
      <w:r>
        <w:rPr>
          <w:rFonts w:cs="Times New Roman"/>
          <w:szCs w:val="24"/>
        </w:rPr>
        <w:t>,</w:t>
      </w:r>
      <w:r w:rsidRPr="0027541D">
        <w:rPr>
          <w:rFonts w:cs="Times New Roman"/>
          <w:szCs w:val="24"/>
        </w:rPr>
        <w:t xml:space="preserve"> the seedlings w</w:t>
      </w:r>
      <w:r>
        <w:rPr>
          <w:rFonts w:cs="Times New Roman"/>
          <w:szCs w:val="24"/>
        </w:rPr>
        <w:t>ould</w:t>
      </w:r>
      <w:r w:rsidRPr="0027541D">
        <w:rPr>
          <w:rFonts w:cs="Times New Roman"/>
          <w:szCs w:val="24"/>
        </w:rPr>
        <w:t xml:space="preserve"> mature, i.e., the trees </w:t>
      </w:r>
      <w:r w:rsidRPr="0027541D">
        <w:rPr>
          <w:rFonts w:cs="Times New Roman"/>
          <w:szCs w:val="24"/>
        </w:rPr>
        <w:lastRenderedPageBreak/>
        <w:t>w</w:t>
      </w:r>
      <w:r>
        <w:rPr>
          <w:rFonts w:cs="Times New Roman"/>
          <w:szCs w:val="24"/>
        </w:rPr>
        <w:t>ould</w:t>
      </w:r>
      <w:r w:rsidRPr="0027541D">
        <w:rPr>
          <w:rFonts w:cs="Times New Roman"/>
          <w:szCs w:val="24"/>
        </w:rPr>
        <w:t xml:space="preserve"> grow, and they w</w:t>
      </w:r>
      <w:r>
        <w:rPr>
          <w:rFonts w:cs="Times New Roman"/>
          <w:szCs w:val="24"/>
        </w:rPr>
        <w:t>ould</w:t>
      </w:r>
      <w:r w:rsidRPr="0027541D">
        <w:rPr>
          <w:rFonts w:cs="Times New Roman"/>
          <w:szCs w:val="24"/>
        </w:rPr>
        <w:t xml:space="preserve"> need to vacate the premise or that farmland. </w:t>
      </w:r>
      <w:r w:rsidR="00AE5F81">
        <w:rPr>
          <w:rFonts w:cs="Times New Roman"/>
          <w:szCs w:val="24"/>
        </w:rPr>
        <w:t>The FSD maintained that</w:t>
      </w:r>
      <w:r>
        <w:rPr>
          <w:rFonts w:cs="Times New Roman"/>
          <w:szCs w:val="24"/>
        </w:rPr>
        <w:t xml:space="preserve"> farmers</w:t>
      </w:r>
      <w:r w:rsidRPr="0027541D">
        <w:rPr>
          <w:rFonts w:cs="Times New Roman"/>
          <w:szCs w:val="24"/>
        </w:rPr>
        <w:t xml:space="preserve"> were expected to plant within 3</w:t>
      </w:r>
      <w:r w:rsidR="00AE5F81">
        <w:rPr>
          <w:rFonts w:cs="Times New Roman"/>
          <w:szCs w:val="24"/>
        </w:rPr>
        <w:t>-metre</w:t>
      </w:r>
      <w:r w:rsidRPr="0027541D">
        <w:rPr>
          <w:rFonts w:cs="Times New Roman"/>
          <w:szCs w:val="24"/>
        </w:rPr>
        <w:t xml:space="preserve"> interval</w:t>
      </w:r>
      <w:r>
        <w:rPr>
          <w:rFonts w:cs="Times New Roman"/>
          <w:szCs w:val="24"/>
        </w:rPr>
        <w:t>s</w:t>
      </w:r>
      <w:r w:rsidRPr="002A74D9">
        <w:rPr>
          <w:rFonts w:cs="Times New Roman"/>
          <w:szCs w:val="24"/>
        </w:rPr>
        <w:t xml:space="preserve"> </w:t>
      </w:r>
      <w:r>
        <w:rPr>
          <w:rFonts w:cs="Times New Roman"/>
          <w:szCs w:val="24"/>
        </w:rPr>
        <w:t>when plant</w:t>
      </w:r>
      <w:r w:rsidRPr="0027541D">
        <w:rPr>
          <w:rFonts w:cs="Times New Roman"/>
          <w:szCs w:val="24"/>
        </w:rPr>
        <w:t>ing the seedlings</w:t>
      </w:r>
      <w:r>
        <w:rPr>
          <w:rFonts w:cs="Times New Roman"/>
          <w:szCs w:val="24"/>
        </w:rPr>
        <w:t>, but they did it a</w:t>
      </w:r>
      <w:r w:rsidRPr="0027541D">
        <w:rPr>
          <w:rFonts w:cs="Times New Roman"/>
          <w:szCs w:val="24"/>
        </w:rPr>
        <w:t xml:space="preserve">t </w:t>
      </w:r>
      <w:r>
        <w:rPr>
          <w:rFonts w:cs="Times New Roman"/>
          <w:szCs w:val="24"/>
        </w:rPr>
        <w:t>six</w:t>
      </w:r>
      <w:r w:rsidRPr="0027541D">
        <w:rPr>
          <w:rFonts w:cs="Times New Roman"/>
          <w:szCs w:val="24"/>
        </w:rPr>
        <w:t xml:space="preserve"> metres </w:t>
      </w:r>
      <w:r>
        <w:rPr>
          <w:rFonts w:cs="Times New Roman"/>
          <w:szCs w:val="24"/>
        </w:rPr>
        <w:t>to</w:t>
      </w:r>
      <w:r w:rsidRPr="0027541D">
        <w:rPr>
          <w:rFonts w:cs="Times New Roman"/>
          <w:szCs w:val="24"/>
        </w:rPr>
        <w:t xml:space="preserve"> get enough space for their crops</w:t>
      </w:r>
      <w:r w:rsidR="00AE5F81">
        <w:rPr>
          <w:rFonts w:cs="Times New Roman"/>
          <w:szCs w:val="24"/>
        </w:rPr>
        <w:t xml:space="preserve"> because, a</w:t>
      </w:r>
      <w:r w:rsidRPr="0027541D">
        <w:rPr>
          <w:rFonts w:cs="Times New Roman"/>
          <w:szCs w:val="24"/>
        </w:rPr>
        <w:t xml:space="preserve">t 3 metres, the trees would </w:t>
      </w:r>
      <w:r>
        <w:rPr>
          <w:rFonts w:cs="Times New Roman"/>
          <w:szCs w:val="24"/>
        </w:rPr>
        <w:t>cover</w:t>
      </w:r>
      <w:r w:rsidRPr="0027541D">
        <w:rPr>
          <w:rFonts w:cs="Times New Roman"/>
          <w:szCs w:val="24"/>
        </w:rPr>
        <w:t xml:space="preserve"> the </w:t>
      </w:r>
      <w:proofErr w:type="gramStart"/>
      <w:r w:rsidRPr="0027541D">
        <w:rPr>
          <w:rFonts w:cs="Times New Roman"/>
          <w:szCs w:val="24"/>
        </w:rPr>
        <w:t>crops</w:t>
      </w:r>
      <w:proofErr w:type="gramEnd"/>
      <w:r w:rsidR="00AE5F81">
        <w:rPr>
          <w:rFonts w:cs="Times New Roman"/>
          <w:szCs w:val="24"/>
        </w:rPr>
        <w:t xml:space="preserve"> and these farmers would have to vacate the land</w:t>
      </w:r>
      <w:r w:rsidRPr="0027541D">
        <w:rPr>
          <w:rFonts w:cs="Times New Roman"/>
          <w:szCs w:val="24"/>
        </w:rPr>
        <w:t xml:space="preserve">. </w:t>
      </w:r>
    </w:p>
    <w:p w14:paraId="4DC16CFC" w14:textId="2637F499" w:rsidR="001B0ACF" w:rsidRDefault="001B0ACF" w:rsidP="001B0ACF">
      <w:pPr>
        <w:ind w:left="0" w:firstLine="0"/>
      </w:pPr>
      <w:r>
        <w:rPr>
          <w:rFonts w:cs="Times New Roman"/>
          <w:szCs w:val="24"/>
        </w:rPr>
        <w:tab/>
      </w:r>
      <w:r w:rsidRPr="0027541D">
        <w:rPr>
          <w:rFonts w:cs="Times New Roman"/>
          <w:szCs w:val="24"/>
        </w:rPr>
        <w:t xml:space="preserve">In another instance, </w:t>
      </w:r>
      <w:r>
        <w:rPr>
          <w:rFonts w:cs="Times New Roman"/>
          <w:szCs w:val="24"/>
        </w:rPr>
        <w:t>in places where community members knew they were not permitted to clear, they ende</w:t>
      </w:r>
      <w:r w:rsidRPr="0027541D">
        <w:rPr>
          <w:rFonts w:cs="Times New Roman"/>
          <w:szCs w:val="24"/>
        </w:rPr>
        <w:t xml:space="preserve">d up clearing. </w:t>
      </w:r>
      <w:r>
        <w:rPr>
          <w:rFonts w:cs="Times New Roman"/>
          <w:szCs w:val="24"/>
        </w:rPr>
        <w:t>Due to</w:t>
      </w:r>
      <w:r w:rsidRPr="0027541D">
        <w:rPr>
          <w:rFonts w:cs="Times New Roman"/>
          <w:szCs w:val="24"/>
        </w:rPr>
        <w:t xml:space="preserve"> the different months allocated to different communities, </w:t>
      </w:r>
      <w:r>
        <w:rPr>
          <w:rFonts w:cs="Times New Roman"/>
          <w:szCs w:val="24"/>
        </w:rPr>
        <w:t>some community members cleared portions not yet released to them before the forest guards returned</w:t>
      </w:r>
      <w:r w:rsidRPr="0027541D">
        <w:rPr>
          <w:rFonts w:cs="Times New Roman"/>
          <w:szCs w:val="24"/>
        </w:rPr>
        <w:t xml:space="preserve">. The communities did not adhere to the </w:t>
      </w:r>
      <w:r w:rsidR="00AE5F81">
        <w:rPr>
          <w:rFonts w:cs="Times New Roman"/>
          <w:szCs w:val="24"/>
        </w:rPr>
        <w:t>non-clearing agreement</w:t>
      </w:r>
      <w:r w:rsidRPr="0027541D">
        <w:rPr>
          <w:rFonts w:cs="Times New Roman"/>
          <w:szCs w:val="24"/>
        </w:rPr>
        <w:t>.</w:t>
      </w:r>
      <w:r>
        <w:rPr>
          <w:rFonts w:cs="Times New Roman"/>
          <w:szCs w:val="24"/>
        </w:rPr>
        <w:t xml:space="preserve"> This outcome was consistent with that reported by Larson et al. (2022). Larson et al. revealed that issues such as trust led to tenuous relationships between community members and forestry workers in forest management in Kenya. In addition, </w:t>
      </w:r>
      <w:proofErr w:type="spellStart"/>
      <w:r w:rsidRPr="005327A7">
        <w:t>Beretti</w:t>
      </w:r>
      <w:proofErr w:type="spellEnd"/>
      <w:r w:rsidRPr="005327A7">
        <w:t xml:space="preserve"> (2009)</w:t>
      </w:r>
      <w:r>
        <w:t xml:space="preserve"> and </w:t>
      </w:r>
      <w:r w:rsidRPr="005327A7">
        <w:t>Fennell (2009)</w:t>
      </w:r>
      <w:r>
        <w:t xml:space="preserve"> </w:t>
      </w:r>
      <w:r w:rsidRPr="005327A7">
        <w:t>highlighted a significant obstacle in the co-management of forest resources, involving the failure of local/native communities to adhere to regulations for safeguarding forests</w:t>
      </w:r>
      <w:r>
        <w:t xml:space="preserve">. </w:t>
      </w:r>
    </w:p>
    <w:bookmarkEnd w:id="354"/>
    <w:p w14:paraId="107EE5E7" w14:textId="77777777" w:rsidR="00E21C1D" w:rsidRDefault="00E21C1D" w:rsidP="00772DAC">
      <w:pPr>
        <w:pStyle w:val="BodyText"/>
        <w:ind w:left="0" w:firstLine="0"/>
      </w:pPr>
    </w:p>
    <w:p w14:paraId="0041AA0B" w14:textId="77777777" w:rsidR="0058594F" w:rsidRDefault="0058594F" w:rsidP="00FB0B90">
      <w:pPr>
        <w:pStyle w:val="Heading1"/>
        <w:spacing w:before="0"/>
        <w:ind w:left="0"/>
      </w:pPr>
    </w:p>
    <w:p w14:paraId="4989CACE" w14:textId="77777777" w:rsidR="0058594F" w:rsidRPr="0058594F" w:rsidRDefault="0058594F" w:rsidP="0058594F"/>
    <w:p w14:paraId="663996F8" w14:textId="77777777" w:rsidR="008E50C0" w:rsidRDefault="008E50C0" w:rsidP="008E50C0"/>
    <w:p w14:paraId="4A6191E4" w14:textId="77777777" w:rsidR="008E50C0" w:rsidRDefault="008E50C0" w:rsidP="008E50C0"/>
    <w:p w14:paraId="16381F3E" w14:textId="307510C4" w:rsidR="00E21C1D" w:rsidRPr="00D123C4" w:rsidRDefault="00E21C1D" w:rsidP="00D123C4">
      <w:pPr>
        <w:pStyle w:val="Heading1"/>
        <w:spacing w:before="0"/>
        <w:ind w:left="0"/>
      </w:pPr>
      <w:bookmarkStart w:id="355" w:name="_Toc202197679"/>
      <w:r w:rsidRPr="00D123C4">
        <w:lastRenderedPageBreak/>
        <w:t xml:space="preserve">Chapter </w:t>
      </w:r>
      <w:r w:rsidR="004134B1">
        <w:t>SEVEN</w:t>
      </w:r>
      <w:bookmarkEnd w:id="355"/>
    </w:p>
    <w:p w14:paraId="02133876" w14:textId="77777777" w:rsidR="00E21C1D" w:rsidRDefault="00E21C1D" w:rsidP="00D123C4">
      <w:pPr>
        <w:pStyle w:val="Heading1"/>
        <w:spacing w:before="0"/>
        <w:ind w:left="0"/>
      </w:pPr>
      <w:bookmarkStart w:id="356" w:name="_Toc161750363"/>
      <w:bookmarkStart w:id="357" w:name="_Toc202197680"/>
      <w:r w:rsidRPr="00D123C4">
        <w:t xml:space="preserve">Levels of community participation in the </w:t>
      </w:r>
      <w:r w:rsidR="00465E6F" w:rsidRPr="00D123C4">
        <w:t>management</w:t>
      </w:r>
      <w:r w:rsidRPr="00D123C4">
        <w:t xml:space="preserve"> process at the Bobiri and southern scarp forest reserve</w:t>
      </w:r>
      <w:r>
        <w:t>.</w:t>
      </w:r>
      <w:bookmarkEnd w:id="356"/>
      <w:bookmarkEnd w:id="357"/>
    </w:p>
    <w:p w14:paraId="3669BD6A" w14:textId="77777777" w:rsidR="00E21C1D" w:rsidRDefault="00E21C1D" w:rsidP="00772DAC">
      <w:pPr>
        <w:pStyle w:val="Heading2"/>
        <w:ind w:left="0"/>
      </w:pPr>
      <w:bookmarkStart w:id="358" w:name="_Toc202197681"/>
      <w:r>
        <w:t>Introduction</w:t>
      </w:r>
      <w:bookmarkEnd w:id="358"/>
    </w:p>
    <w:p w14:paraId="11946E58" w14:textId="5C047965" w:rsidR="008E50C0" w:rsidRPr="00597CE0" w:rsidRDefault="000C7EC5" w:rsidP="008E50C0">
      <w:pPr>
        <w:spacing w:after="0"/>
        <w:ind w:left="0" w:firstLine="0"/>
      </w:pPr>
      <w:r>
        <w:tab/>
      </w:r>
      <w:bookmarkStart w:id="359" w:name="_Hlk165319192"/>
      <w:bookmarkStart w:id="360" w:name="_Hlk164725683"/>
      <w:r w:rsidR="008E50C0">
        <w:t>One of the central tenets of th</w:t>
      </w:r>
      <w:r w:rsidR="00AE5F81">
        <w:t>e central tenets of the 2012 forestry and wildlife policy</w:t>
      </w:r>
      <w:r w:rsidR="008E50C0">
        <w:t xml:space="preserve"> </w:t>
      </w:r>
      <w:r w:rsidR="00AE5F81">
        <w:t>was</w:t>
      </w:r>
      <w:r w:rsidR="008E50C0">
        <w:t xml:space="preserve"> to increase community involvement in sustainable forest and woodland management. In the short-term i.e., 2016-20</w:t>
      </w:r>
      <w:r w:rsidR="0032741E">
        <w:t>20</w:t>
      </w:r>
      <w:r w:rsidR="008E50C0">
        <w:t>, the policy intended to ensure a more active participation of various stakeholders in the forestry sector, especially local communities.</w:t>
      </w:r>
      <w:bookmarkEnd w:id="359"/>
      <w:r w:rsidR="008E50C0">
        <w:t xml:space="preserve"> </w:t>
      </w:r>
      <w:r w:rsidR="000E68E6" w:rsidRPr="000E68E6">
        <w:t>Furthermore, the policy aimed to advance and establish methods for clear governance, fair distribution of resources including forests, wildlife, and wood fuel, and productive involvement of forest forums and other pertinent platforms in governing forest and savannah woodland areas.</w:t>
      </w:r>
    </w:p>
    <w:p w14:paraId="0659E07E" w14:textId="51D12AC0" w:rsidR="008E50C0" w:rsidRDefault="008E50C0" w:rsidP="008E50C0">
      <w:pPr>
        <w:ind w:left="0" w:firstLine="0"/>
      </w:pPr>
      <w:r>
        <w:tab/>
      </w:r>
      <w:bookmarkStart w:id="361" w:name="_Hlk165319297"/>
      <w:r>
        <w:t>In connection with the FDMP (2016-2036), this chapter measured the levels of community participation in the management process. As discussed in the methodology, the measurement of the levels of participation was based on the communities’ level of access to the management process, their awareness of the management process, the level of control they c</w:t>
      </w:r>
      <w:r w:rsidR="00AE5F81">
        <w:t>ould</w:t>
      </w:r>
      <w:r>
        <w:t xml:space="preserve"> exercise in the management, and the level of benefit they derive</w:t>
      </w:r>
      <w:r w:rsidR="00AE5F81">
        <w:t>d</w:t>
      </w:r>
      <w:r>
        <w:t xml:space="preserve"> from the management process. Residents’ level of engagement in these four components would ensure that the management process was accountable, equitable, efficient, and that decisions made were legitimate. </w:t>
      </w:r>
      <w:bookmarkEnd w:id="361"/>
      <w:r>
        <w:t xml:space="preserve">These elements were critical for achieving sustainable community forestry, as revealed in the conceptual framework. </w:t>
      </w:r>
    </w:p>
    <w:p w14:paraId="4105EFEE" w14:textId="77777777" w:rsidR="008E50C0" w:rsidRDefault="008E50C0" w:rsidP="008E50C0">
      <w:pPr>
        <w:pStyle w:val="Heading2"/>
        <w:ind w:left="0"/>
      </w:pPr>
      <w:bookmarkStart w:id="362" w:name="_Toc202197682"/>
      <w:r>
        <w:lastRenderedPageBreak/>
        <w:t>Access</w:t>
      </w:r>
      <w:bookmarkEnd w:id="362"/>
      <w:r>
        <w:t xml:space="preserve"> </w:t>
      </w:r>
    </w:p>
    <w:p w14:paraId="6ECAFDE2" w14:textId="3459BAD3" w:rsidR="00E21C1D" w:rsidRDefault="008E50C0" w:rsidP="00707164">
      <w:pPr>
        <w:ind w:left="0"/>
      </w:pPr>
      <w:r>
        <w:t>The study began by measuring the accessibility of the management process to the residents of Bobiri. The access criteria comprised eight questions: the opportunity to engage, an invitation to engage, being informed about the opportunity to engage, the opportunity to speak, the opportunity to advise, the opportunity to negotiate, having a role in decision making, and the opportunity to decide. For residents to have access to the management process, they must answer yes to all eight questions. Overall, 10 per cent of the residents in the study area had access to engagements within the management process.</w:t>
      </w:r>
      <w:r w:rsidR="00E21C1D">
        <w:t xml:space="preserve"> The result for BFR is presented in Figure </w:t>
      </w:r>
      <w:r w:rsidR="00C542D2">
        <w:t>9</w:t>
      </w:r>
      <w:r w:rsidR="00E21C1D">
        <w:t>.</w:t>
      </w:r>
    </w:p>
    <w:p w14:paraId="7C7AC773" w14:textId="77777777" w:rsidR="00E21C1D" w:rsidRDefault="00E21C1D" w:rsidP="00772DAC">
      <w:pPr>
        <w:autoSpaceDE w:val="0"/>
        <w:autoSpaceDN w:val="0"/>
        <w:adjustRightInd w:val="0"/>
        <w:spacing w:after="0" w:line="240" w:lineRule="auto"/>
        <w:ind w:left="0" w:firstLine="0"/>
        <w:rPr>
          <w:rFonts w:cs="Times New Roman"/>
          <w:szCs w:val="24"/>
        </w:rPr>
      </w:pPr>
      <w:r>
        <w:rPr>
          <w:rFonts w:cs="Times New Roman"/>
          <w:noProof/>
          <w:szCs w:val="24"/>
          <w:lang w:val="en-US"/>
        </w:rPr>
        <w:drawing>
          <wp:inline distT="0" distB="0" distL="0" distR="0" wp14:anchorId="44820935" wp14:editId="0F762B53">
            <wp:extent cx="4745421" cy="3005800"/>
            <wp:effectExtent l="0" t="0" r="0" b="4445"/>
            <wp:docPr id="12767675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a:extLst>
                        <a:ext uri="{28A0092B-C50C-407E-A947-70E740481C1C}">
                          <a14:useLocalDpi xmlns:a14="http://schemas.microsoft.com/office/drawing/2010/main" val="0"/>
                        </a:ext>
                      </a:extLst>
                    </a:blip>
                    <a:srcRect t="10765"/>
                    <a:stretch/>
                  </pic:blipFill>
                  <pic:spPr bwMode="auto">
                    <a:xfrm>
                      <a:off x="0" y="0"/>
                      <a:ext cx="4752196" cy="3010091"/>
                    </a:xfrm>
                    <a:prstGeom prst="rect">
                      <a:avLst/>
                    </a:prstGeom>
                    <a:noFill/>
                    <a:ln>
                      <a:noFill/>
                    </a:ln>
                    <a:extLst>
                      <a:ext uri="{53640926-AAD7-44D8-BBD7-CCE9431645EC}">
                        <a14:shadowObscured xmlns:a14="http://schemas.microsoft.com/office/drawing/2010/main"/>
                      </a:ext>
                    </a:extLst>
                  </pic:spPr>
                </pic:pic>
              </a:graphicData>
            </a:graphic>
          </wp:inline>
        </w:drawing>
      </w:r>
    </w:p>
    <w:p w14:paraId="0D428CD4" w14:textId="4465FB22" w:rsidR="00E21C1D" w:rsidRPr="00E73A56" w:rsidRDefault="006776BD" w:rsidP="00FC0A3C">
      <w:pPr>
        <w:pStyle w:val="Heading3"/>
        <w:ind w:left="0" w:firstLine="0"/>
        <w:rPr>
          <w:rFonts w:cs="Times New Roman"/>
          <w:b/>
        </w:rPr>
      </w:pPr>
      <w:bookmarkStart w:id="363" w:name="_Toc155175917"/>
      <w:bookmarkStart w:id="364" w:name="_Toc161750366"/>
      <w:bookmarkStart w:id="365" w:name="_Toc163254039"/>
      <w:bookmarkStart w:id="366" w:name="_Toc172102417"/>
      <w:bookmarkStart w:id="367" w:name="_Toc197068861"/>
      <w:bookmarkStart w:id="368" w:name="_Toc199164972"/>
      <w:bookmarkStart w:id="369" w:name="_Toc202196567"/>
      <w:bookmarkStart w:id="370" w:name="_Toc202197683"/>
      <w:r>
        <w:rPr>
          <w:rStyle w:val="Heading3Char"/>
          <w:b/>
          <w:i/>
        </w:rPr>
        <w:t xml:space="preserve">Figure </w:t>
      </w:r>
      <w:r w:rsidR="007A6B2B">
        <w:rPr>
          <w:rStyle w:val="Heading3Char"/>
          <w:b/>
          <w:i/>
        </w:rPr>
        <w:t>10</w:t>
      </w:r>
      <w:r w:rsidR="00E21C1D" w:rsidRPr="00E73A56">
        <w:rPr>
          <w:rStyle w:val="Heading3Char"/>
          <w:b/>
        </w:rPr>
        <w:t xml:space="preserve">: Residents’ </w:t>
      </w:r>
      <w:r w:rsidR="00E73A56" w:rsidRPr="00E73A56">
        <w:rPr>
          <w:rStyle w:val="Heading3Char"/>
          <w:b/>
        </w:rPr>
        <w:t xml:space="preserve">Access to the Management Process </w:t>
      </w:r>
      <w:r w:rsidR="00E21C1D" w:rsidRPr="00E73A56">
        <w:rPr>
          <w:rStyle w:val="Heading3Char"/>
          <w:b/>
        </w:rPr>
        <w:t>at the Bobiri Forest Reserve</w:t>
      </w:r>
      <w:bookmarkEnd w:id="363"/>
      <w:r w:rsidR="00E21C1D" w:rsidRPr="00E73A56">
        <w:rPr>
          <w:rFonts w:cs="Times New Roman"/>
          <w:b/>
        </w:rPr>
        <w:t>.</w:t>
      </w:r>
      <w:bookmarkEnd w:id="364"/>
      <w:bookmarkEnd w:id="365"/>
      <w:bookmarkEnd w:id="366"/>
      <w:bookmarkEnd w:id="367"/>
      <w:bookmarkEnd w:id="368"/>
      <w:bookmarkEnd w:id="369"/>
      <w:bookmarkEnd w:id="370"/>
    </w:p>
    <w:p w14:paraId="1273FA4B" w14:textId="0211106C" w:rsidR="000C7EC5" w:rsidRDefault="00E21C1D" w:rsidP="00524689">
      <w:pPr>
        <w:autoSpaceDE w:val="0"/>
        <w:autoSpaceDN w:val="0"/>
        <w:adjustRightInd w:val="0"/>
        <w:spacing w:after="0" w:line="240" w:lineRule="auto"/>
        <w:ind w:left="0" w:firstLine="0"/>
        <w:rPr>
          <w:rFonts w:cs="Times New Roman"/>
          <w:szCs w:val="24"/>
        </w:rPr>
      </w:pPr>
      <w:r>
        <w:rPr>
          <w:rFonts w:cs="Times New Roman"/>
          <w:szCs w:val="24"/>
        </w:rPr>
        <w:t>Source: Field</w:t>
      </w:r>
      <w:r w:rsidR="00817537">
        <w:rPr>
          <w:rFonts w:cs="Times New Roman"/>
          <w:szCs w:val="24"/>
        </w:rPr>
        <w:t>work</w:t>
      </w:r>
      <w:r w:rsidR="00524689">
        <w:rPr>
          <w:rFonts w:cs="Times New Roman"/>
          <w:szCs w:val="24"/>
        </w:rPr>
        <w:t xml:space="preserve"> (2024).</w:t>
      </w:r>
    </w:p>
    <w:p w14:paraId="63AFAF7D" w14:textId="77777777" w:rsidR="00524689" w:rsidRPr="00524689" w:rsidRDefault="00524689" w:rsidP="00524689">
      <w:pPr>
        <w:pStyle w:val="BodyText"/>
        <w:rPr>
          <w:sz w:val="12"/>
        </w:rPr>
      </w:pPr>
    </w:p>
    <w:p w14:paraId="0655D036" w14:textId="59E25632" w:rsidR="00B101DF" w:rsidRDefault="000C7EC5" w:rsidP="00B101DF">
      <w:pPr>
        <w:spacing w:after="0"/>
        <w:ind w:left="0" w:firstLine="0"/>
      </w:pPr>
      <w:r>
        <w:tab/>
      </w:r>
      <w:r w:rsidR="00B101DF">
        <w:t xml:space="preserve">Figure </w:t>
      </w:r>
      <w:r w:rsidR="007A6B2B">
        <w:t>10</w:t>
      </w:r>
      <w:r w:rsidR="00B101DF">
        <w:t xml:space="preserve"> shows that 32.39 per cent of the residents had opportunities to engage, were invited to engage, and were informed about the opportunity to engage. In comparison, approximately 1.41 per cent of the residents had the </w:t>
      </w:r>
      <w:r w:rsidR="00B101DF">
        <w:lastRenderedPageBreak/>
        <w:t xml:space="preserve">opportunity to speak and provide advice. More residents around the Bobiri Forest Reserve had opportunities and invitations and were informed to engage due to the presence of community information centres. A community member </w:t>
      </w:r>
      <w:r w:rsidR="00196A5C">
        <w:t>at Bobiri</w:t>
      </w:r>
      <w:r w:rsidR="00B101DF">
        <w:t xml:space="preserve"> revealed the following:</w:t>
      </w:r>
    </w:p>
    <w:p w14:paraId="25216D9A" w14:textId="5CD6384B" w:rsidR="00B101DF" w:rsidRPr="00DA30AB" w:rsidRDefault="00B101DF" w:rsidP="00B101DF">
      <w:pPr>
        <w:autoSpaceDE w:val="0"/>
        <w:autoSpaceDN w:val="0"/>
        <w:adjustRightInd w:val="0"/>
        <w:spacing w:after="0"/>
        <w:ind w:left="1260" w:right="566" w:firstLine="0"/>
        <w:rPr>
          <w:rFonts w:cs="Times New Roman"/>
          <w:i/>
          <w:iCs/>
          <w:szCs w:val="24"/>
        </w:rPr>
      </w:pPr>
      <w:r w:rsidRPr="00DA30AB">
        <w:rPr>
          <w:rFonts w:cs="Times New Roman"/>
          <w:i/>
          <w:iCs/>
          <w:szCs w:val="24"/>
        </w:rPr>
        <w:t xml:space="preserve">I usually hear announcements of meetings between the </w:t>
      </w:r>
      <w:r>
        <w:rPr>
          <w:rFonts w:cs="Times New Roman"/>
          <w:i/>
          <w:iCs/>
          <w:szCs w:val="24"/>
        </w:rPr>
        <w:t>FSD</w:t>
      </w:r>
      <w:r w:rsidRPr="00DA30AB">
        <w:rPr>
          <w:rFonts w:cs="Times New Roman"/>
          <w:i/>
          <w:iCs/>
          <w:szCs w:val="24"/>
        </w:rPr>
        <w:t xml:space="preserve"> and the D</w:t>
      </w:r>
      <w:r>
        <w:rPr>
          <w:rFonts w:cs="Times New Roman"/>
          <w:i/>
          <w:iCs/>
          <w:szCs w:val="24"/>
        </w:rPr>
        <w:t>.</w:t>
      </w:r>
      <w:r w:rsidRPr="00DA30AB">
        <w:rPr>
          <w:rFonts w:cs="Times New Roman"/>
          <w:i/>
          <w:iCs/>
          <w:szCs w:val="24"/>
        </w:rPr>
        <w:t>A</w:t>
      </w:r>
      <w:r>
        <w:rPr>
          <w:rFonts w:cs="Times New Roman"/>
          <w:i/>
          <w:iCs/>
          <w:szCs w:val="24"/>
        </w:rPr>
        <w:t>.</w:t>
      </w:r>
      <w:r w:rsidRPr="00DA30AB">
        <w:rPr>
          <w:rFonts w:cs="Times New Roman"/>
          <w:i/>
          <w:iCs/>
          <w:szCs w:val="24"/>
        </w:rPr>
        <w:t xml:space="preserve"> representatives and</w:t>
      </w:r>
      <w:r>
        <w:rPr>
          <w:rFonts w:cs="Times New Roman"/>
          <w:i/>
          <w:iCs/>
          <w:szCs w:val="24"/>
        </w:rPr>
        <w:t>,</w:t>
      </w:r>
      <w:r w:rsidRPr="00DA30AB">
        <w:rPr>
          <w:rFonts w:cs="Times New Roman"/>
          <w:i/>
          <w:iCs/>
          <w:szCs w:val="24"/>
        </w:rPr>
        <w:t xml:space="preserve"> recently</w:t>
      </w:r>
      <w:r>
        <w:rPr>
          <w:rFonts w:cs="Times New Roman"/>
          <w:i/>
          <w:iCs/>
          <w:szCs w:val="24"/>
        </w:rPr>
        <w:t>,</w:t>
      </w:r>
      <w:r w:rsidRPr="00DA30AB">
        <w:rPr>
          <w:rFonts w:cs="Times New Roman"/>
          <w:i/>
          <w:iCs/>
          <w:szCs w:val="24"/>
        </w:rPr>
        <w:t xml:space="preserve"> the traditional authority</w:t>
      </w:r>
      <w:r>
        <w:rPr>
          <w:rFonts w:cs="Times New Roman"/>
          <w:i/>
          <w:iCs/>
          <w:szCs w:val="24"/>
        </w:rPr>
        <w:t>. However,</w:t>
      </w:r>
      <w:r w:rsidRPr="00DA30AB">
        <w:rPr>
          <w:rFonts w:cs="Times New Roman"/>
          <w:i/>
          <w:iCs/>
          <w:szCs w:val="24"/>
        </w:rPr>
        <w:t xml:space="preserve"> </w:t>
      </w:r>
      <w:r>
        <w:rPr>
          <w:rFonts w:cs="Times New Roman"/>
          <w:i/>
          <w:iCs/>
          <w:szCs w:val="24"/>
        </w:rPr>
        <w:t>I did not attend the meetings because I was not a member</w:t>
      </w:r>
      <w:r w:rsidR="00196A5C">
        <w:rPr>
          <w:rFonts w:cs="Times New Roman"/>
          <w:i/>
          <w:iCs/>
          <w:szCs w:val="24"/>
        </w:rPr>
        <w:t xml:space="preserve"> (community member</w:t>
      </w:r>
      <w:r w:rsidR="00817537">
        <w:rPr>
          <w:rFonts w:cs="Times New Roman"/>
          <w:i/>
          <w:iCs/>
          <w:szCs w:val="24"/>
        </w:rPr>
        <w:t xml:space="preserve"> at the BFR</w:t>
      </w:r>
      <w:r w:rsidR="00196A5C">
        <w:rPr>
          <w:rFonts w:cs="Times New Roman"/>
          <w:i/>
          <w:iCs/>
          <w:szCs w:val="24"/>
        </w:rPr>
        <w:t>, 23</w:t>
      </w:r>
      <w:r w:rsidR="00196A5C" w:rsidRPr="00196A5C">
        <w:rPr>
          <w:rFonts w:cs="Times New Roman"/>
          <w:i/>
          <w:iCs/>
          <w:szCs w:val="24"/>
          <w:vertAlign w:val="superscript"/>
        </w:rPr>
        <w:t>rd</w:t>
      </w:r>
      <w:r w:rsidR="00196A5C">
        <w:rPr>
          <w:rFonts w:cs="Times New Roman"/>
          <w:i/>
          <w:iCs/>
          <w:szCs w:val="24"/>
        </w:rPr>
        <w:t xml:space="preserve"> February 2024)</w:t>
      </w:r>
      <w:r w:rsidRPr="00DA30AB">
        <w:rPr>
          <w:rFonts w:cs="Times New Roman"/>
          <w:i/>
          <w:iCs/>
          <w:szCs w:val="24"/>
        </w:rPr>
        <w:t>.</w:t>
      </w:r>
    </w:p>
    <w:p w14:paraId="0E767973" w14:textId="77777777" w:rsidR="00B101DF" w:rsidRPr="000C7EC5" w:rsidRDefault="00B101DF" w:rsidP="00B101DF">
      <w:pPr>
        <w:spacing w:after="0"/>
        <w:ind w:left="0" w:firstLine="0"/>
        <w:rPr>
          <w:sz w:val="6"/>
        </w:rPr>
      </w:pPr>
      <w:r>
        <w:t xml:space="preserve"> </w:t>
      </w:r>
    </w:p>
    <w:p w14:paraId="721DF5B5" w14:textId="47B97CF4" w:rsidR="00B101DF" w:rsidRDefault="00B101DF" w:rsidP="00B101DF">
      <w:pPr>
        <w:spacing w:after="0"/>
        <w:ind w:left="0" w:firstLine="0"/>
      </w:pPr>
      <w:r>
        <w:tab/>
        <w:t xml:space="preserve">The study revealed that residents heard announcements through community information centres. Nevertheless, most of them could not attend these meetings because they were not members of the stakeholders invited. Hence, most residents did not have the opportunity to speak, give advice, or negotiate. This was also confirmed </w:t>
      </w:r>
      <w:r w:rsidR="00BE1B8C">
        <w:t>by</w:t>
      </w:r>
      <w:r>
        <w:t xml:space="preserve"> 69 per cent</w:t>
      </w:r>
      <w:r w:rsidR="00707164">
        <w:t xml:space="preserve"> </w:t>
      </w:r>
      <w:r>
        <w:t xml:space="preserve">of the </w:t>
      </w:r>
      <w:r w:rsidR="00817537">
        <w:t>community members</w:t>
      </w:r>
      <w:r w:rsidR="00BE1B8C">
        <w:t xml:space="preserve"> who indicated that</w:t>
      </w:r>
      <w:r>
        <w:t xml:space="preserve"> they only reported to the traditional authority, D.A. representative, or the F</w:t>
      </w:r>
      <w:r w:rsidR="00BE1B8C">
        <w:t>SD</w:t>
      </w:r>
      <w:r>
        <w:t xml:space="preserve"> about illegal entries into the forest reserve.  </w:t>
      </w:r>
    </w:p>
    <w:p w14:paraId="02682528" w14:textId="647BE70F" w:rsidR="00B101DF" w:rsidRDefault="00B101DF" w:rsidP="00B101DF">
      <w:pPr>
        <w:spacing w:after="0"/>
        <w:ind w:left="0" w:firstLine="0"/>
      </w:pPr>
      <w:r>
        <w:tab/>
        <w:t xml:space="preserve">In the case of the Southern Scarp Forest Reserve, approximately 10 per cent of participants had access to engagements. Even though a little below 10 per cent of the residents had full access, a little above 15 per cent had opportunities to engage but not speak, negotiate, or decide on the outcome of the process. Participants around communities such as </w:t>
      </w:r>
      <w:proofErr w:type="spellStart"/>
      <w:r>
        <w:t>Monsie</w:t>
      </w:r>
      <w:proofErr w:type="spellEnd"/>
      <w:r>
        <w:t xml:space="preserve"> and </w:t>
      </w:r>
      <w:proofErr w:type="spellStart"/>
      <w:r>
        <w:t>Apesika</w:t>
      </w:r>
      <w:proofErr w:type="spellEnd"/>
      <w:r>
        <w:t xml:space="preserve">, who had access to the engagements, were motivated to do so because of the lack of commercial trees in their reserve portion. Key informant </w:t>
      </w:r>
      <w:r w:rsidR="00196A5C">
        <w:t>14</w:t>
      </w:r>
      <w:r>
        <w:t xml:space="preserve"> from the D. A. at the SSFR on 5</w:t>
      </w:r>
      <w:r w:rsidRPr="00FD21D6">
        <w:rPr>
          <w:vertAlign w:val="superscript"/>
        </w:rPr>
        <w:t>th</w:t>
      </w:r>
      <w:r>
        <w:t xml:space="preserve"> March 2024 noted that the portion of Southern Scarp bordering </w:t>
      </w:r>
      <w:r>
        <w:lastRenderedPageBreak/>
        <w:t xml:space="preserve">their community lacked commercial trees, so the community mostly engaged the FSD to obtain such seedlings to grow. </w:t>
      </w:r>
    </w:p>
    <w:p w14:paraId="70662181" w14:textId="507A4A95" w:rsidR="00E21C1D" w:rsidRDefault="00B101DF" w:rsidP="00B101DF">
      <w:pPr>
        <w:ind w:left="0"/>
      </w:pPr>
      <w:r>
        <w:t xml:space="preserve">Other communities, such as </w:t>
      </w:r>
      <w:proofErr w:type="spellStart"/>
      <w:r>
        <w:t>Suminakesse</w:t>
      </w:r>
      <w:proofErr w:type="spellEnd"/>
      <w:r>
        <w:t>, also participated in the process because of the fear of losing farmlands located within the reserve. This was adduced when about 15 per cent of the respondents affirmed that their participation in the process required them to keep their farmlands. The FSD, on the other hand, engaged these communities because their farms were located within the reserve and so needed their cooperation to prevent these residents from further farming in the reserve</w:t>
      </w:r>
      <w:r w:rsidR="00E21C1D">
        <w:t>. The result f</w:t>
      </w:r>
      <w:r w:rsidR="00AD7B7E">
        <w:t xml:space="preserve">or SSFR is presented in Figure </w:t>
      </w:r>
      <w:r w:rsidR="00C542D2">
        <w:t>1</w:t>
      </w:r>
      <w:r w:rsidR="007A6B2B">
        <w:t>1</w:t>
      </w:r>
      <w:r w:rsidR="00E21C1D">
        <w:t>.</w:t>
      </w:r>
    </w:p>
    <w:p w14:paraId="13C7102E" w14:textId="77777777" w:rsidR="00E21C1D" w:rsidRDefault="00E21C1D" w:rsidP="00772DAC">
      <w:pPr>
        <w:autoSpaceDE w:val="0"/>
        <w:autoSpaceDN w:val="0"/>
        <w:adjustRightInd w:val="0"/>
        <w:spacing w:after="0" w:line="240" w:lineRule="auto"/>
        <w:ind w:left="0" w:firstLine="0"/>
        <w:rPr>
          <w:rFonts w:cs="Times New Roman"/>
          <w:szCs w:val="24"/>
        </w:rPr>
      </w:pPr>
      <w:r>
        <w:rPr>
          <w:rFonts w:cs="Times New Roman"/>
          <w:noProof/>
          <w:szCs w:val="24"/>
          <w:lang w:val="en-US"/>
        </w:rPr>
        <w:drawing>
          <wp:inline distT="0" distB="0" distL="0" distR="0" wp14:anchorId="077BB18B" wp14:editId="12A8F804">
            <wp:extent cx="5309371" cy="2541905"/>
            <wp:effectExtent l="0" t="0" r="5715" b="0"/>
            <wp:docPr id="4455642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a:extLst>
                        <a:ext uri="{28A0092B-C50C-407E-A947-70E740481C1C}">
                          <a14:useLocalDpi xmlns:a14="http://schemas.microsoft.com/office/drawing/2010/main" val="0"/>
                        </a:ext>
                      </a:extLst>
                    </a:blip>
                    <a:srcRect t="11364"/>
                    <a:stretch/>
                  </pic:blipFill>
                  <pic:spPr bwMode="auto">
                    <a:xfrm>
                      <a:off x="0" y="0"/>
                      <a:ext cx="5350917" cy="2561796"/>
                    </a:xfrm>
                    <a:prstGeom prst="rect">
                      <a:avLst/>
                    </a:prstGeom>
                    <a:noFill/>
                    <a:ln>
                      <a:noFill/>
                    </a:ln>
                    <a:extLst>
                      <a:ext uri="{53640926-AAD7-44D8-BBD7-CCE9431645EC}">
                        <a14:shadowObscured xmlns:a14="http://schemas.microsoft.com/office/drawing/2010/main"/>
                      </a:ext>
                    </a:extLst>
                  </pic:spPr>
                </pic:pic>
              </a:graphicData>
            </a:graphic>
          </wp:inline>
        </w:drawing>
      </w:r>
    </w:p>
    <w:p w14:paraId="49257C5E" w14:textId="5DB235BF" w:rsidR="00FC0A3C" w:rsidRDefault="002F3041" w:rsidP="00FC0A3C">
      <w:pPr>
        <w:pStyle w:val="Heading3"/>
        <w:ind w:left="0" w:firstLine="0"/>
        <w:rPr>
          <w:rFonts w:cs="Times New Roman"/>
        </w:rPr>
      </w:pPr>
      <w:bookmarkStart w:id="371" w:name="_Toc161750367"/>
      <w:bookmarkStart w:id="372" w:name="_Toc163254040"/>
      <w:bookmarkStart w:id="373" w:name="_Toc172102418"/>
      <w:bookmarkStart w:id="374" w:name="_Toc197068862"/>
      <w:bookmarkStart w:id="375" w:name="_Toc199164973"/>
      <w:bookmarkStart w:id="376" w:name="_Toc202196568"/>
      <w:bookmarkStart w:id="377" w:name="_Toc202197684"/>
      <w:bookmarkStart w:id="378" w:name="_Toc155175918"/>
      <w:r>
        <w:rPr>
          <w:rStyle w:val="Heading3Char"/>
          <w:b/>
          <w:i/>
        </w:rPr>
        <w:t xml:space="preserve">Figure </w:t>
      </w:r>
      <w:r w:rsidR="00C542D2">
        <w:rPr>
          <w:rStyle w:val="Heading3Char"/>
          <w:b/>
          <w:i/>
        </w:rPr>
        <w:t>1</w:t>
      </w:r>
      <w:r w:rsidR="007A6B2B">
        <w:rPr>
          <w:rStyle w:val="Heading3Char"/>
          <w:b/>
          <w:i/>
        </w:rPr>
        <w:t>1</w:t>
      </w:r>
      <w:r w:rsidR="00FC0A3C" w:rsidRPr="00E73A56">
        <w:rPr>
          <w:rStyle w:val="Heading3Char"/>
          <w:b/>
        </w:rPr>
        <w:t xml:space="preserve">: Residents' </w:t>
      </w:r>
      <w:r w:rsidR="00E73A56" w:rsidRPr="00E73A56">
        <w:rPr>
          <w:rStyle w:val="Heading3Char"/>
          <w:b/>
        </w:rPr>
        <w:t>A</w:t>
      </w:r>
      <w:r w:rsidR="00FC0A3C" w:rsidRPr="00E73A56">
        <w:rPr>
          <w:rStyle w:val="Heading3Char"/>
          <w:b/>
        </w:rPr>
        <w:t xml:space="preserve">ccess to the Southern Scarp Forest Reserve </w:t>
      </w:r>
      <w:r w:rsidR="00E73A56" w:rsidRPr="00E73A56">
        <w:rPr>
          <w:rStyle w:val="Heading3Char"/>
          <w:b/>
        </w:rPr>
        <w:t>Management Process</w:t>
      </w:r>
      <w:r w:rsidR="00FC0A3C">
        <w:rPr>
          <w:rFonts w:cs="Times New Roman"/>
        </w:rPr>
        <w:t>.</w:t>
      </w:r>
      <w:bookmarkEnd w:id="371"/>
      <w:bookmarkEnd w:id="372"/>
      <w:bookmarkEnd w:id="373"/>
      <w:bookmarkEnd w:id="374"/>
      <w:bookmarkEnd w:id="375"/>
      <w:bookmarkEnd w:id="376"/>
      <w:bookmarkEnd w:id="377"/>
      <w:r w:rsidR="00FC0A3C">
        <w:rPr>
          <w:rFonts w:cs="Times New Roman"/>
        </w:rPr>
        <w:t xml:space="preserve"> </w:t>
      </w:r>
    </w:p>
    <w:p w14:paraId="3E20F219" w14:textId="77777777" w:rsidR="00FC0A3C" w:rsidRDefault="00FC0A3C" w:rsidP="00FC0A3C">
      <w:pPr>
        <w:autoSpaceDE w:val="0"/>
        <w:autoSpaceDN w:val="0"/>
        <w:adjustRightInd w:val="0"/>
        <w:spacing w:after="0" w:line="400" w:lineRule="atLeast"/>
        <w:ind w:left="0" w:firstLine="0"/>
        <w:rPr>
          <w:rFonts w:cs="Times New Roman"/>
          <w:szCs w:val="24"/>
        </w:rPr>
      </w:pPr>
      <w:r>
        <w:rPr>
          <w:rFonts w:cs="Times New Roman"/>
          <w:szCs w:val="24"/>
        </w:rPr>
        <w:t>Source: Field survey (2024).</w:t>
      </w:r>
    </w:p>
    <w:p w14:paraId="10F47BA8" w14:textId="77777777" w:rsidR="00E128F8" w:rsidRDefault="00E128F8" w:rsidP="000C7EC5">
      <w:pPr>
        <w:autoSpaceDE w:val="0"/>
        <w:autoSpaceDN w:val="0"/>
        <w:adjustRightInd w:val="0"/>
        <w:spacing w:after="0" w:line="360" w:lineRule="auto"/>
        <w:ind w:left="0" w:firstLine="0"/>
        <w:jc w:val="left"/>
        <w:rPr>
          <w:rStyle w:val="Heading3Char"/>
        </w:rPr>
        <w:sectPr w:rsidR="00E128F8" w:rsidSect="0081629E">
          <w:type w:val="continuous"/>
          <w:pgSz w:w="11906" w:h="16838" w:code="9"/>
          <w:pgMar w:top="1440" w:right="1440" w:bottom="1440" w:left="2880" w:header="720" w:footer="720" w:gutter="0"/>
          <w:cols w:space="720"/>
          <w:docGrid w:linePitch="360"/>
        </w:sectPr>
      </w:pPr>
    </w:p>
    <w:p w14:paraId="65EC275A" w14:textId="77777777" w:rsidR="00524689" w:rsidRPr="00524689" w:rsidRDefault="00524689" w:rsidP="00772DAC">
      <w:pPr>
        <w:pStyle w:val="Heading2"/>
        <w:ind w:left="0"/>
        <w:rPr>
          <w:sz w:val="10"/>
        </w:rPr>
      </w:pPr>
      <w:bookmarkStart w:id="379" w:name="_Toc163254041"/>
      <w:bookmarkStart w:id="380" w:name="_Toc172102419"/>
      <w:bookmarkEnd w:id="378"/>
    </w:p>
    <w:p w14:paraId="0E3895F4" w14:textId="77777777" w:rsidR="00E21C1D" w:rsidRDefault="00E21C1D" w:rsidP="00772DAC">
      <w:pPr>
        <w:pStyle w:val="Heading2"/>
        <w:ind w:left="0"/>
      </w:pPr>
      <w:bookmarkStart w:id="381" w:name="_Toc199164974"/>
      <w:bookmarkStart w:id="382" w:name="_Toc202197685"/>
      <w:r>
        <w:t>Awareness</w:t>
      </w:r>
      <w:bookmarkEnd w:id="379"/>
      <w:bookmarkEnd w:id="380"/>
      <w:bookmarkEnd w:id="381"/>
      <w:bookmarkEnd w:id="382"/>
      <w:r>
        <w:t xml:space="preserve"> </w:t>
      </w:r>
    </w:p>
    <w:p w14:paraId="2BDD74C7" w14:textId="570D2B35" w:rsidR="00C91737" w:rsidRDefault="000C7EC5" w:rsidP="00C91737">
      <w:pPr>
        <w:ind w:left="0" w:firstLine="0"/>
      </w:pPr>
      <w:r>
        <w:tab/>
      </w:r>
      <w:r w:rsidR="00C91737">
        <w:t xml:space="preserve">The next component of the participation index was the level of awareness. Awareness pertained to citizens' comprehension of their role within the institutional framework. In the context of awareness, this study was also </w:t>
      </w:r>
      <w:r w:rsidR="00C91737">
        <w:lastRenderedPageBreak/>
        <w:t xml:space="preserve">interested in resident engagement in the management processes for policy formulation, implementation, evaluation, and monitoring. Citizens are engaged when the government grants them access to each stage in specific roles. </w:t>
      </w:r>
    </w:p>
    <w:p w14:paraId="69D5C68A" w14:textId="52B2607E" w:rsidR="00E21C1D" w:rsidRDefault="00C91737" w:rsidP="00C91737">
      <w:pPr>
        <w:ind w:left="0" w:firstLine="0"/>
        <w:rPr>
          <w:rFonts w:cs="Times New Roman"/>
          <w:szCs w:val="24"/>
        </w:rPr>
      </w:pPr>
      <w:r>
        <w:tab/>
        <w:t>The residents would be aware of the process when they cared about the reserve's activities; the activities were in line with their interests, and they were not merely involved in the process. Residents should also be involved in providing advice, actively participating in activities, and knowing their rights concerning forest governance. The results indicated that slightly above 10 per cent were aware of the management process, and these residents were found in the SSFR.</w:t>
      </w:r>
      <w:r w:rsidR="00E21C1D">
        <w:t xml:space="preserve"> The disaggregated results for</w:t>
      </w:r>
      <w:r w:rsidR="00AD7B7E">
        <w:t xml:space="preserve"> BFR are illustrated in Figure 1</w:t>
      </w:r>
      <w:r w:rsidR="007A6B2B">
        <w:t>2</w:t>
      </w:r>
      <w:r w:rsidR="00E21C1D">
        <w:t xml:space="preserve">. </w:t>
      </w:r>
      <w:r w:rsidR="00E21C1D">
        <w:rPr>
          <w:rFonts w:cs="Times New Roman"/>
          <w:noProof/>
          <w:szCs w:val="24"/>
          <w:lang w:val="en-US"/>
        </w:rPr>
        <w:drawing>
          <wp:inline distT="0" distB="0" distL="0" distR="0" wp14:anchorId="327437C6" wp14:editId="75DA7848">
            <wp:extent cx="5092262" cy="2405106"/>
            <wp:effectExtent l="0" t="0" r="0" b="0"/>
            <wp:docPr id="931469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59459" cy="2436844"/>
                    </a:xfrm>
                    <a:prstGeom prst="rect">
                      <a:avLst/>
                    </a:prstGeom>
                    <a:noFill/>
                    <a:ln>
                      <a:noFill/>
                    </a:ln>
                  </pic:spPr>
                </pic:pic>
              </a:graphicData>
            </a:graphic>
          </wp:inline>
        </w:drawing>
      </w:r>
    </w:p>
    <w:p w14:paraId="492E8A94" w14:textId="6DBEC0A6" w:rsidR="00E21C1D" w:rsidRPr="00E73A56" w:rsidRDefault="002F3041" w:rsidP="00FC0A3C">
      <w:pPr>
        <w:pStyle w:val="Heading3"/>
        <w:ind w:left="0" w:firstLine="0"/>
        <w:rPr>
          <w:b/>
        </w:rPr>
      </w:pPr>
      <w:bookmarkStart w:id="383" w:name="_Toc155175920"/>
      <w:bookmarkStart w:id="384" w:name="_Toc161750369"/>
      <w:bookmarkStart w:id="385" w:name="_Toc163254042"/>
      <w:bookmarkStart w:id="386" w:name="_Toc172102420"/>
      <w:bookmarkStart w:id="387" w:name="_Toc197068864"/>
      <w:bookmarkStart w:id="388" w:name="_Toc199164975"/>
      <w:bookmarkStart w:id="389" w:name="_Toc202196569"/>
      <w:bookmarkStart w:id="390" w:name="_Toc202197686"/>
      <w:r w:rsidRPr="00524689">
        <w:rPr>
          <w:rStyle w:val="Heading3Char"/>
          <w:b/>
          <w:i/>
          <w:iCs/>
        </w:rPr>
        <w:t xml:space="preserve">Figure </w:t>
      </w:r>
      <w:r w:rsidR="00C2703F" w:rsidRPr="00524689">
        <w:rPr>
          <w:rStyle w:val="Heading3Char"/>
          <w:b/>
          <w:i/>
          <w:iCs/>
        </w:rPr>
        <w:t>1</w:t>
      </w:r>
      <w:r w:rsidR="007A6B2B" w:rsidRPr="00524689">
        <w:rPr>
          <w:rStyle w:val="Heading3Char"/>
          <w:b/>
          <w:i/>
          <w:iCs/>
        </w:rPr>
        <w:t>2</w:t>
      </w:r>
      <w:r w:rsidR="00E21C1D" w:rsidRPr="00524689">
        <w:rPr>
          <w:rStyle w:val="Heading3Char"/>
          <w:b/>
          <w:i/>
        </w:rPr>
        <w:t>:</w:t>
      </w:r>
      <w:r w:rsidR="00E21C1D" w:rsidRPr="00E73A56">
        <w:rPr>
          <w:rStyle w:val="Heading3Char"/>
          <w:b/>
        </w:rPr>
        <w:t xml:space="preserve"> Residents' </w:t>
      </w:r>
      <w:r w:rsidR="00E73A56" w:rsidRPr="00E73A56">
        <w:rPr>
          <w:rStyle w:val="Heading3Char"/>
          <w:b/>
        </w:rPr>
        <w:t>A</w:t>
      </w:r>
      <w:r w:rsidR="00E21C1D" w:rsidRPr="00E73A56">
        <w:rPr>
          <w:rStyle w:val="Heading3Char"/>
          <w:b/>
        </w:rPr>
        <w:t xml:space="preserve">wareness of the </w:t>
      </w:r>
      <w:r w:rsidR="000E7AF5" w:rsidRPr="00E73A56">
        <w:rPr>
          <w:rStyle w:val="Heading3Char"/>
          <w:b/>
        </w:rPr>
        <w:t>Bobiri</w:t>
      </w:r>
      <w:r w:rsidR="001B5F57" w:rsidRPr="00E73A56">
        <w:rPr>
          <w:rStyle w:val="Heading3Char"/>
          <w:b/>
        </w:rPr>
        <w:t xml:space="preserve"> Forest Reserve </w:t>
      </w:r>
      <w:r w:rsidR="00E73A56" w:rsidRPr="00E73A56">
        <w:rPr>
          <w:rStyle w:val="Heading3Char"/>
          <w:b/>
        </w:rPr>
        <w:t>Management Proc</w:t>
      </w:r>
      <w:r w:rsidR="001B5F57" w:rsidRPr="00E73A56">
        <w:rPr>
          <w:rStyle w:val="Heading3Char"/>
          <w:b/>
        </w:rPr>
        <w:t>ess</w:t>
      </w:r>
      <w:bookmarkEnd w:id="383"/>
      <w:r w:rsidR="00E21C1D" w:rsidRPr="00E73A56">
        <w:rPr>
          <w:b/>
        </w:rPr>
        <w:t>.</w:t>
      </w:r>
      <w:bookmarkEnd w:id="384"/>
      <w:bookmarkEnd w:id="385"/>
      <w:bookmarkEnd w:id="386"/>
      <w:bookmarkEnd w:id="387"/>
      <w:bookmarkEnd w:id="388"/>
      <w:bookmarkEnd w:id="389"/>
      <w:bookmarkEnd w:id="390"/>
    </w:p>
    <w:p w14:paraId="19871F91" w14:textId="34A284AE" w:rsidR="00E21C1D" w:rsidRDefault="00E21C1D" w:rsidP="00772DAC">
      <w:pPr>
        <w:autoSpaceDE w:val="0"/>
        <w:autoSpaceDN w:val="0"/>
        <w:adjustRightInd w:val="0"/>
        <w:spacing w:after="0" w:line="240" w:lineRule="auto"/>
        <w:ind w:left="0" w:firstLine="0"/>
        <w:rPr>
          <w:rFonts w:cs="Times New Roman"/>
          <w:szCs w:val="24"/>
        </w:rPr>
      </w:pPr>
      <w:r>
        <w:rPr>
          <w:rFonts w:cs="Times New Roman"/>
          <w:szCs w:val="24"/>
        </w:rPr>
        <w:t>Source: Field</w:t>
      </w:r>
      <w:r w:rsidR="00C2703F">
        <w:rPr>
          <w:rFonts w:cs="Times New Roman"/>
          <w:szCs w:val="24"/>
        </w:rPr>
        <w:t>work</w:t>
      </w:r>
      <w:r>
        <w:rPr>
          <w:rFonts w:cs="Times New Roman"/>
          <w:szCs w:val="24"/>
        </w:rPr>
        <w:t xml:space="preserve"> (2024).</w:t>
      </w:r>
    </w:p>
    <w:p w14:paraId="6FD2C24F" w14:textId="530C8AFA" w:rsidR="008D7484" w:rsidRDefault="00AF50B7" w:rsidP="008D7484">
      <w:pPr>
        <w:spacing w:after="0"/>
        <w:ind w:left="0" w:firstLine="0"/>
      </w:pPr>
      <w:r>
        <w:tab/>
      </w:r>
      <w:r w:rsidR="008D7484">
        <w:t xml:space="preserve">From Figure </w:t>
      </w:r>
      <w:r w:rsidR="00BE1B8C">
        <w:t>1</w:t>
      </w:r>
      <w:r w:rsidR="007A6B2B">
        <w:t>2</w:t>
      </w:r>
      <w:r w:rsidR="008D7484">
        <w:t xml:space="preserve">, about 14 per cent of respondents indicated that they </w:t>
      </w:r>
      <w:r w:rsidR="00BE1B8C">
        <w:t>cared about activities concerning</w:t>
      </w:r>
      <w:r w:rsidR="008D7484">
        <w:t xml:space="preserve"> BFR. However, when the issue of interest was introduced, the percentage of respondents increased to approximately 45 per cent. This suggested that respondents mostly cared about the activities of the BFR when the</w:t>
      </w:r>
      <w:r w:rsidR="00BE1B8C">
        <w:t>se activities</w:t>
      </w:r>
      <w:r w:rsidR="008D7484">
        <w:t xml:space="preserve"> aligned with their interests, which could be tangible </w:t>
      </w:r>
      <w:r w:rsidR="008D7484">
        <w:lastRenderedPageBreak/>
        <w:t xml:space="preserve">or intangible. Key informant </w:t>
      </w:r>
      <w:r w:rsidR="00196A5C">
        <w:t>4</w:t>
      </w:r>
      <w:r w:rsidR="008D7484">
        <w:t xml:space="preserve"> from the D. A. at </w:t>
      </w:r>
      <w:r w:rsidR="00C2703F">
        <w:t>the BFR</w:t>
      </w:r>
      <w:r w:rsidR="008D7484">
        <w:t xml:space="preserve"> on 28</w:t>
      </w:r>
      <w:r w:rsidR="008D7484" w:rsidRPr="00FD21D6">
        <w:rPr>
          <w:vertAlign w:val="superscript"/>
        </w:rPr>
        <w:t>th</w:t>
      </w:r>
      <w:r w:rsidR="008D7484">
        <w:t xml:space="preserve"> February 2024 stated that while the main goal of participation was the SRA, they sometimes participated in protecting the reserve due to its cultural and educational significance. The informant also mentioned that there were various tree species in the reserve that were important for educational purposes and could be used to educate the students. Additionally, the reserve trees helped protect the Bobiri River, which was considered the abode of their deity.</w:t>
      </w:r>
    </w:p>
    <w:p w14:paraId="0375393A" w14:textId="618EA8FD" w:rsidR="008D7484" w:rsidRDefault="008D7484" w:rsidP="008D7484">
      <w:pPr>
        <w:spacing w:after="0"/>
        <w:ind w:left="0" w:firstLine="0"/>
      </w:pPr>
      <w:r>
        <w:tab/>
        <w:t>Similarly, about 10 per cent of the participants were fully aware of the management process. Fig</w:t>
      </w:r>
      <w:r w:rsidR="003318C8">
        <w:t>ure</w:t>
      </w:r>
      <w:r>
        <w:t xml:space="preserve"> </w:t>
      </w:r>
      <w:r w:rsidR="00C2703F">
        <w:t>1</w:t>
      </w:r>
      <w:r w:rsidR="007A6B2B">
        <w:t>3</w:t>
      </w:r>
      <w:r>
        <w:t xml:space="preserve"> </w:t>
      </w:r>
      <w:r w:rsidR="003318C8">
        <w:t>r</w:t>
      </w:r>
      <w:r>
        <w:t>evealed that a little below 14 per cent maintained that their interests aligned with activities of the SSFR. In comparison, approximately 11 per cent of the respondents knew their rights as residents.</w:t>
      </w:r>
    </w:p>
    <w:p w14:paraId="43212888" w14:textId="483D3A6E" w:rsidR="00E21C1D" w:rsidRDefault="008D7484" w:rsidP="008D7484">
      <w:pPr>
        <w:ind w:left="0" w:firstLine="0"/>
      </w:pPr>
      <w:r>
        <w:tab/>
        <w:t xml:space="preserve">The focus group discussion </w:t>
      </w:r>
      <w:r w:rsidR="00C2703F">
        <w:t xml:space="preserve">3, comprising cocoa farmers, held at </w:t>
      </w:r>
      <w:proofErr w:type="spellStart"/>
      <w:r w:rsidR="00C2703F">
        <w:t>Suminakesse</w:t>
      </w:r>
      <w:proofErr w:type="spellEnd"/>
      <w:r w:rsidR="00C2703F">
        <w:t xml:space="preserve"> at the SSFR </w:t>
      </w:r>
      <w:r>
        <w:t>on 15</w:t>
      </w:r>
      <w:r w:rsidRPr="00FD21D6">
        <w:rPr>
          <w:vertAlign w:val="superscript"/>
        </w:rPr>
        <w:t>th</w:t>
      </w:r>
      <w:r>
        <w:t xml:space="preserve"> March 2024 revealed that non-payment of dues by members of user groups sometimes prevented them from participating in SSFR activities. Therefore, one </w:t>
      </w:r>
      <w:r w:rsidR="00242F10">
        <w:t>might</w:t>
      </w:r>
      <w:r>
        <w:t xml:space="preserve"> know their rights as residents, yet barriers such as non-payment of dues could prevent them from participating. </w:t>
      </w:r>
      <w:r w:rsidR="00E21C1D">
        <w:t>The output of the resident</w:t>
      </w:r>
      <w:r w:rsidR="001B5F57">
        <w:t>'s</w:t>
      </w:r>
      <w:r w:rsidR="00E21C1D">
        <w:t xml:space="preserve"> awareness of the process </w:t>
      </w:r>
      <w:r w:rsidR="001B5F57">
        <w:t>i</w:t>
      </w:r>
      <w:r w:rsidR="00AD7B7E">
        <w:t>s presented in Figure 1</w:t>
      </w:r>
      <w:r w:rsidR="007A6B2B">
        <w:t>3</w:t>
      </w:r>
      <w:r w:rsidR="00E21C1D">
        <w:t>.</w:t>
      </w:r>
    </w:p>
    <w:p w14:paraId="6A1CC7AA" w14:textId="77777777" w:rsidR="00FB1908" w:rsidRDefault="00FB1908" w:rsidP="00FB1908">
      <w:pPr>
        <w:sectPr w:rsidR="00FB1908" w:rsidSect="0081629E">
          <w:type w:val="continuous"/>
          <w:pgSz w:w="11906" w:h="16838" w:code="9"/>
          <w:pgMar w:top="1440" w:right="1440" w:bottom="1440" w:left="2880" w:header="720" w:footer="720" w:gutter="0"/>
          <w:cols w:space="720"/>
          <w:docGrid w:linePitch="360"/>
        </w:sectPr>
      </w:pPr>
    </w:p>
    <w:p w14:paraId="6D24B1ED" w14:textId="77777777" w:rsidR="007E1844" w:rsidRDefault="007E1844" w:rsidP="007E1844">
      <w:pPr>
        <w:autoSpaceDE w:val="0"/>
        <w:autoSpaceDN w:val="0"/>
        <w:adjustRightInd w:val="0"/>
        <w:spacing w:after="0" w:line="240" w:lineRule="auto"/>
        <w:ind w:left="0" w:firstLine="0"/>
        <w:jc w:val="left"/>
        <w:rPr>
          <w:rFonts w:cs="Times New Roman"/>
          <w:szCs w:val="24"/>
        </w:rPr>
      </w:pPr>
      <w:r>
        <w:rPr>
          <w:rFonts w:cs="Times New Roman"/>
          <w:noProof/>
          <w:szCs w:val="24"/>
          <w:lang w:val="en-US"/>
        </w:rPr>
        <w:lastRenderedPageBreak/>
        <w:drawing>
          <wp:inline distT="0" distB="0" distL="0" distR="0" wp14:anchorId="3C93B2F9" wp14:editId="0086C2D3">
            <wp:extent cx="8623738" cy="3909848"/>
            <wp:effectExtent l="0" t="0" r="6350" b="0"/>
            <wp:docPr id="19679286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4">
                      <a:extLst>
                        <a:ext uri="{28A0092B-C50C-407E-A947-70E740481C1C}">
                          <a14:useLocalDpi xmlns:a14="http://schemas.microsoft.com/office/drawing/2010/main" val="0"/>
                        </a:ext>
                      </a:extLst>
                    </a:blip>
                    <a:srcRect t="10697" b="3733"/>
                    <a:stretch/>
                  </pic:blipFill>
                  <pic:spPr bwMode="auto">
                    <a:xfrm>
                      <a:off x="0" y="0"/>
                      <a:ext cx="8659093" cy="3925877"/>
                    </a:xfrm>
                    <a:prstGeom prst="rect">
                      <a:avLst/>
                    </a:prstGeom>
                    <a:noFill/>
                    <a:ln>
                      <a:noFill/>
                    </a:ln>
                    <a:extLst>
                      <a:ext uri="{53640926-AAD7-44D8-BBD7-CCE9431645EC}">
                        <a14:shadowObscured xmlns:a14="http://schemas.microsoft.com/office/drawing/2010/main"/>
                      </a:ext>
                    </a:extLst>
                  </pic:spPr>
                </pic:pic>
              </a:graphicData>
            </a:graphic>
          </wp:inline>
        </w:drawing>
      </w:r>
    </w:p>
    <w:p w14:paraId="33CAC3E4" w14:textId="77777777" w:rsidR="007E1844" w:rsidRDefault="007E1844" w:rsidP="007E1844">
      <w:pPr>
        <w:autoSpaceDE w:val="0"/>
        <w:autoSpaceDN w:val="0"/>
        <w:adjustRightInd w:val="0"/>
        <w:spacing w:after="0" w:line="240" w:lineRule="auto"/>
        <w:ind w:left="0" w:firstLine="0"/>
        <w:jc w:val="left"/>
        <w:rPr>
          <w:rFonts w:cs="Times New Roman"/>
          <w:szCs w:val="24"/>
        </w:rPr>
      </w:pPr>
    </w:p>
    <w:p w14:paraId="04C9BFCC" w14:textId="032A8012" w:rsidR="00E21C1D" w:rsidRDefault="002F3041" w:rsidP="00772DAC">
      <w:pPr>
        <w:ind w:left="0" w:firstLine="0"/>
      </w:pPr>
      <w:bookmarkStart w:id="391" w:name="_Toc155175465"/>
      <w:bookmarkStart w:id="392" w:name="_Toc155258447"/>
      <w:bookmarkStart w:id="393" w:name="_Toc161750370"/>
      <w:bookmarkStart w:id="394" w:name="_Toc163254043"/>
      <w:bookmarkStart w:id="395" w:name="_Toc172102421"/>
      <w:bookmarkStart w:id="396" w:name="_Toc197068865"/>
      <w:bookmarkStart w:id="397" w:name="_Toc199164976"/>
      <w:bookmarkStart w:id="398" w:name="_Toc202196570"/>
      <w:bookmarkStart w:id="399" w:name="_Toc202197687"/>
      <w:r>
        <w:rPr>
          <w:rStyle w:val="Heading3Char"/>
          <w:b/>
          <w:i/>
        </w:rPr>
        <w:t xml:space="preserve">Figure </w:t>
      </w:r>
      <w:r w:rsidR="00C542D2">
        <w:rPr>
          <w:rStyle w:val="Heading3Char"/>
          <w:b/>
          <w:i/>
        </w:rPr>
        <w:t>1</w:t>
      </w:r>
      <w:r w:rsidR="007A6B2B">
        <w:rPr>
          <w:rStyle w:val="Heading3Char"/>
          <w:b/>
          <w:i/>
        </w:rPr>
        <w:t>3</w:t>
      </w:r>
      <w:r w:rsidR="00E21C1D" w:rsidRPr="00E73A56">
        <w:rPr>
          <w:rStyle w:val="Heading3Char"/>
          <w:b/>
        </w:rPr>
        <w:t xml:space="preserve">: </w:t>
      </w:r>
      <w:r w:rsidR="00AF50B7" w:rsidRPr="00E73A56">
        <w:rPr>
          <w:rStyle w:val="Heading3Char"/>
          <w:b/>
        </w:rPr>
        <w:t>R</w:t>
      </w:r>
      <w:r w:rsidR="00E21C1D" w:rsidRPr="00E73A56">
        <w:rPr>
          <w:rStyle w:val="Heading3Char"/>
          <w:b/>
        </w:rPr>
        <w:t xml:space="preserve">esidents' </w:t>
      </w:r>
      <w:r w:rsidR="00E73A56" w:rsidRPr="00E73A56">
        <w:rPr>
          <w:rStyle w:val="Heading3Char"/>
          <w:b/>
        </w:rPr>
        <w:t xml:space="preserve">Awareness of the Collaboration Process at the </w:t>
      </w:r>
      <w:r w:rsidR="00E21C1D" w:rsidRPr="00E73A56">
        <w:rPr>
          <w:rStyle w:val="Heading3Char"/>
          <w:b/>
        </w:rPr>
        <w:t xml:space="preserve">Southern </w:t>
      </w:r>
      <w:r w:rsidR="00E73A56" w:rsidRPr="00E73A56">
        <w:rPr>
          <w:rStyle w:val="Heading3Char"/>
          <w:b/>
        </w:rPr>
        <w:t>Scarp Forest Reserve</w:t>
      </w:r>
      <w:bookmarkEnd w:id="391"/>
      <w:bookmarkEnd w:id="392"/>
      <w:bookmarkEnd w:id="393"/>
      <w:bookmarkEnd w:id="394"/>
      <w:bookmarkEnd w:id="395"/>
      <w:bookmarkEnd w:id="396"/>
      <w:bookmarkEnd w:id="397"/>
      <w:bookmarkEnd w:id="398"/>
      <w:bookmarkEnd w:id="399"/>
      <w:r w:rsidR="00E21C1D">
        <w:t>.</w:t>
      </w:r>
    </w:p>
    <w:p w14:paraId="4ACFB0E7" w14:textId="2E074EA8" w:rsidR="00E21C1D" w:rsidRDefault="00E21C1D" w:rsidP="00772DAC">
      <w:pPr>
        <w:autoSpaceDE w:val="0"/>
        <w:autoSpaceDN w:val="0"/>
        <w:adjustRightInd w:val="0"/>
        <w:spacing w:after="0" w:line="240" w:lineRule="auto"/>
        <w:ind w:left="0" w:firstLine="0"/>
      </w:pPr>
      <w:r>
        <w:t>Source: Field</w:t>
      </w:r>
      <w:r w:rsidR="00C2703F">
        <w:t>work</w:t>
      </w:r>
      <w:r>
        <w:t xml:space="preserve"> (2024).</w:t>
      </w:r>
    </w:p>
    <w:p w14:paraId="54C461CA" w14:textId="77777777" w:rsidR="007A6626" w:rsidRDefault="007A6626" w:rsidP="00772DAC">
      <w:pPr>
        <w:pStyle w:val="Heading2"/>
        <w:ind w:left="0"/>
        <w:sectPr w:rsidR="007A6626" w:rsidSect="0081629E">
          <w:type w:val="continuous"/>
          <w:pgSz w:w="16838" w:h="11906" w:orient="landscape" w:code="9"/>
          <w:pgMar w:top="2880" w:right="1440" w:bottom="1440" w:left="1440" w:header="720" w:footer="720" w:gutter="0"/>
          <w:cols w:space="720"/>
          <w:docGrid w:linePitch="360"/>
        </w:sectPr>
      </w:pPr>
      <w:bookmarkStart w:id="400" w:name="_Toc155175921"/>
      <w:bookmarkStart w:id="401" w:name="_Toc163254044"/>
      <w:bookmarkStart w:id="402" w:name="_Toc172102422"/>
    </w:p>
    <w:p w14:paraId="71A97D09" w14:textId="59455B17" w:rsidR="00E21C1D" w:rsidRDefault="00E21C1D" w:rsidP="00772DAC">
      <w:pPr>
        <w:pStyle w:val="Heading2"/>
        <w:ind w:left="0"/>
      </w:pPr>
      <w:bookmarkStart w:id="403" w:name="_Toc202197688"/>
      <w:r>
        <w:lastRenderedPageBreak/>
        <w:t>Control</w:t>
      </w:r>
      <w:bookmarkEnd w:id="400"/>
      <w:bookmarkEnd w:id="401"/>
      <w:bookmarkEnd w:id="402"/>
      <w:bookmarkEnd w:id="403"/>
      <w:r>
        <w:t xml:space="preserve"> </w:t>
      </w:r>
    </w:p>
    <w:p w14:paraId="0E2EAD1F" w14:textId="77777777" w:rsidR="00640417" w:rsidRDefault="00903BAB" w:rsidP="00640417">
      <w:pPr>
        <w:ind w:left="0" w:firstLine="0"/>
      </w:pPr>
      <w:r>
        <w:tab/>
      </w:r>
      <w:r w:rsidR="00640417">
        <w:t xml:space="preserve">This study measured the level of control that the community members had over the management process. In this study, control was related to the residents' capacity to influence decisions. Indicators of the control variable included issues such as whether the FSD determined the outcome of the process, whether residents were merely involved, whether the FSD only informed people, whether a few people were involved, whether the FSD involved people in determining the outcome, whether there was an open dialogue between stakeholders, and whether residents determined the outcome of the process. The community had control when all indicators were satisfied. It came to light that less than 10 per cent of the Bobiri and Southern Scarp Forest Reserve residents had control over the collaboration process. </w:t>
      </w:r>
    </w:p>
    <w:p w14:paraId="122976E9" w14:textId="705AEA4A" w:rsidR="00C2703F" w:rsidRDefault="00640417" w:rsidP="00AD7B7E">
      <w:pPr>
        <w:ind w:left="0" w:firstLine="0"/>
      </w:pPr>
      <w:r>
        <w:tab/>
        <w:t>Disaggregating the data, this study revealed that none of the respondents at Bobiri had control over the process. This indicated that the FSD determined the outcome of the process, and residents were merely involved in the process. To this end, key</w:t>
      </w:r>
      <w:r w:rsidR="00982793">
        <w:t xml:space="preserve"> </w:t>
      </w:r>
      <w:r>
        <w:t xml:space="preserve">informant </w:t>
      </w:r>
      <w:r w:rsidR="00C2703F">
        <w:t xml:space="preserve">2 </w:t>
      </w:r>
      <w:r>
        <w:t xml:space="preserve">from the D.A. at Bobiri on the </w:t>
      </w:r>
      <w:proofErr w:type="gramStart"/>
      <w:r>
        <w:t>9</w:t>
      </w:r>
      <w:r w:rsidRPr="00FD21D6">
        <w:rPr>
          <w:vertAlign w:val="superscript"/>
        </w:rPr>
        <w:t>th</w:t>
      </w:r>
      <w:proofErr w:type="gramEnd"/>
      <w:r>
        <w:t xml:space="preserve"> February 2024 clarified that FSD mostly met them when they had information to pass on. The</w:t>
      </w:r>
      <w:r w:rsidR="00242F10">
        <w:t xml:space="preserve"> informant maintained that the FSD</w:t>
      </w:r>
      <w:r>
        <w:t xml:space="preserve"> usually informed </w:t>
      </w:r>
      <w:r w:rsidR="00C2703F">
        <w:t>community members</w:t>
      </w:r>
      <w:r>
        <w:t xml:space="preserve"> about the impending dry season, so</w:t>
      </w:r>
      <w:r w:rsidR="00C2703F">
        <w:t xml:space="preserve"> members</w:t>
      </w:r>
      <w:r>
        <w:t xml:space="preserve"> prepared and took measures against bushfires or warned community members about illegally entering the forest. In other words, key informant </w:t>
      </w:r>
      <w:r w:rsidR="00982793">
        <w:t>7</w:t>
      </w:r>
      <w:r>
        <w:t xml:space="preserve"> from the traditional authority </w:t>
      </w:r>
      <w:r w:rsidR="00C2703F">
        <w:t xml:space="preserve">at Bobiri </w:t>
      </w:r>
      <w:r>
        <w:t xml:space="preserve">on </w:t>
      </w:r>
      <w:r w:rsidR="00982793">
        <w:t>26</w:t>
      </w:r>
      <w:r w:rsidRPr="00FD21D6">
        <w:rPr>
          <w:vertAlign w:val="superscript"/>
        </w:rPr>
        <w:t>th</w:t>
      </w:r>
      <w:r>
        <w:t xml:space="preserve"> February 2024 made it clear that even though the FSD had met </w:t>
      </w:r>
      <w:r w:rsidR="00C2703F">
        <w:t>community members</w:t>
      </w:r>
      <w:r>
        <w:t xml:space="preserve"> regarding the activities of the BFR, </w:t>
      </w:r>
      <w:r w:rsidR="00C2703F">
        <w:t>community members</w:t>
      </w:r>
      <w:r>
        <w:t xml:space="preserve"> were uncertain whether their input would be felt in the final decision. </w:t>
      </w:r>
    </w:p>
    <w:p w14:paraId="2FB432A3" w14:textId="598AE5E4" w:rsidR="00F77B78" w:rsidRDefault="007A6626" w:rsidP="00C2703F">
      <w:pPr>
        <w:ind w:left="0"/>
      </w:pPr>
      <w:r>
        <w:rPr>
          <w:rFonts w:cs="Times New Roman"/>
          <w:noProof/>
          <w:szCs w:val="24"/>
          <w:lang w:val="en-US"/>
        </w:rPr>
        <w:lastRenderedPageBreak/>
        <w:drawing>
          <wp:anchor distT="0" distB="0" distL="114300" distR="114300" simplePos="0" relativeHeight="251659268" behindDoc="1" locked="0" layoutInCell="1" allowOverlap="1" wp14:anchorId="0C920574" wp14:editId="770D6A1F">
            <wp:simplePos x="0" y="0"/>
            <wp:positionH relativeFrom="column">
              <wp:posOffset>-347345</wp:posOffset>
            </wp:positionH>
            <wp:positionV relativeFrom="paragraph">
              <wp:posOffset>1150620</wp:posOffset>
            </wp:positionV>
            <wp:extent cx="5659755" cy="2663825"/>
            <wp:effectExtent l="0" t="0" r="0" b="3175"/>
            <wp:wrapTight wrapText="bothSides">
              <wp:wrapPolygon edited="0">
                <wp:start x="0" y="0"/>
                <wp:lineTo x="0" y="21471"/>
                <wp:lineTo x="21520" y="21471"/>
                <wp:lineTo x="21520" y="0"/>
                <wp:lineTo x="0" y="0"/>
              </wp:wrapPolygon>
            </wp:wrapTight>
            <wp:docPr id="17234049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5">
                      <a:extLst>
                        <a:ext uri="{28A0092B-C50C-407E-A947-70E740481C1C}">
                          <a14:useLocalDpi xmlns:a14="http://schemas.microsoft.com/office/drawing/2010/main" val="0"/>
                        </a:ext>
                      </a:extLst>
                    </a:blip>
                    <a:srcRect t="12584"/>
                    <a:stretch/>
                  </pic:blipFill>
                  <pic:spPr bwMode="auto">
                    <a:xfrm>
                      <a:off x="0" y="0"/>
                      <a:ext cx="5659755" cy="2663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40417">
        <w:t xml:space="preserve">From the discussions, it became evident that the FSD decided which activities </w:t>
      </w:r>
      <w:r w:rsidR="00C2703F">
        <w:t xml:space="preserve">to </w:t>
      </w:r>
      <w:r w:rsidR="00640417">
        <w:t>involve the other stakeholders.</w:t>
      </w:r>
      <w:r w:rsidR="00E21C1D">
        <w:t xml:space="preserve"> The level of control was different at the SSFR w</w:t>
      </w:r>
      <w:r w:rsidR="00AD7B7E">
        <w:t>hose result is shown in Figure 1</w:t>
      </w:r>
      <w:r w:rsidR="007A6B2B">
        <w:t>4</w:t>
      </w:r>
      <w:r w:rsidR="00E21C1D">
        <w:t>.</w:t>
      </w:r>
    </w:p>
    <w:p w14:paraId="4C0E8B44" w14:textId="65019694" w:rsidR="007A6626" w:rsidRPr="007A6626" w:rsidRDefault="007A6626" w:rsidP="007A6626">
      <w:pPr>
        <w:pStyle w:val="BodyText"/>
        <w:sectPr w:rsidR="007A6626" w:rsidRPr="007A6626" w:rsidSect="0081629E">
          <w:type w:val="continuous"/>
          <w:pgSz w:w="11906" w:h="16838" w:code="9"/>
          <w:pgMar w:top="1440" w:right="1440" w:bottom="1440" w:left="2880" w:header="720" w:footer="720" w:gutter="0"/>
          <w:cols w:space="720"/>
          <w:docGrid w:linePitch="360"/>
        </w:sectPr>
      </w:pPr>
    </w:p>
    <w:p w14:paraId="0DE89EBA" w14:textId="6FD2FC09" w:rsidR="00E21C1D" w:rsidRDefault="006C4BF7" w:rsidP="00903BAB">
      <w:pPr>
        <w:pStyle w:val="Heading3"/>
        <w:ind w:left="0" w:firstLine="0"/>
      </w:pPr>
      <w:bookmarkStart w:id="404" w:name="_Toc155175922"/>
      <w:bookmarkStart w:id="405" w:name="_Toc161750372"/>
      <w:bookmarkStart w:id="406" w:name="_Toc163254045"/>
      <w:bookmarkStart w:id="407" w:name="_Toc172102423"/>
      <w:bookmarkStart w:id="408" w:name="_Toc197068867"/>
      <w:bookmarkStart w:id="409" w:name="_Toc199164978"/>
      <w:bookmarkStart w:id="410" w:name="_Toc202196571"/>
      <w:bookmarkStart w:id="411" w:name="_Toc202197689"/>
      <w:r>
        <w:rPr>
          <w:rFonts w:cs="Times New Roman"/>
          <w:b/>
          <w:i/>
        </w:rPr>
        <w:t>Figure 1</w:t>
      </w:r>
      <w:r w:rsidR="007A6B2B">
        <w:rPr>
          <w:rFonts w:cs="Times New Roman"/>
          <w:b/>
          <w:i/>
        </w:rPr>
        <w:t>4</w:t>
      </w:r>
      <w:r w:rsidR="00E21C1D" w:rsidRPr="00E73A56">
        <w:rPr>
          <w:rFonts w:cs="Times New Roman"/>
          <w:b/>
        </w:rPr>
        <w:t xml:space="preserve">. </w:t>
      </w:r>
      <w:r w:rsidR="00E21C1D" w:rsidRPr="00E73A56">
        <w:rPr>
          <w:b/>
        </w:rPr>
        <w:t xml:space="preserve">Residents' </w:t>
      </w:r>
      <w:r w:rsidR="00C2703F">
        <w:rPr>
          <w:b/>
        </w:rPr>
        <w:t>Control</w:t>
      </w:r>
      <w:r w:rsidR="00E73A56" w:rsidRPr="00E73A56">
        <w:rPr>
          <w:b/>
        </w:rPr>
        <w:t xml:space="preserve"> of the Management Process </w:t>
      </w:r>
      <w:r w:rsidR="00E21C1D" w:rsidRPr="00E73A56">
        <w:rPr>
          <w:b/>
        </w:rPr>
        <w:t>at the Southern Scarp Forest Reserve</w:t>
      </w:r>
      <w:r w:rsidR="00E21C1D">
        <w:t>.</w:t>
      </w:r>
      <w:bookmarkEnd w:id="404"/>
      <w:bookmarkEnd w:id="405"/>
      <w:bookmarkEnd w:id="406"/>
      <w:bookmarkEnd w:id="407"/>
      <w:bookmarkEnd w:id="408"/>
      <w:bookmarkEnd w:id="409"/>
      <w:bookmarkEnd w:id="410"/>
      <w:bookmarkEnd w:id="411"/>
    </w:p>
    <w:p w14:paraId="301E0D6E" w14:textId="77777777" w:rsidR="00F77B78" w:rsidRDefault="00E21C1D" w:rsidP="00F77B78">
      <w:pPr>
        <w:autoSpaceDE w:val="0"/>
        <w:autoSpaceDN w:val="0"/>
        <w:adjustRightInd w:val="0"/>
        <w:spacing w:after="0" w:line="240" w:lineRule="auto"/>
        <w:ind w:left="0" w:firstLine="0"/>
        <w:sectPr w:rsidR="00F77B78" w:rsidSect="0081629E">
          <w:type w:val="continuous"/>
          <w:pgSz w:w="11906" w:h="16838" w:code="9"/>
          <w:pgMar w:top="1440" w:right="1440" w:bottom="1440" w:left="2880" w:header="720" w:footer="720" w:gutter="0"/>
          <w:cols w:space="720"/>
          <w:docGrid w:linePitch="360"/>
        </w:sectPr>
      </w:pPr>
      <w:r>
        <w:rPr>
          <w:rFonts w:cs="Times New Roman"/>
          <w:szCs w:val="24"/>
        </w:rPr>
        <w:t>Source: Field survey (2024).</w:t>
      </w:r>
      <w:r w:rsidR="00903BAB">
        <w:tab/>
      </w:r>
    </w:p>
    <w:p w14:paraId="58AD15DB" w14:textId="77777777" w:rsidR="007A6626" w:rsidRPr="007A6626" w:rsidRDefault="007A6626" w:rsidP="00C154E7">
      <w:pPr>
        <w:ind w:left="0"/>
        <w:rPr>
          <w:sz w:val="10"/>
        </w:rPr>
      </w:pPr>
    </w:p>
    <w:p w14:paraId="0BF5EFDC" w14:textId="25A97FD9" w:rsidR="00C154E7" w:rsidRPr="00597CE0" w:rsidRDefault="00C154E7" w:rsidP="00C154E7">
      <w:pPr>
        <w:ind w:left="0"/>
      </w:pPr>
      <w:r>
        <w:t xml:space="preserve">The study noted from Figure </w:t>
      </w:r>
      <w:r w:rsidR="00C542D2">
        <w:t>1</w:t>
      </w:r>
      <w:r w:rsidR="007A6B2B">
        <w:t>4</w:t>
      </w:r>
      <w:r>
        <w:t xml:space="preserve"> that approximately 15 per cent of the residents interviewed believed that the FSD, the lead stakeholder, did not only inform people about development projects but also included the</w:t>
      </w:r>
      <w:r w:rsidR="003B7039">
        <w:t xml:space="preserve"> other stakeholders</w:t>
      </w:r>
      <w:r>
        <w:t xml:space="preserve"> in deciding the type of development project or outcome of the process. In support of this, focus group discussion 2</w:t>
      </w:r>
      <w:r w:rsidR="00C2703F">
        <w:t>, comprising farmers</w:t>
      </w:r>
      <w:r>
        <w:t xml:space="preserve"> at Bobiri on 23</w:t>
      </w:r>
      <w:r w:rsidRPr="00FD21D6">
        <w:rPr>
          <w:vertAlign w:val="superscript"/>
        </w:rPr>
        <w:t>rd</w:t>
      </w:r>
      <w:r>
        <w:t xml:space="preserve"> February 2024 revealed</w:t>
      </w:r>
      <w:r w:rsidRPr="00597CE0">
        <w:t xml:space="preserve"> that because the amount paid as SRA was determined by the F</w:t>
      </w:r>
      <w:r>
        <w:t>SD</w:t>
      </w:r>
      <w:r w:rsidRPr="00597CE0">
        <w:t xml:space="preserve"> together with the unit committee members, the F</w:t>
      </w:r>
      <w:r>
        <w:t>SD</w:t>
      </w:r>
      <w:r w:rsidRPr="00597CE0">
        <w:t xml:space="preserve"> did not only determine the outcome. On the other hand, the traditional authority revealed that they had no say in the amount they received under SRA. They further noted that they had no say in </w:t>
      </w:r>
      <w:r>
        <w:t>the amount</w:t>
      </w:r>
      <w:r w:rsidRPr="00597CE0">
        <w:t xml:space="preserve"> to be used for deciding, negotiating, or determining the outcome of any activity undertaken in the SSFR. </w:t>
      </w:r>
    </w:p>
    <w:p w14:paraId="74FF758E" w14:textId="77777777" w:rsidR="00C154E7" w:rsidRDefault="00C154E7" w:rsidP="00C154E7">
      <w:pPr>
        <w:pStyle w:val="Heading2"/>
        <w:ind w:left="0"/>
      </w:pPr>
      <w:bookmarkStart w:id="412" w:name="_Toc163254046"/>
      <w:bookmarkStart w:id="413" w:name="_Toc172102424"/>
      <w:bookmarkStart w:id="414" w:name="_Toc202197690"/>
      <w:r>
        <w:lastRenderedPageBreak/>
        <w:t>Benefit</w:t>
      </w:r>
      <w:bookmarkEnd w:id="412"/>
      <w:bookmarkEnd w:id="413"/>
      <w:bookmarkEnd w:id="414"/>
    </w:p>
    <w:p w14:paraId="074DAFFE" w14:textId="6F081635" w:rsidR="00C154E7" w:rsidRDefault="00C154E7" w:rsidP="00C154E7">
      <w:pPr>
        <w:spacing w:after="0"/>
        <w:ind w:left="0"/>
      </w:pPr>
      <w:r w:rsidRPr="00C757AE">
        <w:t xml:space="preserve">The final </w:t>
      </w:r>
      <w:r>
        <w:t xml:space="preserve">component to be assessed when measuring </w:t>
      </w:r>
      <w:r w:rsidRPr="00C757AE">
        <w:t xml:space="preserve">community participation </w:t>
      </w:r>
      <w:r>
        <w:t xml:space="preserve">in the management process </w:t>
      </w:r>
      <w:r w:rsidRPr="00C757AE">
        <w:t>pertain</w:t>
      </w:r>
      <w:r>
        <w:t>s</w:t>
      </w:r>
      <w:r w:rsidRPr="00C757AE">
        <w:t xml:space="preserve"> to </w:t>
      </w:r>
      <w:r>
        <w:t>the</w:t>
      </w:r>
      <w:r w:rsidRPr="00C757AE">
        <w:t xml:space="preserve"> benefi</w:t>
      </w:r>
      <w:r>
        <w:t>ts they derive</w:t>
      </w:r>
      <w:r w:rsidR="00EC1B07">
        <w:t>d</w:t>
      </w:r>
      <w:r>
        <w:t>.</w:t>
      </w:r>
      <w:r w:rsidRPr="00C757AE">
        <w:t xml:space="preserve"> </w:t>
      </w:r>
      <w:r>
        <w:t>The Social Exchange Theory establishes that whe</w:t>
      </w:r>
      <w:r w:rsidRPr="00C757AE">
        <w:t xml:space="preserve">n individuals experience the positive effects of </w:t>
      </w:r>
      <w:r>
        <w:t>engaging in an activity</w:t>
      </w:r>
      <w:r w:rsidRPr="00C757AE">
        <w:t xml:space="preserve">, their enthusiasm for engaging in the process increases. Conversely, </w:t>
      </w:r>
      <w:r>
        <w:t xml:space="preserve">their involvement tends to diminish if they do not perceive that these benefits outweigh </w:t>
      </w:r>
      <w:r w:rsidR="00C2703F">
        <w:t xml:space="preserve">the </w:t>
      </w:r>
      <w:r>
        <w:t>costs</w:t>
      </w:r>
      <w:r w:rsidRPr="00C757AE">
        <w:t xml:space="preserve">. </w:t>
      </w:r>
    </w:p>
    <w:p w14:paraId="4A6549DC" w14:textId="5AC27293" w:rsidR="00C154E7" w:rsidRPr="00FD21D6" w:rsidRDefault="00C154E7" w:rsidP="00C154E7">
      <w:pPr>
        <w:ind w:left="0"/>
      </w:pPr>
      <w:r>
        <w:t xml:space="preserve">Benefits, in the context of this study, comprised the community people experiencing the benefits of the process, whether the benefits were only enjoyed by a few people, whether people knew that these sets of benefits were emanating from the process, whether the benefits solved their problems, whether there were benefits and it met their expectations or some of the expectations of some people, and whether the benefits </w:t>
      </w:r>
      <w:r w:rsidR="00C2703F">
        <w:t xml:space="preserve">and it </w:t>
      </w:r>
      <w:r>
        <w:t>met the</w:t>
      </w:r>
      <w:r w:rsidR="00C2703F">
        <w:t>ir</w:t>
      </w:r>
      <w:r>
        <w:t xml:space="preserve"> expectations of the people and were sustainably managed by the people. The study revealed that slightly above one per cent of the Bobiri and Southern Scarp Forest Reserve respondents benefited from the management process.</w:t>
      </w:r>
    </w:p>
    <w:p w14:paraId="2ACF6BAB" w14:textId="26C1D678" w:rsidR="00E21C1D" w:rsidRDefault="00E21C1D" w:rsidP="00903BAB">
      <w:pPr>
        <w:ind w:left="0"/>
      </w:pPr>
      <w:r>
        <w:t>At the BFR, even though none of the respondents benefited from the process, some responded favourably to some of the indicators</w:t>
      </w:r>
      <w:r w:rsidR="000A73D2">
        <w:t>, and the result i</w:t>
      </w:r>
      <w:r>
        <w:t>s presented</w:t>
      </w:r>
      <w:r w:rsidR="00AD7B7E">
        <w:t xml:space="preserve"> in Figure 1</w:t>
      </w:r>
      <w:r w:rsidR="007A6B2B">
        <w:t>5</w:t>
      </w:r>
      <w:r>
        <w:t>.</w:t>
      </w:r>
    </w:p>
    <w:p w14:paraId="7262446D" w14:textId="77777777" w:rsidR="00E21C1D" w:rsidRDefault="00E21C1D" w:rsidP="00772DAC">
      <w:pPr>
        <w:autoSpaceDE w:val="0"/>
        <w:autoSpaceDN w:val="0"/>
        <w:adjustRightInd w:val="0"/>
        <w:spacing w:after="0" w:line="240" w:lineRule="auto"/>
        <w:ind w:left="0" w:firstLine="0"/>
        <w:rPr>
          <w:rFonts w:cs="Times New Roman"/>
          <w:szCs w:val="24"/>
        </w:rPr>
      </w:pPr>
      <w:r>
        <w:rPr>
          <w:rFonts w:cs="Times New Roman"/>
          <w:noProof/>
          <w:szCs w:val="24"/>
          <w:lang w:val="en-US"/>
        </w:rPr>
        <w:lastRenderedPageBreak/>
        <w:drawing>
          <wp:anchor distT="0" distB="0" distL="114300" distR="114300" simplePos="0" relativeHeight="251660292" behindDoc="1" locked="0" layoutInCell="1" allowOverlap="1" wp14:anchorId="3619EF88" wp14:editId="2D63A57F">
            <wp:simplePos x="0" y="0"/>
            <wp:positionH relativeFrom="column">
              <wp:posOffset>0</wp:posOffset>
            </wp:positionH>
            <wp:positionV relativeFrom="paragraph">
              <wp:posOffset>22225</wp:posOffset>
            </wp:positionV>
            <wp:extent cx="4855210" cy="2956560"/>
            <wp:effectExtent l="0" t="0" r="2540" b="0"/>
            <wp:wrapTight wrapText="bothSides">
              <wp:wrapPolygon edited="0">
                <wp:start x="0" y="0"/>
                <wp:lineTo x="0" y="21433"/>
                <wp:lineTo x="21527" y="21433"/>
                <wp:lineTo x="21527" y="0"/>
                <wp:lineTo x="0" y="0"/>
              </wp:wrapPolygon>
            </wp:wrapTight>
            <wp:docPr id="139962907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6">
                      <a:extLst>
                        <a:ext uri="{28A0092B-C50C-407E-A947-70E740481C1C}">
                          <a14:useLocalDpi xmlns:a14="http://schemas.microsoft.com/office/drawing/2010/main" val="0"/>
                        </a:ext>
                      </a:extLst>
                    </a:blip>
                    <a:srcRect t="12175"/>
                    <a:stretch/>
                  </pic:blipFill>
                  <pic:spPr bwMode="auto">
                    <a:xfrm>
                      <a:off x="0" y="0"/>
                      <a:ext cx="4855210" cy="29565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E80A7A" w14:textId="37BCCD6F" w:rsidR="00E21C1D" w:rsidRPr="003A10AA" w:rsidRDefault="00AD7B7E" w:rsidP="003A10AA">
      <w:pPr>
        <w:pStyle w:val="Heading3"/>
        <w:ind w:left="0" w:firstLine="0"/>
        <w:rPr>
          <w:b/>
          <w:bCs/>
        </w:rPr>
      </w:pPr>
      <w:bookmarkStart w:id="415" w:name="_Toc155175924"/>
      <w:bookmarkStart w:id="416" w:name="_Toc161750374"/>
      <w:bookmarkStart w:id="417" w:name="_Toc163254047"/>
      <w:bookmarkStart w:id="418" w:name="_Toc172102425"/>
      <w:bookmarkStart w:id="419" w:name="_Toc197068869"/>
      <w:bookmarkStart w:id="420" w:name="_Toc199164980"/>
      <w:bookmarkStart w:id="421" w:name="_Toc202196572"/>
      <w:bookmarkStart w:id="422" w:name="_Toc202197691"/>
      <w:r>
        <w:rPr>
          <w:b/>
          <w:i/>
        </w:rPr>
        <w:t>Figu</w:t>
      </w:r>
      <w:r w:rsidR="006C4BF7">
        <w:rPr>
          <w:b/>
          <w:i/>
        </w:rPr>
        <w:t>re 1</w:t>
      </w:r>
      <w:r w:rsidR="007A6B2B">
        <w:rPr>
          <w:b/>
          <w:i/>
        </w:rPr>
        <w:t>5</w:t>
      </w:r>
      <w:r w:rsidR="00E21C1D" w:rsidRPr="00E73A56">
        <w:rPr>
          <w:b/>
        </w:rPr>
        <w:t xml:space="preserve">: Benefits the </w:t>
      </w:r>
      <w:r w:rsidR="00E73A56" w:rsidRPr="00E73A56">
        <w:rPr>
          <w:b/>
        </w:rPr>
        <w:t xml:space="preserve">Residents Derived from the Management Process </w:t>
      </w:r>
      <w:r w:rsidR="00E21C1D" w:rsidRPr="00E73A56">
        <w:rPr>
          <w:b/>
        </w:rPr>
        <w:t>at the Bobiri Forest Reserv</w:t>
      </w:r>
      <w:r w:rsidR="00E21C1D" w:rsidRPr="00FC0A3C">
        <w:t>e</w:t>
      </w:r>
      <w:bookmarkEnd w:id="415"/>
      <w:r w:rsidR="00E21C1D" w:rsidRPr="003A10AA">
        <w:rPr>
          <w:b/>
          <w:bCs/>
        </w:rPr>
        <w:t>.</w:t>
      </w:r>
      <w:bookmarkEnd w:id="416"/>
      <w:bookmarkEnd w:id="417"/>
      <w:bookmarkEnd w:id="418"/>
      <w:bookmarkEnd w:id="419"/>
      <w:bookmarkEnd w:id="420"/>
      <w:bookmarkEnd w:id="421"/>
      <w:bookmarkEnd w:id="422"/>
    </w:p>
    <w:p w14:paraId="66E6ADFA" w14:textId="07893A82" w:rsidR="00E21C1D" w:rsidRDefault="00E21C1D" w:rsidP="00772DAC">
      <w:pPr>
        <w:ind w:left="0" w:firstLine="0"/>
        <w:rPr>
          <w:rFonts w:cs="Times New Roman"/>
          <w:szCs w:val="24"/>
        </w:rPr>
      </w:pPr>
      <w:r>
        <w:t>Source: Field</w:t>
      </w:r>
      <w:r w:rsidR="00C542D2">
        <w:t>work</w:t>
      </w:r>
      <w:r>
        <w:t xml:space="preserve"> (2024).</w:t>
      </w:r>
    </w:p>
    <w:p w14:paraId="3AAD50D9" w14:textId="21D4F7D9" w:rsidR="00C53899" w:rsidRDefault="00903BAB" w:rsidP="00C53899">
      <w:pPr>
        <w:spacing w:after="0"/>
        <w:ind w:left="0" w:firstLine="0"/>
      </w:pPr>
      <w:r>
        <w:tab/>
      </w:r>
      <w:r w:rsidR="00AD7B7E">
        <w:t>Figure 1</w:t>
      </w:r>
      <w:r w:rsidR="007A6B2B">
        <w:t>5</w:t>
      </w:r>
      <w:r w:rsidR="00C53899">
        <w:t xml:space="preserve"> revealed that a little above 50 per cent of the sample believed that people felt the benefits of the management process. In comparison, less than 32 per cent of the participants maintained that although people knew the benefits of the management process from information provided by the FSD, they equally</w:t>
      </w:r>
      <w:r w:rsidR="00293806">
        <w:t xml:space="preserve"> felt it</w:t>
      </w:r>
      <w:r w:rsidR="00C53899">
        <w:t>. Focus Group Discussion 1</w:t>
      </w:r>
      <w:r w:rsidR="00C2703F">
        <w:t xml:space="preserve">, comprising cocoa farmers, held at </w:t>
      </w:r>
      <w:proofErr w:type="spellStart"/>
      <w:r w:rsidR="00C2703F">
        <w:t>Krofrom</w:t>
      </w:r>
      <w:proofErr w:type="spellEnd"/>
      <w:r w:rsidR="00C2703F">
        <w:t xml:space="preserve"> at the BFR</w:t>
      </w:r>
      <w:r w:rsidR="00C53899">
        <w:t xml:space="preserve"> on 16</w:t>
      </w:r>
      <w:r w:rsidR="00C53899" w:rsidRPr="00FD21D6">
        <w:rPr>
          <w:vertAlign w:val="superscript"/>
        </w:rPr>
        <w:t>th</w:t>
      </w:r>
      <w:r w:rsidR="00C53899">
        <w:t xml:space="preserve"> February 2024</w:t>
      </w:r>
      <w:r w:rsidR="00982793">
        <w:t xml:space="preserve"> </w:t>
      </w:r>
      <w:r w:rsidR="00C53899">
        <w:t>revealed that they had a junior high school block to show as the</w:t>
      </w:r>
      <w:r w:rsidR="00847E9A">
        <w:t>y benefit from the reserve's management</w:t>
      </w:r>
      <w:r w:rsidR="00C53899">
        <w:t>. In the same light, a little below 34 per cent of the participants at the SSFR indicated that people felt the benefits of the management process. As part of the benefits of the management process, key informant 1</w:t>
      </w:r>
      <w:r w:rsidR="006D4E6D">
        <w:t>5</w:t>
      </w:r>
      <w:r w:rsidR="00C53899">
        <w:t xml:space="preserve"> from the traditional authority on 14</w:t>
      </w:r>
      <w:r w:rsidR="00C53899" w:rsidRPr="00FD21D6">
        <w:rPr>
          <w:vertAlign w:val="superscript"/>
        </w:rPr>
        <w:t>th</w:t>
      </w:r>
      <w:r w:rsidR="00C53899">
        <w:t xml:space="preserve"> March 2024 revealed that they now had commercial trees planted in their cocoa farms because they participated in the management process. The informant </w:t>
      </w:r>
      <w:r w:rsidR="00C53899">
        <w:lastRenderedPageBreak/>
        <w:t xml:space="preserve">added that these trees provided cocoa trees with the right shade to support their growth and were there for everybody to see. </w:t>
      </w:r>
    </w:p>
    <w:p w14:paraId="2603666E" w14:textId="071B0955" w:rsidR="00C53899" w:rsidRDefault="00C53899" w:rsidP="00C53899">
      <w:pPr>
        <w:ind w:left="0" w:firstLine="0"/>
      </w:pPr>
      <w:r>
        <w:tab/>
        <w:t xml:space="preserve">In addition, approximately 3 per cent of the sample admitted that these benefits met people's expectations and were sustainably managed by them. Conversely, a section (2.8%) of the participants believed that the benefits of the management process did not meet people's expectations and were not being managed by the people themselves, as some participants argued. This disparity was further investigated, and it came to light that those participants from communities such as </w:t>
      </w:r>
      <w:proofErr w:type="spellStart"/>
      <w:r>
        <w:t>Monsie</w:t>
      </w:r>
      <w:proofErr w:type="spellEnd"/>
      <w:r>
        <w:t xml:space="preserve"> and </w:t>
      </w:r>
      <w:proofErr w:type="spellStart"/>
      <w:r>
        <w:t>Apesika</w:t>
      </w:r>
      <w:proofErr w:type="spellEnd"/>
      <w:r>
        <w:t xml:space="preserve"> </w:t>
      </w:r>
      <w:r w:rsidR="00C2703F">
        <w:t xml:space="preserve">in the SSFR </w:t>
      </w:r>
      <w:r>
        <w:t xml:space="preserve">had full control over the process because their reserve portion was devoid of commercial trees. </w:t>
      </w:r>
      <w:bookmarkStart w:id="423" w:name="_Hlk167806304"/>
      <w:r w:rsidR="002112D8">
        <w:t>I</w:t>
      </w:r>
      <w:r w:rsidR="00545656">
        <w:t xml:space="preserve">n addition, the FSD </w:t>
      </w:r>
      <w:r w:rsidR="002112D8">
        <w:t xml:space="preserve">also had plans of introducing commercial trees to this </w:t>
      </w:r>
      <w:proofErr w:type="gramStart"/>
      <w:r w:rsidR="002112D8">
        <w:t>compartment</w:t>
      </w:r>
      <w:proofErr w:type="gramEnd"/>
      <w:r w:rsidR="002112D8">
        <w:t xml:space="preserve"> so they</w:t>
      </w:r>
      <w:r>
        <w:t xml:space="preserve"> allowed them to manage their area</w:t>
      </w:r>
      <w:r w:rsidR="002112D8">
        <w:t xml:space="preserve"> while they supplied the seedlings</w:t>
      </w:r>
      <w:r>
        <w:t>.</w:t>
      </w:r>
      <w:bookmarkEnd w:id="423"/>
      <w:r>
        <w:t xml:space="preserve"> Moreover, these communities had vibrant user groups, making it easy for the F</w:t>
      </w:r>
      <w:r w:rsidR="00AD7B7E">
        <w:t>SD to engage them effectively. H</w:t>
      </w:r>
      <w:r>
        <w:t>ence, they derived benef</w:t>
      </w:r>
      <w:r w:rsidR="00AD7B7E">
        <w:t xml:space="preserve">its from the management process as presented in </w:t>
      </w:r>
      <w:r w:rsidR="000D4965">
        <w:t>F</w:t>
      </w:r>
      <w:r w:rsidR="00AD7B7E">
        <w:t>igure 1</w:t>
      </w:r>
      <w:r w:rsidR="007A6B2B">
        <w:t>6</w:t>
      </w:r>
      <w:r w:rsidR="00AD7B7E">
        <w:t xml:space="preserve">. </w:t>
      </w:r>
    </w:p>
    <w:p w14:paraId="6B7D5C61" w14:textId="77777777" w:rsidR="00C53899" w:rsidRPr="00FD21D6" w:rsidRDefault="00C53899" w:rsidP="00C53899"/>
    <w:p w14:paraId="434DEDF3" w14:textId="77777777" w:rsidR="00E21C1D" w:rsidRDefault="00E21C1D" w:rsidP="00C53899">
      <w:pPr>
        <w:spacing w:after="0"/>
        <w:ind w:left="0" w:firstLine="0"/>
      </w:pPr>
    </w:p>
    <w:p w14:paraId="1FAE4EBC" w14:textId="77777777" w:rsidR="00A62B82" w:rsidRDefault="00A62B82" w:rsidP="00A62B82">
      <w:pPr>
        <w:pStyle w:val="BodyText"/>
      </w:pPr>
    </w:p>
    <w:p w14:paraId="5BD25654" w14:textId="295A8870" w:rsidR="00A62B82" w:rsidRDefault="00A62B82" w:rsidP="00697D3D">
      <w:pPr>
        <w:pStyle w:val="BodyText"/>
        <w:ind w:left="0" w:firstLine="0"/>
      </w:pPr>
    </w:p>
    <w:p w14:paraId="5BC2DEA6" w14:textId="77777777" w:rsidR="003303F7" w:rsidRDefault="003303F7" w:rsidP="00A62B82">
      <w:pPr>
        <w:pStyle w:val="BodyText"/>
        <w:sectPr w:rsidR="003303F7" w:rsidSect="0081629E">
          <w:type w:val="continuous"/>
          <w:pgSz w:w="11906" w:h="16838" w:code="9"/>
          <w:pgMar w:top="1440" w:right="1440" w:bottom="1440" w:left="2880" w:header="720" w:footer="720" w:gutter="0"/>
          <w:cols w:space="720"/>
          <w:docGrid w:linePitch="360"/>
        </w:sectPr>
      </w:pPr>
    </w:p>
    <w:p w14:paraId="48226DA2" w14:textId="77777777" w:rsidR="00E21C1D" w:rsidRDefault="00E21C1D" w:rsidP="00772DAC">
      <w:pPr>
        <w:autoSpaceDE w:val="0"/>
        <w:autoSpaceDN w:val="0"/>
        <w:adjustRightInd w:val="0"/>
        <w:spacing w:after="0" w:line="240" w:lineRule="auto"/>
        <w:ind w:left="0" w:firstLine="0"/>
        <w:rPr>
          <w:rFonts w:cs="Times New Roman"/>
          <w:szCs w:val="24"/>
        </w:rPr>
      </w:pPr>
      <w:r>
        <w:rPr>
          <w:rFonts w:cs="Times New Roman"/>
          <w:noProof/>
          <w:szCs w:val="24"/>
          <w:lang w:val="en-US"/>
        </w:rPr>
        <w:lastRenderedPageBreak/>
        <w:drawing>
          <wp:inline distT="0" distB="0" distL="0" distR="0" wp14:anchorId="38B8D32E" wp14:editId="17E707D3">
            <wp:extent cx="8617856" cy="3657600"/>
            <wp:effectExtent l="0" t="0" r="0" b="0"/>
            <wp:docPr id="12841867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7">
                      <a:extLst>
                        <a:ext uri="{28A0092B-C50C-407E-A947-70E740481C1C}">
                          <a14:useLocalDpi xmlns:a14="http://schemas.microsoft.com/office/drawing/2010/main" val="0"/>
                        </a:ext>
                      </a:extLst>
                    </a:blip>
                    <a:srcRect t="15686"/>
                    <a:stretch/>
                  </pic:blipFill>
                  <pic:spPr bwMode="auto">
                    <a:xfrm>
                      <a:off x="0" y="0"/>
                      <a:ext cx="8680998" cy="3684399"/>
                    </a:xfrm>
                    <a:prstGeom prst="rect">
                      <a:avLst/>
                    </a:prstGeom>
                    <a:noFill/>
                    <a:ln>
                      <a:noFill/>
                    </a:ln>
                    <a:extLst>
                      <a:ext uri="{53640926-AAD7-44D8-BBD7-CCE9431645EC}">
                        <a14:shadowObscured xmlns:a14="http://schemas.microsoft.com/office/drawing/2010/main"/>
                      </a:ext>
                    </a:extLst>
                  </pic:spPr>
                </pic:pic>
              </a:graphicData>
            </a:graphic>
          </wp:inline>
        </w:drawing>
      </w:r>
    </w:p>
    <w:p w14:paraId="6BD4B2B8" w14:textId="7CB18063" w:rsidR="00E21C1D" w:rsidRDefault="006C4BF7" w:rsidP="00772DAC">
      <w:pPr>
        <w:ind w:left="0" w:firstLine="0"/>
      </w:pPr>
      <w:bookmarkStart w:id="424" w:name="_Toc155175925"/>
      <w:bookmarkStart w:id="425" w:name="_Toc161750375"/>
      <w:bookmarkStart w:id="426" w:name="_Toc163254048"/>
      <w:bookmarkStart w:id="427" w:name="_Toc172102426"/>
      <w:bookmarkStart w:id="428" w:name="_Toc197068870"/>
      <w:bookmarkStart w:id="429" w:name="_Toc199164981"/>
      <w:bookmarkStart w:id="430" w:name="_Toc202196573"/>
      <w:bookmarkStart w:id="431" w:name="_Toc202197692"/>
      <w:r>
        <w:rPr>
          <w:rStyle w:val="Heading3Char"/>
          <w:b/>
          <w:i/>
        </w:rPr>
        <w:t>Figure 1</w:t>
      </w:r>
      <w:r w:rsidR="007A6B2B">
        <w:rPr>
          <w:rStyle w:val="Heading3Char"/>
          <w:b/>
          <w:i/>
        </w:rPr>
        <w:t>6</w:t>
      </w:r>
      <w:r w:rsidR="00E21C1D" w:rsidRPr="00E73A56">
        <w:rPr>
          <w:rStyle w:val="Heading3Char"/>
          <w:b/>
        </w:rPr>
        <w:t xml:space="preserve">: Benefit </w:t>
      </w:r>
      <w:r w:rsidR="00E73A56" w:rsidRPr="00E73A56">
        <w:rPr>
          <w:rStyle w:val="Heading3Char"/>
          <w:b/>
        </w:rPr>
        <w:t xml:space="preserve">Derived by Residents from the Management Process </w:t>
      </w:r>
      <w:r w:rsidR="00E21C1D" w:rsidRPr="00E73A56">
        <w:rPr>
          <w:rStyle w:val="Heading3Char"/>
          <w:b/>
        </w:rPr>
        <w:t>at the Southern Scarp Forest Reserve</w:t>
      </w:r>
      <w:bookmarkEnd w:id="424"/>
      <w:bookmarkEnd w:id="425"/>
      <w:bookmarkEnd w:id="426"/>
      <w:bookmarkEnd w:id="427"/>
      <w:bookmarkEnd w:id="428"/>
      <w:bookmarkEnd w:id="429"/>
      <w:bookmarkEnd w:id="430"/>
      <w:bookmarkEnd w:id="431"/>
      <w:r w:rsidR="00E21C1D">
        <w:t xml:space="preserve">. </w:t>
      </w:r>
    </w:p>
    <w:p w14:paraId="59D93900" w14:textId="5B444D9A" w:rsidR="00E21C1D" w:rsidRDefault="00E21C1D" w:rsidP="00772DAC">
      <w:pPr>
        <w:autoSpaceDE w:val="0"/>
        <w:autoSpaceDN w:val="0"/>
        <w:adjustRightInd w:val="0"/>
        <w:spacing w:after="0" w:line="240" w:lineRule="auto"/>
        <w:ind w:left="0" w:firstLine="0"/>
        <w:rPr>
          <w:rFonts w:cs="Times New Roman"/>
          <w:szCs w:val="24"/>
        </w:rPr>
      </w:pPr>
      <w:r>
        <w:rPr>
          <w:rFonts w:cs="Times New Roman"/>
          <w:szCs w:val="24"/>
        </w:rPr>
        <w:t>Source: Field</w:t>
      </w:r>
      <w:r w:rsidR="00C542D2">
        <w:rPr>
          <w:rFonts w:cs="Times New Roman"/>
          <w:szCs w:val="24"/>
        </w:rPr>
        <w:t>work</w:t>
      </w:r>
      <w:r>
        <w:rPr>
          <w:rFonts w:cs="Times New Roman"/>
          <w:szCs w:val="24"/>
        </w:rPr>
        <w:t xml:space="preserve"> (2024).  </w:t>
      </w:r>
    </w:p>
    <w:p w14:paraId="7D6C8E16" w14:textId="77777777" w:rsidR="00DE120F" w:rsidRDefault="00DE120F" w:rsidP="00772DAC">
      <w:pPr>
        <w:autoSpaceDE w:val="0"/>
        <w:autoSpaceDN w:val="0"/>
        <w:adjustRightInd w:val="0"/>
        <w:spacing w:after="0" w:line="400" w:lineRule="atLeast"/>
        <w:ind w:left="0" w:firstLine="0"/>
        <w:rPr>
          <w:rFonts w:cs="Times New Roman"/>
          <w:szCs w:val="24"/>
        </w:rPr>
        <w:sectPr w:rsidR="00DE120F" w:rsidSect="0081629E">
          <w:type w:val="continuous"/>
          <w:pgSz w:w="16838" w:h="11906" w:orient="landscape" w:code="9"/>
          <w:pgMar w:top="2880" w:right="1440" w:bottom="1440" w:left="1440" w:header="720" w:footer="720" w:gutter="0"/>
          <w:cols w:space="720"/>
          <w:docGrid w:linePitch="360"/>
        </w:sectPr>
      </w:pPr>
    </w:p>
    <w:p w14:paraId="1523F602" w14:textId="77777777" w:rsidR="003303F7" w:rsidRDefault="003303F7" w:rsidP="00797D69">
      <w:pPr>
        <w:ind w:left="0"/>
      </w:pPr>
    </w:p>
    <w:p w14:paraId="0D2EDC7D" w14:textId="77777777" w:rsidR="003303F7" w:rsidRDefault="003303F7" w:rsidP="00797D69">
      <w:pPr>
        <w:ind w:left="0"/>
        <w:sectPr w:rsidR="003303F7" w:rsidSect="0081629E">
          <w:type w:val="continuous"/>
          <w:pgSz w:w="16838" w:h="11906" w:orient="landscape" w:code="9"/>
          <w:pgMar w:top="2880" w:right="1440" w:bottom="1440" w:left="1440" w:header="720" w:footer="720" w:gutter="0"/>
          <w:cols w:space="720"/>
          <w:docGrid w:linePitch="360"/>
        </w:sectPr>
      </w:pPr>
    </w:p>
    <w:p w14:paraId="4893E112" w14:textId="1FA161BA" w:rsidR="00E21C1D" w:rsidRDefault="00E21C1D" w:rsidP="00797D69">
      <w:pPr>
        <w:ind w:left="0"/>
      </w:pPr>
      <w:r>
        <w:lastRenderedPageBreak/>
        <w:t>The overall analyses of the residents' access, awareness, control and benefit components of community participation in the Bobiri</w:t>
      </w:r>
      <w:r w:rsidR="00847E9A">
        <w:t xml:space="preserve"> Forest Reserve, </w:t>
      </w:r>
      <w:r>
        <w:t>Southern Scarp Forest Res</w:t>
      </w:r>
      <w:r w:rsidR="00AD7B7E">
        <w:t>erve</w:t>
      </w:r>
      <w:r w:rsidR="00847E9A">
        <w:t xml:space="preserve"> and a Composite Participation Index for the two study areas</w:t>
      </w:r>
      <w:r w:rsidR="00AD7B7E">
        <w:t xml:space="preserve"> </w:t>
      </w:r>
      <w:r w:rsidR="00847E9A">
        <w:t>are</w:t>
      </w:r>
      <w:r w:rsidR="00AD7B7E">
        <w:t xml:space="preserve"> presented in Table</w:t>
      </w:r>
      <w:r w:rsidR="00847E9A">
        <w:t xml:space="preserve">s </w:t>
      </w:r>
      <w:r w:rsidR="004040DF">
        <w:t>7</w:t>
      </w:r>
      <w:r w:rsidR="00847E9A">
        <w:t xml:space="preserve">, </w:t>
      </w:r>
      <w:r w:rsidR="004040DF">
        <w:t>8</w:t>
      </w:r>
      <w:r w:rsidR="00847E9A">
        <w:t xml:space="preserve"> and </w:t>
      </w:r>
      <w:r w:rsidR="004040DF">
        <w:t>9</w:t>
      </w:r>
      <w:r>
        <w:t>.</w:t>
      </w:r>
    </w:p>
    <w:p w14:paraId="574C62C2" w14:textId="762A1B16" w:rsidR="00C542D2" w:rsidRDefault="00C542D2" w:rsidP="001F0945">
      <w:pPr>
        <w:pStyle w:val="LT"/>
      </w:pPr>
      <w:bookmarkStart w:id="432" w:name="_Toc197068871"/>
      <w:bookmarkStart w:id="433" w:name="_Toc197335671"/>
      <w:r w:rsidRPr="00C2703F">
        <w:t xml:space="preserve">Table </w:t>
      </w:r>
      <w:r w:rsidR="004040DF">
        <w:t>7</w:t>
      </w:r>
      <w:r w:rsidRPr="00C2703F">
        <w:t xml:space="preserve">: Participation </w:t>
      </w:r>
      <w:r w:rsidR="00847E9A">
        <w:t>I</w:t>
      </w:r>
      <w:r w:rsidRPr="00C2703F">
        <w:t>ndex</w:t>
      </w:r>
      <w:r w:rsidR="00847E9A">
        <w:t xml:space="preserve"> for Bobiri Forest Reserve</w:t>
      </w:r>
      <w:bookmarkEnd w:id="432"/>
      <w:bookmarkEnd w:id="43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5"/>
        <w:gridCol w:w="3611"/>
      </w:tblGrid>
      <w:tr w:rsidR="00847E9A" w14:paraId="19770657" w14:textId="77777777" w:rsidTr="00847E9A">
        <w:tc>
          <w:tcPr>
            <w:tcW w:w="3975" w:type="dxa"/>
            <w:tcBorders>
              <w:top w:val="single" w:sz="4" w:space="0" w:color="auto"/>
              <w:bottom w:val="single" w:sz="4" w:space="0" w:color="auto"/>
            </w:tcBorders>
          </w:tcPr>
          <w:p w14:paraId="735BF6E9" w14:textId="77777777" w:rsidR="00847E9A" w:rsidRDefault="00847E9A" w:rsidP="00847E9A">
            <w:pPr>
              <w:autoSpaceDE w:val="0"/>
              <w:autoSpaceDN w:val="0"/>
              <w:adjustRightInd w:val="0"/>
              <w:spacing w:line="400" w:lineRule="atLeast"/>
              <w:ind w:firstLine="0"/>
              <w:rPr>
                <w:rFonts w:cs="Times New Roman"/>
              </w:rPr>
            </w:pPr>
            <w:r>
              <w:rPr>
                <w:rFonts w:cs="Times New Roman"/>
              </w:rPr>
              <w:t xml:space="preserve">Levels of Participation </w:t>
            </w:r>
          </w:p>
        </w:tc>
        <w:tc>
          <w:tcPr>
            <w:tcW w:w="3611" w:type="dxa"/>
            <w:tcBorders>
              <w:top w:val="single" w:sz="4" w:space="0" w:color="auto"/>
              <w:bottom w:val="single" w:sz="4" w:space="0" w:color="auto"/>
            </w:tcBorders>
          </w:tcPr>
          <w:p w14:paraId="2A1C445A" w14:textId="6417AE00" w:rsidR="00847E9A" w:rsidRDefault="00847E9A" w:rsidP="00C34F3A">
            <w:pPr>
              <w:autoSpaceDE w:val="0"/>
              <w:autoSpaceDN w:val="0"/>
              <w:adjustRightInd w:val="0"/>
              <w:spacing w:line="400" w:lineRule="atLeast"/>
              <w:rPr>
                <w:rFonts w:cs="Times New Roman"/>
              </w:rPr>
            </w:pPr>
            <w:r>
              <w:rPr>
                <w:rFonts w:cs="Times New Roman"/>
              </w:rPr>
              <w:t xml:space="preserve">Per cent </w:t>
            </w:r>
          </w:p>
        </w:tc>
      </w:tr>
      <w:tr w:rsidR="00847E9A" w14:paraId="37F4ECEC" w14:textId="77777777" w:rsidTr="00847E9A">
        <w:tc>
          <w:tcPr>
            <w:tcW w:w="3975" w:type="dxa"/>
            <w:tcBorders>
              <w:top w:val="single" w:sz="4" w:space="0" w:color="auto"/>
            </w:tcBorders>
          </w:tcPr>
          <w:p w14:paraId="063B02B0" w14:textId="77777777" w:rsidR="00847E9A" w:rsidRDefault="00847E9A" w:rsidP="00C34F3A">
            <w:pPr>
              <w:autoSpaceDE w:val="0"/>
              <w:autoSpaceDN w:val="0"/>
              <w:adjustRightInd w:val="0"/>
              <w:spacing w:line="400" w:lineRule="atLeast"/>
              <w:rPr>
                <w:rFonts w:cs="Times New Roman"/>
              </w:rPr>
            </w:pPr>
            <w:r>
              <w:rPr>
                <w:rFonts w:cs="Times New Roman"/>
              </w:rPr>
              <w:t xml:space="preserve">Manipulation </w:t>
            </w:r>
          </w:p>
        </w:tc>
        <w:tc>
          <w:tcPr>
            <w:tcW w:w="3611" w:type="dxa"/>
            <w:tcBorders>
              <w:top w:val="single" w:sz="4" w:space="0" w:color="auto"/>
            </w:tcBorders>
          </w:tcPr>
          <w:p w14:paraId="20E2CD91" w14:textId="77777777" w:rsidR="00847E9A" w:rsidRDefault="00847E9A" w:rsidP="00C34F3A">
            <w:pPr>
              <w:autoSpaceDE w:val="0"/>
              <w:autoSpaceDN w:val="0"/>
              <w:adjustRightInd w:val="0"/>
              <w:spacing w:line="400" w:lineRule="atLeast"/>
              <w:rPr>
                <w:rFonts w:cs="Times New Roman"/>
              </w:rPr>
            </w:pPr>
            <w:r>
              <w:rPr>
                <w:rFonts w:cs="Times New Roman"/>
              </w:rPr>
              <w:t>74.7</w:t>
            </w:r>
          </w:p>
        </w:tc>
      </w:tr>
      <w:tr w:rsidR="00847E9A" w14:paraId="19A556FA" w14:textId="77777777" w:rsidTr="00847E9A">
        <w:tc>
          <w:tcPr>
            <w:tcW w:w="3975" w:type="dxa"/>
            <w:tcBorders>
              <w:bottom w:val="single" w:sz="4" w:space="0" w:color="auto"/>
            </w:tcBorders>
          </w:tcPr>
          <w:p w14:paraId="4A31EAE2" w14:textId="77777777" w:rsidR="00847E9A" w:rsidRDefault="00847E9A" w:rsidP="00C34F3A">
            <w:pPr>
              <w:autoSpaceDE w:val="0"/>
              <w:autoSpaceDN w:val="0"/>
              <w:adjustRightInd w:val="0"/>
              <w:spacing w:line="400" w:lineRule="atLeast"/>
              <w:rPr>
                <w:rFonts w:cs="Times New Roman"/>
              </w:rPr>
            </w:pPr>
            <w:r>
              <w:rPr>
                <w:rFonts w:cs="Times New Roman"/>
              </w:rPr>
              <w:t xml:space="preserve">Therapy </w:t>
            </w:r>
          </w:p>
        </w:tc>
        <w:tc>
          <w:tcPr>
            <w:tcW w:w="3611" w:type="dxa"/>
            <w:tcBorders>
              <w:bottom w:val="single" w:sz="4" w:space="0" w:color="auto"/>
            </w:tcBorders>
          </w:tcPr>
          <w:p w14:paraId="780CAF13" w14:textId="77777777" w:rsidR="00847E9A" w:rsidRDefault="00847E9A" w:rsidP="00C34F3A">
            <w:pPr>
              <w:autoSpaceDE w:val="0"/>
              <w:autoSpaceDN w:val="0"/>
              <w:adjustRightInd w:val="0"/>
              <w:spacing w:line="400" w:lineRule="atLeast"/>
              <w:rPr>
                <w:rFonts w:cs="Times New Roman"/>
              </w:rPr>
            </w:pPr>
            <w:r>
              <w:rPr>
                <w:rFonts w:cs="Times New Roman"/>
              </w:rPr>
              <w:t>25.3</w:t>
            </w:r>
          </w:p>
        </w:tc>
      </w:tr>
      <w:tr w:rsidR="00847E9A" w14:paraId="3D5480D7" w14:textId="77777777" w:rsidTr="00847E9A">
        <w:tc>
          <w:tcPr>
            <w:tcW w:w="3975" w:type="dxa"/>
            <w:tcBorders>
              <w:top w:val="single" w:sz="4" w:space="0" w:color="auto"/>
              <w:bottom w:val="single" w:sz="4" w:space="0" w:color="auto"/>
            </w:tcBorders>
          </w:tcPr>
          <w:p w14:paraId="77067E06" w14:textId="77777777" w:rsidR="00847E9A" w:rsidRDefault="00847E9A" w:rsidP="00C34F3A">
            <w:pPr>
              <w:autoSpaceDE w:val="0"/>
              <w:autoSpaceDN w:val="0"/>
              <w:adjustRightInd w:val="0"/>
              <w:spacing w:line="400" w:lineRule="atLeast"/>
              <w:rPr>
                <w:rFonts w:cs="Times New Roman"/>
              </w:rPr>
            </w:pPr>
            <w:r>
              <w:rPr>
                <w:rFonts w:cs="Times New Roman"/>
              </w:rPr>
              <w:t xml:space="preserve">Total </w:t>
            </w:r>
          </w:p>
        </w:tc>
        <w:tc>
          <w:tcPr>
            <w:tcW w:w="3611" w:type="dxa"/>
            <w:tcBorders>
              <w:top w:val="single" w:sz="4" w:space="0" w:color="auto"/>
              <w:bottom w:val="single" w:sz="4" w:space="0" w:color="auto"/>
            </w:tcBorders>
          </w:tcPr>
          <w:p w14:paraId="4F1D97C7" w14:textId="77777777" w:rsidR="00847E9A" w:rsidRDefault="00847E9A" w:rsidP="00C34F3A">
            <w:pPr>
              <w:autoSpaceDE w:val="0"/>
              <w:autoSpaceDN w:val="0"/>
              <w:adjustRightInd w:val="0"/>
              <w:spacing w:line="400" w:lineRule="atLeast"/>
              <w:rPr>
                <w:rFonts w:cs="Times New Roman"/>
              </w:rPr>
            </w:pPr>
            <w:r>
              <w:rPr>
                <w:rFonts w:cs="Times New Roman"/>
              </w:rPr>
              <w:t>100</w:t>
            </w:r>
          </w:p>
        </w:tc>
      </w:tr>
    </w:tbl>
    <w:p w14:paraId="4A0B55F7" w14:textId="74DCA25C" w:rsidR="00847E9A" w:rsidRDefault="00847E9A" w:rsidP="00C542D2">
      <w:pPr>
        <w:pStyle w:val="BodyText"/>
        <w:spacing w:after="0"/>
        <w:ind w:left="0" w:firstLine="0"/>
        <w:rPr>
          <w:b/>
          <w:bCs/>
        </w:rPr>
      </w:pPr>
      <w:r>
        <w:t>Source: Fieldwork (2024).</w:t>
      </w:r>
    </w:p>
    <w:p w14:paraId="4E41BDE2" w14:textId="5B4955E0" w:rsidR="00847E9A" w:rsidRPr="00847E9A" w:rsidRDefault="00847E9A" w:rsidP="00C542D2">
      <w:pPr>
        <w:pStyle w:val="BodyText"/>
        <w:spacing w:after="0"/>
        <w:ind w:left="0" w:firstLine="0"/>
      </w:pPr>
      <w:r>
        <w:rPr>
          <w:b/>
          <w:bCs/>
        </w:rPr>
        <w:tab/>
      </w:r>
      <w:r>
        <w:t xml:space="preserve">Table </w:t>
      </w:r>
      <w:r w:rsidR="004040DF">
        <w:t>7</w:t>
      </w:r>
      <w:r>
        <w:t xml:space="preserve"> revealed that the majority (74.7) of cocoa farmers at Bobiri were engaged at the manipulation level on Arnstein’s (1969) ladder. This level of engagement indicated that cocoa farmers were only educated or informed about the rules or policies of the FSD, and there was no option for them to contribute to or influence the decision. This was supported by focus group discussion 1 at </w:t>
      </w:r>
      <w:proofErr w:type="spellStart"/>
      <w:r>
        <w:t>Krofrom</w:t>
      </w:r>
      <w:proofErr w:type="spellEnd"/>
      <w:r>
        <w:t>, where discussants maintained that the FSD only informed them of decisions made regarding the use of forest resources. The discussants noted that some Technical Officers decided to allow them to harvest non-timber resources such as canes while others did not.</w:t>
      </w:r>
    </w:p>
    <w:p w14:paraId="691D7C57" w14:textId="1C423379" w:rsidR="00847E9A" w:rsidRDefault="00847E9A" w:rsidP="00524689">
      <w:pPr>
        <w:pStyle w:val="LT"/>
      </w:pPr>
      <w:bookmarkStart w:id="434" w:name="_Toc197068872"/>
      <w:r>
        <w:t xml:space="preserve">Table </w:t>
      </w:r>
      <w:r w:rsidR="004040DF">
        <w:t>8</w:t>
      </w:r>
      <w:r>
        <w:t>: Participation Index for Southern Scarp Forest Reserve</w:t>
      </w:r>
      <w:bookmarkEnd w:id="434"/>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3"/>
        <w:gridCol w:w="3793"/>
      </w:tblGrid>
      <w:tr w:rsidR="00847E9A" w:rsidRPr="004518DA" w14:paraId="71D1977C" w14:textId="77777777" w:rsidTr="00C34F3A">
        <w:tc>
          <w:tcPr>
            <w:tcW w:w="2500" w:type="pct"/>
            <w:tcBorders>
              <w:top w:val="single" w:sz="4" w:space="0" w:color="auto"/>
              <w:bottom w:val="single" w:sz="4" w:space="0" w:color="auto"/>
            </w:tcBorders>
          </w:tcPr>
          <w:p w14:paraId="2B1C0431" w14:textId="77777777" w:rsidR="00847E9A" w:rsidRPr="004518DA" w:rsidRDefault="00847E9A" w:rsidP="00847E9A">
            <w:pPr>
              <w:autoSpaceDE w:val="0"/>
              <w:autoSpaceDN w:val="0"/>
              <w:adjustRightInd w:val="0"/>
              <w:spacing w:line="400" w:lineRule="atLeast"/>
              <w:ind w:left="0" w:firstLine="0"/>
              <w:jc w:val="right"/>
              <w:rPr>
                <w:rFonts w:cs="Times New Roman"/>
              </w:rPr>
            </w:pPr>
            <w:r w:rsidRPr="004518DA">
              <w:rPr>
                <w:rFonts w:cs="Times New Roman"/>
              </w:rPr>
              <w:t>Levels of Participation</w:t>
            </w:r>
          </w:p>
        </w:tc>
        <w:tc>
          <w:tcPr>
            <w:tcW w:w="2500" w:type="pct"/>
            <w:tcBorders>
              <w:top w:val="single" w:sz="4" w:space="0" w:color="auto"/>
              <w:bottom w:val="single" w:sz="4" w:space="0" w:color="auto"/>
            </w:tcBorders>
          </w:tcPr>
          <w:p w14:paraId="6CD99261" w14:textId="38C2ACAD" w:rsidR="00847E9A" w:rsidRPr="004518DA" w:rsidRDefault="00847E9A" w:rsidP="00C34F3A">
            <w:pPr>
              <w:autoSpaceDE w:val="0"/>
              <w:autoSpaceDN w:val="0"/>
              <w:adjustRightInd w:val="0"/>
              <w:spacing w:line="400" w:lineRule="atLeast"/>
              <w:rPr>
                <w:rFonts w:cs="Times New Roman"/>
              </w:rPr>
            </w:pPr>
            <w:r w:rsidRPr="004518DA">
              <w:rPr>
                <w:rFonts w:cs="Times New Roman"/>
              </w:rPr>
              <w:t>Per</w:t>
            </w:r>
            <w:r>
              <w:rPr>
                <w:rFonts w:cs="Times New Roman"/>
              </w:rPr>
              <w:t xml:space="preserve"> </w:t>
            </w:r>
            <w:r w:rsidRPr="004518DA">
              <w:rPr>
                <w:rFonts w:cs="Times New Roman"/>
              </w:rPr>
              <w:t xml:space="preserve">cent </w:t>
            </w:r>
          </w:p>
        </w:tc>
      </w:tr>
      <w:tr w:rsidR="00847E9A" w:rsidRPr="004518DA" w14:paraId="3CFA9985" w14:textId="77777777" w:rsidTr="00C34F3A">
        <w:tc>
          <w:tcPr>
            <w:tcW w:w="2500" w:type="pct"/>
            <w:tcBorders>
              <w:top w:val="single" w:sz="4" w:space="0" w:color="auto"/>
            </w:tcBorders>
          </w:tcPr>
          <w:p w14:paraId="10AD60D1"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Manipulation</w:t>
            </w:r>
          </w:p>
        </w:tc>
        <w:tc>
          <w:tcPr>
            <w:tcW w:w="2500" w:type="pct"/>
            <w:tcBorders>
              <w:top w:val="single" w:sz="4" w:space="0" w:color="auto"/>
            </w:tcBorders>
          </w:tcPr>
          <w:p w14:paraId="6667F3A3"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42.1</w:t>
            </w:r>
          </w:p>
        </w:tc>
      </w:tr>
      <w:tr w:rsidR="00847E9A" w:rsidRPr="004518DA" w14:paraId="7C32E10B" w14:textId="77777777" w:rsidTr="00C34F3A">
        <w:tc>
          <w:tcPr>
            <w:tcW w:w="2500" w:type="pct"/>
          </w:tcPr>
          <w:p w14:paraId="74E04CF8"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Informing</w:t>
            </w:r>
          </w:p>
        </w:tc>
        <w:tc>
          <w:tcPr>
            <w:tcW w:w="2500" w:type="pct"/>
          </w:tcPr>
          <w:p w14:paraId="5BF5B523"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1.9</w:t>
            </w:r>
          </w:p>
        </w:tc>
      </w:tr>
      <w:tr w:rsidR="00847E9A" w:rsidRPr="004518DA" w14:paraId="3F017F64" w14:textId="77777777" w:rsidTr="00C34F3A">
        <w:tc>
          <w:tcPr>
            <w:tcW w:w="2500" w:type="pct"/>
          </w:tcPr>
          <w:p w14:paraId="46F06153"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Consultation</w:t>
            </w:r>
          </w:p>
        </w:tc>
        <w:tc>
          <w:tcPr>
            <w:tcW w:w="2500" w:type="pct"/>
          </w:tcPr>
          <w:p w14:paraId="0ED29096"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21.5</w:t>
            </w:r>
          </w:p>
        </w:tc>
      </w:tr>
      <w:tr w:rsidR="00847E9A" w:rsidRPr="004518DA" w14:paraId="6DB0654B" w14:textId="77777777" w:rsidTr="00C34F3A">
        <w:tc>
          <w:tcPr>
            <w:tcW w:w="2500" w:type="pct"/>
          </w:tcPr>
          <w:p w14:paraId="3781024F"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Placation</w:t>
            </w:r>
          </w:p>
        </w:tc>
        <w:tc>
          <w:tcPr>
            <w:tcW w:w="2500" w:type="pct"/>
          </w:tcPr>
          <w:p w14:paraId="6B426883"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11.5</w:t>
            </w:r>
          </w:p>
        </w:tc>
      </w:tr>
      <w:tr w:rsidR="00847E9A" w:rsidRPr="004518DA" w14:paraId="2BFD6229" w14:textId="77777777" w:rsidTr="00C34F3A">
        <w:tc>
          <w:tcPr>
            <w:tcW w:w="2500" w:type="pct"/>
            <w:tcBorders>
              <w:bottom w:val="single" w:sz="4" w:space="0" w:color="auto"/>
            </w:tcBorders>
          </w:tcPr>
          <w:p w14:paraId="232AEA41"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Partnership</w:t>
            </w:r>
          </w:p>
        </w:tc>
        <w:tc>
          <w:tcPr>
            <w:tcW w:w="2500" w:type="pct"/>
            <w:tcBorders>
              <w:bottom w:val="single" w:sz="4" w:space="0" w:color="auto"/>
            </w:tcBorders>
          </w:tcPr>
          <w:p w14:paraId="40698AC4"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23.0</w:t>
            </w:r>
          </w:p>
        </w:tc>
      </w:tr>
      <w:tr w:rsidR="00847E9A" w:rsidRPr="004518DA" w14:paraId="68A35E13" w14:textId="77777777" w:rsidTr="00C34F3A">
        <w:tc>
          <w:tcPr>
            <w:tcW w:w="2500" w:type="pct"/>
            <w:tcBorders>
              <w:top w:val="single" w:sz="4" w:space="0" w:color="auto"/>
              <w:bottom w:val="single" w:sz="4" w:space="0" w:color="auto"/>
            </w:tcBorders>
          </w:tcPr>
          <w:p w14:paraId="32AB9A62"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Total</w:t>
            </w:r>
          </w:p>
        </w:tc>
        <w:tc>
          <w:tcPr>
            <w:tcW w:w="2500" w:type="pct"/>
            <w:tcBorders>
              <w:top w:val="single" w:sz="4" w:space="0" w:color="auto"/>
              <w:bottom w:val="single" w:sz="4" w:space="0" w:color="auto"/>
            </w:tcBorders>
          </w:tcPr>
          <w:p w14:paraId="7C4E731F" w14:textId="77777777" w:rsidR="00847E9A" w:rsidRPr="004518DA" w:rsidRDefault="00847E9A" w:rsidP="00C34F3A">
            <w:pPr>
              <w:autoSpaceDE w:val="0"/>
              <w:autoSpaceDN w:val="0"/>
              <w:adjustRightInd w:val="0"/>
              <w:spacing w:line="400" w:lineRule="atLeast"/>
              <w:rPr>
                <w:rFonts w:cs="Times New Roman"/>
              </w:rPr>
            </w:pPr>
            <w:r w:rsidRPr="00235D38">
              <w:rPr>
                <w:rFonts w:cs="Times New Roman"/>
              </w:rPr>
              <w:t>100.0</w:t>
            </w:r>
          </w:p>
        </w:tc>
      </w:tr>
    </w:tbl>
    <w:p w14:paraId="1DAA25EA" w14:textId="3EAE24BC" w:rsidR="00847E9A" w:rsidRPr="00847E9A" w:rsidRDefault="00847E9A" w:rsidP="00C542D2">
      <w:pPr>
        <w:pStyle w:val="BodyText"/>
        <w:spacing w:after="0"/>
        <w:ind w:left="0" w:firstLine="0"/>
      </w:pPr>
      <w:r w:rsidRPr="00847E9A">
        <w:t>Source: Fieldwork (2024).</w:t>
      </w:r>
    </w:p>
    <w:p w14:paraId="76F46244" w14:textId="24FD4698" w:rsidR="00847E9A" w:rsidRPr="00C80B4A" w:rsidRDefault="00C80B4A" w:rsidP="00C542D2">
      <w:pPr>
        <w:pStyle w:val="BodyText"/>
        <w:spacing w:after="0"/>
        <w:ind w:left="0" w:firstLine="0"/>
      </w:pPr>
      <w:r>
        <w:rPr>
          <w:b/>
          <w:bCs/>
        </w:rPr>
        <w:lastRenderedPageBreak/>
        <w:tab/>
      </w:r>
      <w:r>
        <w:t xml:space="preserve">The Southern Scarp Forest Reserve participation index, as seen in Table </w:t>
      </w:r>
      <w:r w:rsidR="004040DF">
        <w:t>8</w:t>
      </w:r>
      <w:r>
        <w:t xml:space="preserve">, showed that most (42.1) cocoa farmers engaged on the manipulative level on Arnstein’s (1969) ladder of participation. This also </w:t>
      </w:r>
      <w:r w:rsidR="00605F7F">
        <w:t>indicated</w:t>
      </w:r>
      <w:r>
        <w:t xml:space="preserve"> that</w:t>
      </w:r>
      <w:r w:rsidR="00605F7F">
        <w:t xml:space="preserve"> most</w:t>
      </w:r>
      <w:r>
        <w:t xml:space="preserve"> cocoa farmers in the two study areas </w:t>
      </w:r>
      <w:r w:rsidR="00605F7F">
        <w:t>are only</w:t>
      </w:r>
      <w:r>
        <w:t xml:space="preserve"> informed of decisions regarding the forest reserves by the FSD</w:t>
      </w:r>
      <w:r w:rsidR="00605F7F">
        <w:t>.</w:t>
      </w:r>
    </w:p>
    <w:p w14:paraId="08EDEFFA" w14:textId="7F5FC76C" w:rsidR="00847E9A" w:rsidRPr="00C2703F" w:rsidRDefault="00605F7F" w:rsidP="001F0945">
      <w:pPr>
        <w:pStyle w:val="LT"/>
      </w:pPr>
      <w:bookmarkStart w:id="435" w:name="_Toc197335672"/>
      <w:r>
        <w:t xml:space="preserve">Table </w:t>
      </w:r>
      <w:r w:rsidR="004040DF">
        <w:t>9</w:t>
      </w:r>
      <w:r>
        <w:t>: Composite Participation Index</w:t>
      </w:r>
      <w:bookmarkEnd w:id="435"/>
      <w:r>
        <w:t xml:space="preserve"> </w:t>
      </w:r>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0"/>
        <w:gridCol w:w="108"/>
        <w:gridCol w:w="3746"/>
      </w:tblGrid>
      <w:tr w:rsidR="00847E9A" w14:paraId="096D582B" w14:textId="77777777" w:rsidTr="003303F7">
        <w:tc>
          <w:tcPr>
            <w:tcW w:w="3948" w:type="dxa"/>
            <w:gridSpan w:val="2"/>
            <w:tcBorders>
              <w:top w:val="single" w:sz="4" w:space="0" w:color="auto"/>
              <w:bottom w:val="single" w:sz="4" w:space="0" w:color="auto"/>
            </w:tcBorders>
          </w:tcPr>
          <w:p w14:paraId="6DF9745E" w14:textId="77777777" w:rsidR="00847E9A" w:rsidRDefault="00847E9A" w:rsidP="00847E9A">
            <w:pPr>
              <w:ind w:firstLine="0"/>
            </w:pPr>
            <w:r>
              <w:t xml:space="preserve">Levels of Participation </w:t>
            </w:r>
          </w:p>
        </w:tc>
        <w:tc>
          <w:tcPr>
            <w:tcW w:w="3746" w:type="dxa"/>
            <w:tcBorders>
              <w:top w:val="single" w:sz="4" w:space="0" w:color="auto"/>
              <w:bottom w:val="single" w:sz="4" w:space="0" w:color="auto"/>
            </w:tcBorders>
          </w:tcPr>
          <w:p w14:paraId="15F23F26" w14:textId="77777777" w:rsidR="00847E9A" w:rsidRDefault="00847E9A" w:rsidP="00C34F3A">
            <w:r>
              <w:t xml:space="preserve">Percentage </w:t>
            </w:r>
          </w:p>
        </w:tc>
      </w:tr>
      <w:tr w:rsidR="00847E9A" w14:paraId="14524FFF" w14:textId="77777777" w:rsidTr="003303F7">
        <w:tc>
          <w:tcPr>
            <w:tcW w:w="3840" w:type="dxa"/>
            <w:tcBorders>
              <w:top w:val="single" w:sz="4" w:space="0" w:color="auto"/>
            </w:tcBorders>
          </w:tcPr>
          <w:p w14:paraId="42DC2869" w14:textId="77777777" w:rsidR="00847E9A" w:rsidRDefault="00847E9A" w:rsidP="00C34F3A">
            <w:r w:rsidRPr="00597CE0">
              <w:rPr>
                <w:rFonts w:cs="Times New Roman"/>
                <w:sz w:val="22"/>
              </w:rPr>
              <w:t>Manipulation</w:t>
            </w:r>
          </w:p>
        </w:tc>
        <w:tc>
          <w:tcPr>
            <w:tcW w:w="3854" w:type="dxa"/>
            <w:gridSpan w:val="2"/>
            <w:tcBorders>
              <w:top w:val="single" w:sz="4" w:space="0" w:color="auto"/>
            </w:tcBorders>
          </w:tcPr>
          <w:p w14:paraId="1307263B" w14:textId="77777777" w:rsidR="00847E9A" w:rsidRDefault="00847E9A" w:rsidP="00C34F3A">
            <w:r w:rsidRPr="00597CE0">
              <w:rPr>
                <w:rFonts w:cs="Times New Roman"/>
                <w:sz w:val="22"/>
              </w:rPr>
              <w:t>55.0</w:t>
            </w:r>
          </w:p>
        </w:tc>
      </w:tr>
      <w:tr w:rsidR="00847E9A" w14:paraId="3CD0B806" w14:textId="77777777" w:rsidTr="003303F7">
        <w:tc>
          <w:tcPr>
            <w:tcW w:w="3840" w:type="dxa"/>
          </w:tcPr>
          <w:p w14:paraId="34D3A3B5" w14:textId="77777777" w:rsidR="00847E9A" w:rsidRDefault="00847E9A" w:rsidP="00C34F3A">
            <w:r w:rsidRPr="00597CE0">
              <w:rPr>
                <w:rFonts w:cs="Times New Roman"/>
                <w:sz w:val="22"/>
              </w:rPr>
              <w:t>Therapy</w:t>
            </w:r>
          </w:p>
        </w:tc>
        <w:tc>
          <w:tcPr>
            <w:tcW w:w="3854" w:type="dxa"/>
            <w:gridSpan w:val="2"/>
          </w:tcPr>
          <w:p w14:paraId="363C27D4" w14:textId="77777777" w:rsidR="00847E9A" w:rsidRDefault="00847E9A" w:rsidP="00C34F3A">
            <w:r w:rsidRPr="00597CE0">
              <w:rPr>
                <w:rFonts w:cs="Times New Roman"/>
                <w:sz w:val="22"/>
              </w:rPr>
              <w:t>10.0</w:t>
            </w:r>
          </w:p>
        </w:tc>
      </w:tr>
      <w:tr w:rsidR="00847E9A" w14:paraId="3682B49F" w14:textId="77777777" w:rsidTr="003303F7">
        <w:tc>
          <w:tcPr>
            <w:tcW w:w="3840" w:type="dxa"/>
          </w:tcPr>
          <w:p w14:paraId="2E308703" w14:textId="77777777" w:rsidR="00847E9A" w:rsidRPr="00597CE0" w:rsidRDefault="00847E9A" w:rsidP="00C34F3A">
            <w:pPr>
              <w:rPr>
                <w:rFonts w:cs="Times New Roman"/>
                <w:sz w:val="22"/>
              </w:rPr>
            </w:pPr>
            <w:r w:rsidRPr="00597CE0">
              <w:rPr>
                <w:rFonts w:cs="Times New Roman"/>
                <w:sz w:val="22"/>
              </w:rPr>
              <w:t>Informing</w:t>
            </w:r>
          </w:p>
        </w:tc>
        <w:tc>
          <w:tcPr>
            <w:tcW w:w="3854" w:type="dxa"/>
            <w:gridSpan w:val="2"/>
          </w:tcPr>
          <w:p w14:paraId="16B846D9" w14:textId="77777777" w:rsidR="00847E9A" w:rsidRDefault="00847E9A" w:rsidP="00C34F3A">
            <w:r w:rsidRPr="00597CE0">
              <w:rPr>
                <w:rFonts w:cs="Times New Roman"/>
                <w:sz w:val="22"/>
              </w:rPr>
              <w:t>1.2</w:t>
            </w:r>
          </w:p>
        </w:tc>
      </w:tr>
      <w:tr w:rsidR="00847E9A" w14:paraId="35B509DF" w14:textId="77777777" w:rsidTr="003303F7">
        <w:tc>
          <w:tcPr>
            <w:tcW w:w="3840" w:type="dxa"/>
          </w:tcPr>
          <w:p w14:paraId="4F57FDAB" w14:textId="77777777" w:rsidR="00847E9A" w:rsidRPr="00597CE0" w:rsidRDefault="00847E9A" w:rsidP="00C34F3A">
            <w:pPr>
              <w:rPr>
                <w:rFonts w:cs="Times New Roman"/>
                <w:sz w:val="22"/>
              </w:rPr>
            </w:pPr>
            <w:r w:rsidRPr="00597CE0">
              <w:rPr>
                <w:rFonts w:cs="Times New Roman"/>
                <w:sz w:val="22"/>
              </w:rPr>
              <w:t>Consultation</w:t>
            </w:r>
          </w:p>
        </w:tc>
        <w:tc>
          <w:tcPr>
            <w:tcW w:w="3854" w:type="dxa"/>
            <w:gridSpan w:val="2"/>
          </w:tcPr>
          <w:p w14:paraId="7DAB7504" w14:textId="77777777" w:rsidR="00847E9A" w:rsidRDefault="00847E9A" w:rsidP="00C34F3A">
            <w:r w:rsidRPr="00597CE0">
              <w:rPr>
                <w:rFonts w:cs="Times New Roman"/>
                <w:sz w:val="22"/>
              </w:rPr>
              <w:t>13.0</w:t>
            </w:r>
          </w:p>
        </w:tc>
      </w:tr>
      <w:tr w:rsidR="00847E9A" w14:paraId="43823D81" w14:textId="77777777" w:rsidTr="003303F7">
        <w:tc>
          <w:tcPr>
            <w:tcW w:w="3840" w:type="dxa"/>
          </w:tcPr>
          <w:p w14:paraId="7D488DBE" w14:textId="77777777" w:rsidR="00847E9A" w:rsidRPr="00597CE0" w:rsidRDefault="00847E9A" w:rsidP="00C34F3A">
            <w:pPr>
              <w:rPr>
                <w:rFonts w:cs="Times New Roman"/>
                <w:sz w:val="22"/>
              </w:rPr>
            </w:pPr>
            <w:r w:rsidRPr="00597CE0">
              <w:rPr>
                <w:rFonts w:cs="Times New Roman"/>
                <w:sz w:val="22"/>
              </w:rPr>
              <w:t>Placation</w:t>
            </w:r>
          </w:p>
        </w:tc>
        <w:tc>
          <w:tcPr>
            <w:tcW w:w="3854" w:type="dxa"/>
            <w:gridSpan w:val="2"/>
          </w:tcPr>
          <w:p w14:paraId="6372BB24" w14:textId="77777777" w:rsidR="00847E9A" w:rsidRDefault="00847E9A" w:rsidP="00C34F3A">
            <w:r w:rsidRPr="00597CE0">
              <w:rPr>
                <w:rFonts w:cs="Times New Roman"/>
                <w:sz w:val="22"/>
              </w:rPr>
              <w:t>7.0</w:t>
            </w:r>
          </w:p>
        </w:tc>
      </w:tr>
      <w:tr w:rsidR="00847E9A" w14:paraId="6649E370" w14:textId="77777777" w:rsidTr="003303F7">
        <w:tc>
          <w:tcPr>
            <w:tcW w:w="3840" w:type="dxa"/>
            <w:tcBorders>
              <w:bottom w:val="single" w:sz="4" w:space="0" w:color="auto"/>
            </w:tcBorders>
          </w:tcPr>
          <w:p w14:paraId="767E4724" w14:textId="77777777" w:rsidR="00847E9A" w:rsidRPr="00597CE0" w:rsidRDefault="00847E9A" w:rsidP="00C34F3A">
            <w:pPr>
              <w:rPr>
                <w:rFonts w:cs="Times New Roman"/>
                <w:sz w:val="22"/>
              </w:rPr>
            </w:pPr>
            <w:r w:rsidRPr="00597CE0">
              <w:rPr>
                <w:rFonts w:cs="Times New Roman"/>
                <w:sz w:val="22"/>
              </w:rPr>
              <w:t>Partnership</w:t>
            </w:r>
          </w:p>
        </w:tc>
        <w:tc>
          <w:tcPr>
            <w:tcW w:w="3854" w:type="dxa"/>
            <w:gridSpan w:val="2"/>
            <w:tcBorders>
              <w:bottom w:val="single" w:sz="4" w:space="0" w:color="auto"/>
            </w:tcBorders>
          </w:tcPr>
          <w:p w14:paraId="657C22A4" w14:textId="77777777" w:rsidR="00847E9A" w:rsidRDefault="00847E9A" w:rsidP="00C34F3A">
            <w:r w:rsidRPr="00597CE0">
              <w:rPr>
                <w:rFonts w:cs="Times New Roman"/>
                <w:sz w:val="22"/>
              </w:rPr>
              <w:t>13.9</w:t>
            </w:r>
          </w:p>
        </w:tc>
      </w:tr>
      <w:tr w:rsidR="00847E9A" w14:paraId="2C17E487" w14:textId="77777777" w:rsidTr="003303F7">
        <w:tc>
          <w:tcPr>
            <w:tcW w:w="3840" w:type="dxa"/>
            <w:tcBorders>
              <w:top w:val="single" w:sz="4" w:space="0" w:color="auto"/>
              <w:bottom w:val="single" w:sz="4" w:space="0" w:color="auto"/>
            </w:tcBorders>
          </w:tcPr>
          <w:p w14:paraId="3BA7352D" w14:textId="77777777" w:rsidR="00847E9A" w:rsidRPr="00597CE0" w:rsidRDefault="00847E9A" w:rsidP="00C34F3A">
            <w:pPr>
              <w:rPr>
                <w:rFonts w:cs="Times New Roman"/>
                <w:sz w:val="22"/>
              </w:rPr>
            </w:pPr>
            <w:r>
              <w:rPr>
                <w:rFonts w:cs="Times New Roman"/>
                <w:sz w:val="22"/>
              </w:rPr>
              <w:t xml:space="preserve">Total </w:t>
            </w:r>
          </w:p>
        </w:tc>
        <w:tc>
          <w:tcPr>
            <w:tcW w:w="3854" w:type="dxa"/>
            <w:gridSpan w:val="2"/>
            <w:tcBorders>
              <w:top w:val="single" w:sz="4" w:space="0" w:color="auto"/>
              <w:bottom w:val="single" w:sz="4" w:space="0" w:color="auto"/>
            </w:tcBorders>
          </w:tcPr>
          <w:p w14:paraId="18AFD1FF" w14:textId="77777777" w:rsidR="00847E9A" w:rsidRDefault="00847E9A" w:rsidP="00C34F3A">
            <w:r>
              <w:t>100</w:t>
            </w:r>
          </w:p>
        </w:tc>
      </w:tr>
    </w:tbl>
    <w:p w14:paraId="46D01B2B" w14:textId="07EA832E" w:rsidR="00E21C1D" w:rsidRDefault="00E21C1D" w:rsidP="00903BAB">
      <w:pPr>
        <w:ind w:left="0" w:firstLine="0"/>
      </w:pPr>
      <w:r>
        <w:t>Source: Field</w:t>
      </w:r>
      <w:r w:rsidR="000D4965">
        <w:t>work</w:t>
      </w:r>
      <w:r>
        <w:t xml:space="preserve"> (2024).</w:t>
      </w:r>
      <w:r>
        <w:tab/>
      </w:r>
    </w:p>
    <w:p w14:paraId="38AF204E" w14:textId="7C9EB789" w:rsidR="00D540BD" w:rsidRDefault="00903BAB" w:rsidP="00D540BD">
      <w:pPr>
        <w:spacing w:after="0"/>
        <w:ind w:left="0" w:firstLine="0"/>
      </w:pPr>
      <w:r>
        <w:tab/>
      </w:r>
      <w:r w:rsidR="00D540BD">
        <w:t xml:space="preserve">It could be concluded from Table </w:t>
      </w:r>
      <w:r w:rsidR="004040DF">
        <w:t>9</w:t>
      </w:r>
      <w:r w:rsidR="00D540BD">
        <w:t xml:space="preserve"> that the participation level of fringe communities implied non-participation (therapy and manipulation).</w:t>
      </w:r>
      <w:r w:rsidR="00605F7F">
        <w:t xml:space="preserve"> </w:t>
      </w:r>
      <w:r w:rsidR="00D540BD">
        <w:t xml:space="preserve">This indicated that even though community members were sometimes included in some of the processes, they had no power to negotiate, determine, or change the outcome. This result was not in line with the study by Yani et al. (2017) on the </w:t>
      </w:r>
      <w:proofErr w:type="spellStart"/>
      <w:r w:rsidR="00D540BD">
        <w:t>Kutai</w:t>
      </w:r>
      <w:proofErr w:type="spellEnd"/>
      <w:r w:rsidR="00D540BD">
        <w:t xml:space="preserve"> </w:t>
      </w:r>
      <w:proofErr w:type="spellStart"/>
      <w:r w:rsidR="00D540BD">
        <w:t>Kartanegara</w:t>
      </w:r>
      <w:proofErr w:type="spellEnd"/>
      <w:r w:rsidR="00D540BD">
        <w:t xml:space="preserve"> Regency in Indonesia. Yani et al. revealed that citizen participation in regency was at the level of tokenism. Here, people were given space to argue and propose a program. However, the final decisions remained in the domain of the government to determine, and it often d</w:t>
      </w:r>
      <w:r w:rsidR="000D4D85">
        <w:t>id</w:t>
      </w:r>
      <w:r w:rsidR="00D540BD">
        <w:t xml:space="preserve"> not seem to reflect the public’s preferences.</w:t>
      </w:r>
    </w:p>
    <w:p w14:paraId="31772874" w14:textId="33024525" w:rsidR="00D540BD" w:rsidRDefault="00D540BD" w:rsidP="00D540BD">
      <w:pPr>
        <w:ind w:left="0" w:firstLine="0"/>
      </w:pPr>
      <w:r>
        <w:lastRenderedPageBreak/>
        <w:tab/>
        <w:t xml:space="preserve">Furthermore, the few residents participating in the management </w:t>
      </w:r>
      <w:r w:rsidR="008B62EF">
        <w:t>of the reserves</w:t>
      </w:r>
      <w:r>
        <w:t xml:space="preserve"> indicated that the management at the Bobiri and Southern Scarp Forest Reserves did not ensure positive elements, such as equity and efficiency, and were not accountable to the residents. The lack of these elements and the non-participation of community members raised legitimacy issues in the process. In support of this, focus group discussion</w:t>
      </w:r>
      <w:r w:rsidR="00C2703F">
        <w:t xml:space="preserve"> 2, comprising farmers, held at </w:t>
      </w:r>
      <w:proofErr w:type="spellStart"/>
      <w:r w:rsidR="00C2703F">
        <w:t>Nobewam</w:t>
      </w:r>
      <w:proofErr w:type="spellEnd"/>
      <w:r w:rsidR="00C2703F">
        <w:t xml:space="preserve"> in the BFR</w:t>
      </w:r>
      <w:r>
        <w:t xml:space="preserve"> on 23</w:t>
      </w:r>
      <w:r w:rsidRPr="00FD21D6">
        <w:rPr>
          <w:vertAlign w:val="superscript"/>
        </w:rPr>
        <w:t>rd</w:t>
      </w:r>
      <w:r>
        <w:t xml:space="preserve"> February 2024 revealed that the FSD did not consult residents regarding issues of the reserve, and as such, they viewed the reserve as belonging to the state. This outcome confirmed the findings of</w:t>
      </w:r>
      <w:r w:rsidRPr="00D43EA7">
        <w:t xml:space="preserve"> </w:t>
      </w:r>
      <w:r>
        <w:t>Larson et al. (2022)</w:t>
      </w:r>
      <w:r w:rsidR="000D4D85">
        <w:t xml:space="preserve"> who</w:t>
      </w:r>
      <w:r>
        <w:t xml:space="preserve"> revealed that </w:t>
      </w:r>
      <w:r w:rsidRPr="00D43EA7">
        <w:t>ownership of the plan was an issue</w:t>
      </w:r>
      <w:r>
        <w:t xml:space="preserve"> due to the low level of community participation. As a result, the plan was viewed</w:t>
      </w:r>
      <w:r w:rsidRPr="00D43EA7">
        <w:t xml:space="preserve"> as belonging to authorit</w:t>
      </w:r>
      <w:r>
        <w:t>ies.</w:t>
      </w:r>
    </w:p>
    <w:bookmarkEnd w:id="360"/>
    <w:p w14:paraId="4357B4FE" w14:textId="77777777" w:rsidR="00D540BD" w:rsidRPr="00FD21D6" w:rsidRDefault="00D540BD" w:rsidP="00D540BD"/>
    <w:p w14:paraId="16C75FB9" w14:textId="77777777" w:rsidR="00E21C1D" w:rsidRPr="004B5848" w:rsidRDefault="00E21C1D" w:rsidP="00D540BD">
      <w:pPr>
        <w:spacing w:after="0"/>
        <w:ind w:left="0" w:firstLine="0"/>
        <w:rPr>
          <w:rFonts w:cs="Times New Roman"/>
          <w:szCs w:val="24"/>
        </w:rPr>
      </w:pPr>
    </w:p>
    <w:p w14:paraId="79B001D0" w14:textId="77777777" w:rsidR="00E21C1D" w:rsidRDefault="00E21C1D" w:rsidP="00772DAC">
      <w:pPr>
        <w:autoSpaceDE w:val="0"/>
        <w:autoSpaceDN w:val="0"/>
        <w:adjustRightInd w:val="0"/>
        <w:spacing w:after="0" w:line="240" w:lineRule="auto"/>
        <w:ind w:left="0" w:firstLine="0"/>
        <w:rPr>
          <w:rFonts w:cs="Times New Roman"/>
          <w:szCs w:val="24"/>
        </w:rPr>
      </w:pPr>
    </w:p>
    <w:p w14:paraId="70427EF2" w14:textId="77777777" w:rsidR="00A948FA" w:rsidRDefault="00A948FA" w:rsidP="00832ED8"/>
    <w:p w14:paraId="420D09D1" w14:textId="77777777" w:rsidR="00A948FA" w:rsidRDefault="00A948FA" w:rsidP="00832ED8"/>
    <w:p w14:paraId="093E732B" w14:textId="77777777" w:rsidR="00A948FA" w:rsidRDefault="00A948FA" w:rsidP="00832ED8"/>
    <w:p w14:paraId="3BD4DCBD" w14:textId="77777777" w:rsidR="00A948FA" w:rsidRDefault="00A948FA" w:rsidP="00832ED8"/>
    <w:p w14:paraId="70250743" w14:textId="77777777" w:rsidR="00A948FA" w:rsidRDefault="00A948FA" w:rsidP="00832ED8"/>
    <w:p w14:paraId="579495EA" w14:textId="77777777" w:rsidR="00A948FA" w:rsidRDefault="00A948FA" w:rsidP="00832ED8"/>
    <w:p w14:paraId="7A482685" w14:textId="77777777" w:rsidR="00A948FA" w:rsidRDefault="00A948FA" w:rsidP="00832ED8"/>
    <w:p w14:paraId="3CFAA777" w14:textId="77777777" w:rsidR="00A948FA" w:rsidRDefault="00A948FA" w:rsidP="00832ED8"/>
    <w:p w14:paraId="5613B3BD" w14:textId="48B28445" w:rsidR="0024221E" w:rsidRDefault="0024221E" w:rsidP="00903BAB">
      <w:pPr>
        <w:pStyle w:val="Heading1"/>
        <w:spacing w:before="0"/>
        <w:ind w:left="0"/>
      </w:pPr>
      <w:bookmarkStart w:id="436" w:name="_Toc202197693"/>
      <w:r w:rsidRPr="00A60B75">
        <w:lastRenderedPageBreak/>
        <w:t xml:space="preserve">Chapter </w:t>
      </w:r>
      <w:r w:rsidR="00524774">
        <w:t>EIGHT</w:t>
      </w:r>
      <w:bookmarkEnd w:id="436"/>
    </w:p>
    <w:p w14:paraId="4CE339F1" w14:textId="1131343D" w:rsidR="0024221E" w:rsidRDefault="0024221E" w:rsidP="00903BAB">
      <w:pPr>
        <w:pStyle w:val="Heading1"/>
        <w:spacing w:before="0"/>
        <w:ind w:left="0"/>
      </w:pPr>
      <w:bookmarkStart w:id="437" w:name="_Toc202197694"/>
      <w:r>
        <w:t>FACTORS ENHANC</w:t>
      </w:r>
      <w:r w:rsidR="00C2703F">
        <w:t>ing</w:t>
      </w:r>
      <w:r>
        <w:t xml:space="preserve"> COMMUNITY PARTICIPATION IN THE </w:t>
      </w:r>
      <w:r w:rsidR="00E2129D">
        <w:t>MANAGEMENT</w:t>
      </w:r>
      <w:r>
        <w:t xml:space="preserve"> PROCESS AT THE BOBIRI AND SOUTHERN SCARP FOREST RESERVE.</w:t>
      </w:r>
      <w:bookmarkEnd w:id="437"/>
    </w:p>
    <w:p w14:paraId="4432BC0D" w14:textId="77777777" w:rsidR="0024221E" w:rsidRPr="00A60B75" w:rsidRDefault="0024221E" w:rsidP="00772DAC">
      <w:pPr>
        <w:pStyle w:val="Heading2"/>
        <w:ind w:left="0"/>
      </w:pPr>
      <w:bookmarkStart w:id="438" w:name="_Toc202197695"/>
      <w:r>
        <w:t>Introduction</w:t>
      </w:r>
      <w:bookmarkEnd w:id="438"/>
      <w:r>
        <w:t xml:space="preserve"> </w:t>
      </w:r>
    </w:p>
    <w:p w14:paraId="69650EF8" w14:textId="59EA1469" w:rsidR="00964A37" w:rsidRDefault="00903BAB" w:rsidP="00964A37">
      <w:pPr>
        <w:spacing w:after="0"/>
        <w:ind w:left="0" w:firstLine="0"/>
        <w:rPr>
          <w:rFonts w:cs="Times New Roman"/>
          <w:bCs/>
          <w:szCs w:val="24"/>
        </w:rPr>
      </w:pPr>
      <w:r>
        <w:tab/>
      </w:r>
      <w:r w:rsidR="00964A37">
        <w:t xml:space="preserve">This chapter </w:t>
      </w:r>
      <w:r w:rsidR="00964A37" w:rsidRPr="00A60B75">
        <w:t>analyse</w:t>
      </w:r>
      <w:r w:rsidR="00C2703F">
        <w:t>d</w:t>
      </w:r>
      <w:r w:rsidR="00964A37" w:rsidRPr="00A60B75">
        <w:t xml:space="preserve"> factors that enhance community participation in the </w:t>
      </w:r>
      <w:r w:rsidR="00964A37">
        <w:t>management</w:t>
      </w:r>
      <w:r w:rsidR="00964A37" w:rsidRPr="00A60B75">
        <w:t xml:space="preserve"> process at the Bobiri and Southern Scarp Forest Reserve</w:t>
      </w:r>
      <w:r w:rsidR="00964A37">
        <w:t>s with the help of a multinomial logistic regression model. Sociodemographic characteristics such as sex, age, duration of stay, level of education, access to training, and belonging to a user group constituted the independent variables against the dependent variable levels of participation. T</w:t>
      </w:r>
      <w:r w:rsidR="00964A37" w:rsidRPr="00A60B75">
        <w:t>h</w:t>
      </w:r>
      <w:r w:rsidR="00964A37">
        <w:t xml:space="preserve">e analysis was </w:t>
      </w:r>
      <w:r w:rsidR="00964A37" w:rsidRPr="00A60B75">
        <w:t>guided by the</w:t>
      </w:r>
      <w:r w:rsidR="00964A37">
        <w:t xml:space="preserve"> hypothesis that socio-demographic features </w:t>
      </w:r>
      <w:r w:rsidR="00964A37" w:rsidRPr="00A60B75">
        <w:t>ha</w:t>
      </w:r>
      <w:r w:rsidR="00964A37">
        <w:t>d</w:t>
      </w:r>
      <w:r w:rsidR="00964A37" w:rsidRPr="00A60B75">
        <w:t xml:space="preserve"> no significant effect on a household’s level of participation in the Bobiri and Southern Scarp Forest Reserves. </w:t>
      </w:r>
      <w:r w:rsidR="00964A37">
        <w:rPr>
          <w:rFonts w:cs="Times New Roman"/>
          <w:bCs/>
          <w:szCs w:val="24"/>
        </w:rPr>
        <w:t xml:space="preserve">Tools such as descriptive statistics, cross-tabulation, the model’s case summary, goodness of fit, pseudo-R square, and parameter tables were generated to aid the analysis. </w:t>
      </w:r>
    </w:p>
    <w:p w14:paraId="64FC2E89" w14:textId="77777777" w:rsidR="00964A37" w:rsidRPr="00503189" w:rsidRDefault="00964A37" w:rsidP="00964A37">
      <w:pPr>
        <w:pStyle w:val="BodyText"/>
        <w:rPr>
          <w:sz w:val="4"/>
        </w:rPr>
      </w:pPr>
    </w:p>
    <w:p w14:paraId="399233EF" w14:textId="77777777" w:rsidR="00964A37" w:rsidRPr="00A60B75" w:rsidRDefault="00964A37" w:rsidP="00964A37">
      <w:pPr>
        <w:pStyle w:val="Heading2"/>
        <w:ind w:left="0"/>
        <w:rPr>
          <w:rFonts w:cs="Times New Roman"/>
          <w:szCs w:val="24"/>
        </w:rPr>
      </w:pPr>
      <w:bookmarkStart w:id="439" w:name="_Toc202197696"/>
      <w:r w:rsidRPr="00A60B75">
        <w:rPr>
          <w:rFonts w:cs="Times New Roman"/>
          <w:szCs w:val="24"/>
        </w:rPr>
        <w:t xml:space="preserve">Socio-Demographic Characteristics </w:t>
      </w:r>
      <w:r>
        <w:rPr>
          <w:rFonts w:cs="Times New Roman"/>
          <w:szCs w:val="24"/>
        </w:rPr>
        <w:t>o</w:t>
      </w:r>
      <w:r w:rsidRPr="00A60B75">
        <w:rPr>
          <w:rFonts w:cs="Times New Roman"/>
          <w:szCs w:val="24"/>
        </w:rPr>
        <w:t>f Respondents.</w:t>
      </w:r>
      <w:bookmarkEnd w:id="439"/>
      <w:r w:rsidRPr="00A60B75">
        <w:rPr>
          <w:rFonts w:cs="Times New Roman"/>
          <w:szCs w:val="24"/>
        </w:rPr>
        <w:t xml:space="preserve"> </w:t>
      </w:r>
    </w:p>
    <w:p w14:paraId="38DF1C76" w14:textId="28568810" w:rsidR="00964A37" w:rsidRDefault="00964A37" w:rsidP="00964A37">
      <w:pPr>
        <w:ind w:left="0" w:firstLine="0"/>
        <w:rPr>
          <w:rFonts w:cs="Times New Roman"/>
          <w:szCs w:val="24"/>
        </w:rPr>
      </w:pPr>
      <w:r>
        <w:rPr>
          <w:rFonts w:cs="Times New Roman"/>
          <w:szCs w:val="24"/>
        </w:rPr>
        <w:tab/>
      </w:r>
      <w:r w:rsidRPr="00A60B75">
        <w:rPr>
          <w:rFonts w:cs="Times New Roman"/>
          <w:szCs w:val="24"/>
        </w:rPr>
        <w:t xml:space="preserve">The mean </w:t>
      </w:r>
      <w:r>
        <w:rPr>
          <w:rFonts w:cs="Times New Roman"/>
          <w:szCs w:val="24"/>
        </w:rPr>
        <w:t>number of years of a participant’s duration of stay at the reserve</w:t>
      </w:r>
      <w:r w:rsidRPr="00A60B75">
        <w:rPr>
          <w:rFonts w:cs="Times New Roman"/>
          <w:szCs w:val="24"/>
        </w:rPr>
        <w:t xml:space="preserve"> was 45 years (skewness=.151) with a standard deviation of eight. In terms of education, 68 per cent of the community members had </w:t>
      </w:r>
      <w:r>
        <w:rPr>
          <w:rFonts w:cs="Times New Roman"/>
          <w:szCs w:val="24"/>
        </w:rPr>
        <w:t>primary</w:t>
      </w:r>
      <w:r w:rsidRPr="00A60B75">
        <w:rPr>
          <w:rFonts w:cs="Times New Roman"/>
          <w:szCs w:val="24"/>
        </w:rPr>
        <w:t xml:space="preserve"> education while 30 per cent had no formal education. In the context of access to forestry training, approximately 74 per cent of the residents did not have access to forestry training</w:t>
      </w:r>
      <w:r>
        <w:rPr>
          <w:rFonts w:cs="Times New Roman"/>
          <w:szCs w:val="24"/>
        </w:rPr>
        <w:t>,</w:t>
      </w:r>
      <w:r w:rsidRPr="00A60B75">
        <w:rPr>
          <w:rFonts w:cs="Times New Roman"/>
          <w:szCs w:val="24"/>
        </w:rPr>
        <w:t xml:space="preserve"> while two per cent of the members interviewed were leaders. </w:t>
      </w:r>
    </w:p>
    <w:p w14:paraId="62539D07" w14:textId="7D80D44C" w:rsidR="0024221E" w:rsidRDefault="00964A37" w:rsidP="00964A37">
      <w:pPr>
        <w:ind w:left="0"/>
        <w:rPr>
          <w:rFonts w:cs="Times New Roman"/>
          <w:szCs w:val="24"/>
        </w:rPr>
      </w:pPr>
      <w:r w:rsidRPr="00A60B75">
        <w:rPr>
          <w:rFonts w:cs="Times New Roman"/>
          <w:szCs w:val="24"/>
        </w:rPr>
        <w:lastRenderedPageBreak/>
        <w:t>Additionally, 57 per cent of the interviewed members belonged to a group whose activities were linked to the reserve.</w:t>
      </w:r>
      <w:r>
        <w:rPr>
          <w:rFonts w:cs="Times New Roman"/>
          <w:szCs w:val="24"/>
        </w:rPr>
        <w:t xml:space="preserve"> </w:t>
      </w:r>
      <w:r w:rsidR="0024221E">
        <w:rPr>
          <w:rFonts w:cs="Times New Roman"/>
          <w:szCs w:val="24"/>
        </w:rPr>
        <w:t>The study further performed a cross-tabulation to determine the distribution of participant</w:t>
      </w:r>
      <w:r w:rsidR="001277ED">
        <w:rPr>
          <w:rFonts w:cs="Times New Roman"/>
          <w:szCs w:val="24"/>
        </w:rPr>
        <w:t xml:space="preserve">s' location, levels of education, and belonging to a group on the levels of participation. The results are presented in Tables </w:t>
      </w:r>
      <w:r w:rsidR="001314D1">
        <w:rPr>
          <w:rFonts w:cs="Times New Roman"/>
          <w:szCs w:val="24"/>
        </w:rPr>
        <w:t>10</w:t>
      </w:r>
      <w:r w:rsidR="001277ED">
        <w:rPr>
          <w:rFonts w:cs="Times New Roman"/>
          <w:szCs w:val="24"/>
        </w:rPr>
        <w:t>,</w:t>
      </w:r>
      <w:r w:rsidR="00391088">
        <w:rPr>
          <w:rFonts w:cs="Times New Roman"/>
          <w:szCs w:val="24"/>
        </w:rPr>
        <w:t>1</w:t>
      </w:r>
      <w:r w:rsidR="001314D1">
        <w:rPr>
          <w:rFonts w:cs="Times New Roman"/>
          <w:szCs w:val="24"/>
        </w:rPr>
        <w:t>1</w:t>
      </w:r>
      <w:r w:rsidR="0024221E">
        <w:rPr>
          <w:rFonts w:cs="Times New Roman"/>
          <w:szCs w:val="24"/>
        </w:rPr>
        <w:t xml:space="preserve"> and </w:t>
      </w:r>
      <w:r w:rsidR="00391088">
        <w:rPr>
          <w:rFonts w:cs="Times New Roman"/>
          <w:szCs w:val="24"/>
        </w:rPr>
        <w:t>1</w:t>
      </w:r>
      <w:r w:rsidR="001314D1">
        <w:rPr>
          <w:rFonts w:cs="Times New Roman"/>
          <w:szCs w:val="24"/>
        </w:rPr>
        <w:t>2</w:t>
      </w:r>
      <w:r w:rsidR="0024221E">
        <w:rPr>
          <w:rFonts w:cs="Times New Roman"/>
          <w:szCs w:val="24"/>
        </w:rPr>
        <w:t>.</w:t>
      </w:r>
    </w:p>
    <w:tbl>
      <w:tblPr>
        <w:tblW w:w="5000" w:type="pct"/>
        <w:tblCellMar>
          <w:left w:w="0" w:type="dxa"/>
          <w:right w:w="0" w:type="dxa"/>
        </w:tblCellMar>
        <w:tblLook w:val="0000" w:firstRow="0" w:lastRow="0" w:firstColumn="0" w:lastColumn="0" w:noHBand="0" w:noVBand="0"/>
      </w:tblPr>
      <w:tblGrid>
        <w:gridCol w:w="1242"/>
        <w:gridCol w:w="1172"/>
        <w:gridCol w:w="1371"/>
        <w:gridCol w:w="1210"/>
        <w:gridCol w:w="1374"/>
        <w:gridCol w:w="1217"/>
      </w:tblGrid>
      <w:tr w:rsidR="0024221E" w:rsidRPr="00575B25" w14:paraId="13175A8A" w14:textId="77777777" w:rsidTr="00503189">
        <w:trPr>
          <w:cantSplit/>
        </w:trPr>
        <w:tc>
          <w:tcPr>
            <w:tcW w:w="5000" w:type="pct"/>
            <w:gridSpan w:val="6"/>
            <w:tcBorders>
              <w:bottom w:val="single" w:sz="4" w:space="0" w:color="auto"/>
            </w:tcBorders>
            <w:shd w:val="clear" w:color="auto" w:fill="auto"/>
            <w:vAlign w:val="center"/>
          </w:tcPr>
          <w:p w14:paraId="3CBBFE4B" w14:textId="7D0B6018" w:rsidR="0024221E" w:rsidRPr="00575B25" w:rsidRDefault="0024221E" w:rsidP="001F0945">
            <w:pPr>
              <w:pStyle w:val="LT"/>
            </w:pPr>
            <w:bookmarkStart w:id="440" w:name="_Toc197335673"/>
            <w:r w:rsidRPr="00575B25">
              <w:t xml:space="preserve">Table </w:t>
            </w:r>
            <w:r w:rsidR="001314D1">
              <w:t>10</w:t>
            </w:r>
            <w:r>
              <w:t xml:space="preserve">: </w:t>
            </w:r>
            <w:r w:rsidR="00503189" w:rsidRPr="00575B25">
              <w:t xml:space="preserve">Levels </w:t>
            </w:r>
            <w:r w:rsidR="00503189">
              <w:t>o</w:t>
            </w:r>
            <w:r w:rsidR="00503189" w:rsidRPr="00575B25">
              <w:t xml:space="preserve">f </w:t>
            </w:r>
            <w:r w:rsidR="00503189">
              <w:t xml:space="preserve">Community </w:t>
            </w:r>
            <w:r w:rsidR="00503189" w:rsidRPr="00575B25">
              <w:t xml:space="preserve">Participation </w:t>
            </w:r>
            <w:r w:rsidR="00503189">
              <w:t>a</w:t>
            </w:r>
            <w:r w:rsidR="00503189" w:rsidRPr="00575B25">
              <w:t xml:space="preserve">nd Location </w:t>
            </w:r>
            <w:r w:rsidR="00566F1D" w:rsidRPr="00575B25">
              <w:t>o</w:t>
            </w:r>
            <w:r w:rsidR="00503189" w:rsidRPr="00575B25">
              <w:t>f Participants</w:t>
            </w:r>
            <w:bookmarkEnd w:id="440"/>
          </w:p>
        </w:tc>
      </w:tr>
      <w:tr w:rsidR="0024221E" w:rsidRPr="00503189" w14:paraId="793EA41D" w14:textId="77777777" w:rsidTr="00503189">
        <w:trPr>
          <w:cantSplit/>
        </w:trPr>
        <w:tc>
          <w:tcPr>
            <w:tcW w:w="2493" w:type="pct"/>
            <w:gridSpan w:val="3"/>
            <w:vMerge w:val="restart"/>
            <w:tcBorders>
              <w:top w:val="single" w:sz="4" w:space="0" w:color="auto"/>
            </w:tcBorders>
            <w:shd w:val="clear" w:color="auto" w:fill="auto"/>
            <w:vAlign w:val="bottom"/>
          </w:tcPr>
          <w:p w14:paraId="01F92B11"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1703" w:type="pct"/>
            <w:gridSpan w:val="2"/>
            <w:tcBorders>
              <w:top w:val="single" w:sz="4" w:space="0" w:color="auto"/>
            </w:tcBorders>
            <w:shd w:val="clear" w:color="auto" w:fill="auto"/>
            <w:vAlign w:val="bottom"/>
          </w:tcPr>
          <w:p w14:paraId="4EF5D0DD" w14:textId="77777777" w:rsidR="0024221E" w:rsidRPr="00503189" w:rsidRDefault="0024221E" w:rsidP="00772DAC">
            <w:pPr>
              <w:autoSpaceDE w:val="0"/>
              <w:autoSpaceDN w:val="0"/>
              <w:adjustRightInd w:val="0"/>
              <w:spacing w:after="0" w:line="320" w:lineRule="atLeast"/>
              <w:ind w:left="0" w:right="60" w:firstLine="0"/>
              <w:jc w:val="center"/>
              <w:rPr>
                <w:rFonts w:cs="Times New Roman"/>
              </w:rPr>
            </w:pPr>
            <w:r w:rsidRPr="00503189">
              <w:rPr>
                <w:rFonts w:cs="Times New Roman"/>
                <w:sz w:val="22"/>
              </w:rPr>
              <w:t>location of participant</w:t>
            </w:r>
          </w:p>
        </w:tc>
        <w:tc>
          <w:tcPr>
            <w:tcW w:w="804" w:type="pct"/>
            <w:vMerge w:val="restart"/>
            <w:tcBorders>
              <w:top w:val="single" w:sz="4" w:space="0" w:color="auto"/>
            </w:tcBorders>
            <w:shd w:val="clear" w:color="auto" w:fill="auto"/>
            <w:vAlign w:val="bottom"/>
          </w:tcPr>
          <w:p w14:paraId="475A9623" w14:textId="77777777" w:rsidR="0024221E" w:rsidRPr="00503189" w:rsidRDefault="0024221E" w:rsidP="00772DAC">
            <w:pPr>
              <w:autoSpaceDE w:val="0"/>
              <w:autoSpaceDN w:val="0"/>
              <w:adjustRightInd w:val="0"/>
              <w:spacing w:after="0" w:line="320" w:lineRule="atLeast"/>
              <w:ind w:left="0" w:right="60" w:firstLine="0"/>
              <w:jc w:val="center"/>
              <w:rPr>
                <w:rFonts w:cs="Times New Roman"/>
              </w:rPr>
            </w:pPr>
            <w:r w:rsidRPr="00503189">
              <w:rPr>
                <w:rFonts w:cs="Times New Roman"/>
                <w:sz w:val="22"/>
              </w:rPr>
              <w:t>Total</w:t>
            </w:r>
          </w:p>
        </w:tc>
      </w:tr>
      <w:tr w:rsidR="0024221E" w:rsidRPr="00503189" w14:paraId="1741A6A1" w14:textId="77777777" w:rsidTr="00503189">
        <w:trPr>
          <w:cantSplit/>
        </w:trPr>
        <w:tc>
          <w:tcPr>
            <w:tcW w:w="2493" w:type="pct"/>
            <w:gridSpan w:val="3"/>
            <w:vMerge/>
            <w:tcBorders>
              <w:bottom w:val="single" w:sz="4" w:space="0" w:color="auto"/>
            </w:tcBorders>
            <w:shd w:val="clear" w:color="auto" w:fill="auto"/>
            <w:vAlign w:val="bottom"/>
          </w:tcPr>
          <w:p w14:paraId="732ADFD9"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798" w:type="pct"/>
            <w:tcBorders>
              <w:bottom w:val="single" w:sz="4" w:space="0" w:color="auto"/>
            </w:tcBorders>
            <w:shd w:val="clear" w:color="auto" w:fill="auto"/>
            <w:vAlign w:val="bottom"/>
          </w:tcPr>
          <w:p w14:paraId="4EDA76A7" w14:textId="77777777" w:rsidR="0024221E" w:rsidRPr="00503189" w:rsidRDefault="0024221E" w:rsidP="00772DAC">
            <w:pPr>
              <w:autoSpaceDE w:val="0"/>
              <w:autoSpaceDN w:val="0"/>
              <w:adjustRightInd w:val="0"/>
              <w:spacing w:after="0" w:line="320" w:lineRule="atLeast"/>
              <w:ind w:left="0" w:right="60" w:firstLine="0"/>
              <w:jc w:val="center"/>
              <w:rPr>
                <w:rFonts w:cs="Times New Roman"/>
              </w:rPr>
            </w:pPr>
            <w:r w:rsidRPr="00503189">
              <w:rPr>
                <w:rFonts w:cs="Times New Roman"/>
                <w:sz w:val="22"/>
              </w:rPr>
              <w:t>Bobiri</w:t>
            </w:r>
          </w:p>
        </w:tc>
        <w:tc>
          <w:tcPr>
            <w:tcW w:w="906" w:type="pct"/>
            <w:tcBorders>
              <w:bottom w:val="single" w:sz="4" w:space="0" w:color="auto"/>
            </w:tcBorders>
            <w:shd w:val="clear" w:color="auto" w:fill="auto"/>
            <w:vAlign w:val="bottom"/>
          </w:tcPr>
          <w:p w14:paraId="2E06B105" w14:textId="77777777" w:rsidR="0024221E" w:rsidRPr="00503189" w:rsidRDefault="0024221E" w:rsidP="00772DAC">
            <w:pPr>
              <w:autoSpaceDE w:val="0"/>
              <w:autoSpaceDN w:val="0"/>
              <w:adjustRightInd w:val="0"/>
              <w:spacing w:after="0" w:line="320" w:lineRule="atLeast"/>
              <w:ind w:left="0" w:right="60" w:firstLine="0"/>
              <w:jc w:val="center"/>
              <w:rPr>
                <w:rFonts w:cs="Times New Roman"/>
              </w:rPr>
            </w:pPr>
            <w:r w:rsidRPr="00503189">
              <w:rPr>
                <w:rFonts w:cs="Times New Roman"/>
                <w:sz w:val="22"/>
              </w:rPr>
              <w:t>Southern Scarp</w:t>
            </w:r>
          </w:p>
        </w:tc>
        <w:tc>
          <w:tcPr>
            <w:tcW w:w="804" w:type="pct"/>
            <w:vMerge/>
            <w:tcBorders>
              <w:bottom w:val="single" w:sz="4" w:space="0" w:color="auto"/>
            </w:tcBorders>
            <w:shd w:val="clear" w:color="auto" w:fill="auto"/>
            <w:vAlign w:val="bottom"/>
          </w:tcPr>
          <w:p w14:paraId="51C1EA2D" w14:textId="77777777" w:rsidR="0024221E" w:rsidRPr="00503189" w:rsidRDefault="0024221E" w:rsidP="00772DAC">
            <w:pPr>
              <w:autoSpaceDE w:val="0"/>
              <w:autoSpaceDN w:val="0"/>
              <w:adjustRightInd w:val="0"/>
              <w:spacing w:after="0" w:line="240" w:lineRule="auto"/>
              <w:ind w:left="0" w:firstLine="0"/>
              <w:rPr>
                <w:rFonts w:cs="Times New Roman"/>
              </w:rPr>
            </w:pPr>
          </w:p>
        </w:tc>
      </w:tr>
      <w:tr w:rsidR="0024221E" w:rsidRPr="00503189" w14:paraId="25B94FC3" w14:textId="77777777" w:rsidTr="00503189">
        <w:trPr>
          <w:cantSplit/>
        </w:trPr>
        <w:tc>
          <w:tcPr>
            <w:tcW w:w="820" w:type="pct"/>
            <w:vMerge w:val="restart"/>
            <w:tcBorders>
              <w:top w:val="single" w:sz="4" w:space="0" w:color="auto"/>
            </w:tcBorders>
            <w:shd w:val="clear" w:color="auto" w:fill="auto"/>
          </w:tcPr>
          <w:p w14:paraId="4CA21FA4"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Participation Index</w:t>
            </w:r>
          </w:p>
        </w:tc>
        <w:tc>
          <w:tcPr>
            <w:tcW w:w="768" w:type="pct"/>
            <w:vMerge w:val="restart"/>
            <w:tcBorders>
              <w:top w:val="single" w:sz="4" w:space="0" w:color="auto"/>
            </w:tcBorders>
            <w:shd w:val="clear" w:color="auto" w:fill="auto"/>
          </w:tcPr>
          <w:p w14:paraId="02A4B66A"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Non-participation</w:t>
            </w:r>
          </w:p>
        </w:tc>
        <w:tc>
          <w:tcPr>
            <w:tcW w:w="905" w:type="pct"/>
            <w:tcBorders>
              <w:top w:val="single" w:sz="4" w:space="0" w:color="auto"/>
            </w:tcBorders>
            <w:shd w:val="clear" w:color="auto" w:fill="auto"/>
          </w:tcPr>
          <w:p w14:paraId="03F6C033"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Count</w:t>
            </w:r>
          </w:p>
        </w:tc>
        <w:tc>
          <w:tcPr>
            <w:tcW w:w="798" w:type="pct"/>
            <w:tcBorders>
              <w:top w:val="single" w:sz="4" w:space="0" w:color="auto"/>
            </w:tcBorders>
            <w:shd w:val="clear" w:color="auto" w:fill="auto"/>
          </w:tcPr>
          <w:p w14:paraId="2C382724"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170</w:t>
            </w:r>
          </w:p>
        </w:tc>
        <w:tc>
          <w:tcPr>
            <w:tcW w:w="906" w:type="pct"/>
            <w:tcBorders>
              <w:top w:val="single" w:sz="4" w:space="0" w:color="auto"/>
            </w:tcBorders>
            <w:shd w:val="clear" w:color="auto" w:fill="auto"/>
          </w:tcPr>
          <w:p w14:paraId="01426CE9"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110</w:t>
            </w:r>
          </w:p>
        </w:tc>
        <w:tc>
          <w:tcPr>
            <w:tcW w:w="804" w:type="pct"/>
            <w:tcBorders>
              <w:top w:val="single" w:sz="4" w:space="0" w:color="auto"/>
            </w:tcBorders>
            <w:shd w:val="clear" w:color="auto" w:fill="auto"/>
          </w:tcPr>
          <w:p w14:paraId="6C58CCE5"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280</w:t>
            </w:r>
          </w:p>
        </w:tc>
      </w:tr>
      <w:tr w:rsidR="0024221E" w:rsidRPr="00503189" w14:paraId="1BB6A278" w14:textId="77777777" w:rsidTr="00503189">
        <w:trPr>
          <w:cantSplit/>
        </w:trPr>
        <w:tc>
          <w:tcPr>
            <w:tcW w:w="820" w:type="pct"/>
            <w:vMerge/>
            <w:shd w:val="clear" w:color="auto" w:fill="auto"/>
          </w:tcPr>
          <w:p w14:paraId="5135BC16"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768" w:type="pct"/>
            <w:vMerge/>
            <w:shd w:val="clear" w:color="auto" w:fill="auto"/>
          </w:tcPr>
          <w:p w14:paraId="157D8670"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905" w:type="pct"/>
            <w:shd w:val="clear" w:color="auto" w:fill="auto"/>
          </w:tcPr>
          <w:p w14:paraId="0B9B467D"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 of Total</w:t>
            </w:r>
          </w:p>
        </w:tc>
        <w:tc>
          <w:tcPr>
            <w:tcW w:w="798" w:type="pct"/>
            <w:shd w:val="clear" w:color="auto" w:fill="auto"/>
          </w:tcPr>
          <w:p w14:paraId="5EEBEE0B"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39.4%</w:t>
            </w:r>
          </w:p>
        </w:tc>
        <w:tc>
          <w:tcPr>
            <w:tcW w:w="906" w:type="pct"/>
            <w:shd w:val="clear" w:color="auto" w:fill="auto"/>
          </w:tcPr>
          <w:p w14:paraId="1C180486"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25.5%</w:t>
            </w:r>
          </w:p>
        </w:tc>
        <w:tc>
          <w:tcPr>
            <w:tcW w:w="804" w:type="pct"/>
            <w:shd w:val="clear" w:color="auto" w:fill="auto"/>
          </w:tcPr>
          <w:p w14:paraId="60724B11"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65.0%</w:t>
            </w:r>
          </w:p>
        </w:tc>
      </w:tr>
      <w:tr w:rsidR="0024221E" w:rsidRPr="00503189" w14:paraId="315B9BC1" w14:textId="77777777" w:rsidTr="00503189">
        <w:trPr>
          <w:cantSplit/>
        </w:trPr>
        <w:tc>
          <w:tcPr>
            <w:tcW w:w="820" w:type="pct"/>
            <w:vMerge/>
            <w:shd w:val="clear" w:color="auto" w:fill="auto"/>
          </w:tcPr>
          <w:p w14:paraId="4883A086"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768" w:type="pct"/>
            <w:vMerge w:val="restart"/>
            <w:shd w:val="clear" w:color="auto" w:fill="auto"/>
          </w:tcPr>
          <w:p w14:paraId="7CB200BB"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Tokenism</w:t>
            </w:r>
          </w:p>
        </w:tc>
        <w:tc>
          <w:tcPr>
            <w:tcW w:w="905" w:type="pct"/>
            <w:shd w:val="clear" w:color="auto" w:fill="auto"/>
          </w:tcPr>
          <w:p w14:paraId="53D2EDC9"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Count</w:t>
            </w:r>
          </w:p>
        </w:tc>
        <w:tc>
          <w:tcPr>
            <w:tcW w:w="798" w:type="pct"/>
            <w:shd w:val="clear" w:color="auto" w:fill="auto"/>
          </w:tcPr>
          <w:p w14:paraId="5DF90891"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0</w:t>
            </w:r>
          </w:p>
        </w:tc>
        <w:tc>
          <w:tcPr>
            <w:tcW w:w="906" w:type="pct"/>
            <w:shd w:val="clear" w:color="auto" w:fill="auto"/>
          </w:tcPr>
          <w:p w14:paraId="35CA86A2"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91</w:t>
            </w:r>
          </w:p>
        </w:tc>
        <w:tc>
          <w:tcPr>
            <w:tcW w:w="804" w:type="pct"/>
            <w:shd w:val="clear" w:color="auto" w:fill="auto"/>
          </w:tcPr>
          <w:p w14:paraId="359BB42B"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91</w:t>
            </w:r>
          </w:p>
        </w:tc>
      </w:tr>
      <w:tr w:rsidR="0024221E" w:rsidRPr="00503189" w14:paraId="3580554F" w14:textId="77777777" w:rsidTr="00503189">
        <w:trPr>
          <w:cantSplit/>
        </w:trPr>
        <w:tc>
          <w:tcPr>
            <w:tcW w:w="820" w:type="pct"/>
            <w:vMerge/>
            <w:shd w:val="clear" w:color="auto" w:fill="auto"/>
          </w:tcPr>
          <w:p w14:paraId="2273158E"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768" w:type="pct"/>
            <w:vMerge/>
            <w:shd w:val="clear" w:color="auto" w:fill="auto"/>
          </w:tcPr>
          <w:p w14:paraId="340EA547"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905" w:type="pct"/>
            <w:shd w:val="clear" w:color="auto" w:fill="auto"/>
          </w:tcPr>
          <w:p w14:paraId="30E77394"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 xml:space="preserve">% of Total </w:t>
            </w:r>
          </w:p>
        </w:tc>
        <w:tc>
          <w:tcPr>
            <w:tcW w:w="798" w:type="pct"/>
            <w:shd w:val="clear" w:color="auto" w:fill="auto"/>
          </w:tcPr>
          <w:p w14:paraId="3A49C5FD"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0.0%</w:t>
            </w:r>
          </w:p>
        </w:tc>
        <w:tc>
          <w:tcPr>
            <w:tcW w:w="906" w:type="pct"/>
            <w:shd w:val="clear" w:color="auto" w:fill="auto"/>
          </w:tcPr>
          <w:p w14:paraId="3B3D50DB"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21.1%</w:t>
            </w:r>
          </w:p>
        </w:tc>
        <w:tc>
          <w:tcPr>
            <w:tcW w:w="804" w:type="pct"/>
            <w:shd w:val="clear" w:color="auto" w:fill="auto"/>
          </w:tcPr>
          <w:p w14:paraId="3A53A226"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21.1%</w:t>
            </w:r>
          </w:p>
        </w:tc>
      </w:tr>
      <w:tr w:rsidR="0024221E" w:rsidRPr="00503189" w14:paraId="30FD2DB5" w14:textId="77777777" w:rsidTr="00503189">
        <w:trPr>
          <w:cantSplit/>
        </w:trPr>
        <w:tc>
          <w:tcPr>
            <w:tcW w:w="820" w:type="pct"/>
            <w:vMerge/>
            <w:shd w:val="clear" w:color="auto" w:fill="auto"/>
          </w:tcPr>
          <w:p w14:paraId="175598CF"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768" w:type="pct"/>
            <w:vMerge w:val="restart"/>
            <w:shd w:val="clear" w:color="auto" w:fill="auto"/>
          </w:tcPr>
          <w:p w14:paraId="49D40043"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Citizen power</w:t>
            </w:r>
          </w:p>
        </w:tc>
        <w:tc>
          <w:tcPr>
            <w:tcW w:w="905" w:type="pct"/>
            <w:shd w:val="clear" w:color="auto" w:fill="auto"/>
          </w:tcPr>
          <w:p w14:paraId="651AD39E"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Count</w:t>
            </w:r>
          </w:p>
        </w:tc>
        <w:tc>
          <w:tcPr>
            <w:tcW w:w="798" w:type="pct"/>
            <w:shd w:val="clear" w:color="auto" w:fill="auto"/>
          </w:tcPr>
          <w:p w14:paraId="513546F7"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0</w:t>
            </w:r>
          </w:p>
        </w:tc>
        <w:tc>
          <w:tcPr>
            <w:tcW w:w="906" w:type="pct"/>
            <w:shd w:val="clear" w:color="auto" w:fill="auto"/>
          </w:tcPr>
          <w:p w14:paraId="03F04129"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60</w:t>
            </w:r>
          </w:p>
        </w:tc>
        <w:tc>
          <w:tcPr>
            <w:tcW w:w="804" w:type="pct"/>
            <w:shd w:val="clear" w:color="auto" w:fill="auto"/>
          </w:tcPr>
          <w:p w14:paraId="330063B0"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60</w:t>
            </w:r>
          </w:p>
        </w:tc>
      </w:tr>
      <w:tr w:rsidR="0024221E" w:rsidRPr="00503189" w14:paraId="3DBFE4E2" w14:textId="77777777" w:rsidTr="00503189">
        <w:trPr>
          <w:cantSplit/>
        </w:trPr>
        <w:tc>
          <w:tcPr>
            <w:tcW w:w="820" w:type="pct"/>
            <w:vMerge/>
            <w:shd w:val="clear" w:color="auto" w:fill="auto"/>
          </w:tcPr>
          <w:p w14:paraId="7BCF3944"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768" w:type="pct"/>
            <w:vMerge/>
            <w:shd w:val="clear" w:color="auto" w:fill="auto"/>
          </w:tcPr>
          <w:p w14:paraId="57D4CE9A"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905" w:type="pct"/>
            <w:shd w:val="clear" w:color="auto" w:fill="auto"/>
          </w:tcPr>
          <w:p w14:paraId="1A06CF2D"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 of Total</w:t>
            </w:r>
          </w:p>
        </w:tc>
        <w:tc>
          <w:tcPr>
            <w:tcW w:w="798" w:type="pct"/>
            <w:shd w:val="clear" w:color="auto" w:fill="auto"/>
          </w:tcPr>
          <w:p w14:paraId="1246B409"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0.0%</w:t>
            </w:r>
          </w:p>
        </w:tc>
        <w:tc>
          <w:tcPr>
            <w:tcW w:w="906" w:type="pct"/>
            <w:shd w:val="clear" w:color="auto" w:fill="auto"/>
          </w:tcPr>
          <w:p w14:paraId="3D758A12"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13.9%</w:t>
            </w:r>
          </w:p>
        </w:tc>
        <w:tc>
          <w:tcPr>
            <w:tcW w:w="804" w:type="pct"/>
            <w:shd w:val="clear" w:color="auto" w:fill="auto"/>
          </w:tcPr>
          <w:p w14:paraId="613EB558"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13.9%</w:t>
            </w:r>
          </w:p>
        </w:tc>
      </w:tr>
      <w:tr w:rsidR="0024221E" w:rsidRPr="00503189" w14:paraId="2A163C37" w14:textId="77777777" w:rsidTr="00503189">
        <w:trPr>
          <w:cantSplit/>
        </w:trPr>
        <w:tc>
          <w:tcPr>
            <w:tcW w:w="1588" w:type="pct"/>
            <w:gridSpan w:val="2"/>
            <w:vMerge w:val="restart"/>
            <w:shd w:val="clear" w:color="auto" w:fill="auto"/>
          </w:tcPr>
          <w:p w14:paraId="05BC8BDF"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Total</w:t>
            </w:r>
          </w:p>
        </w:tc>
        <w:tc>
          <w:tcPr>
            <w:tcW w:w="905" w:type="pct"/>
            <w:shd w:val="clear" w:color="auto" w:fill="auto"/>
          </w:tcPr>
          <w:p w14:paraId="2D4E8E5A"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Count</w:t>
            </w:r>
          </w:p>
        </w:tc>
        <w:tc>
          <w:tcPr>
            <w:tcW w:w="798" w:type="pct"/>
            <w:shd w:val="clear" w:color="auto" w:fill="auto"/>
          </w:tcPr>
          <w:p w14:paraId="39B7F035"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170</w:t>
            </w:r>
          </w:p>
        </w:tc>
        <w:tc>
          <w:tcPr>
            <w:tcW w:w="906" w:type="pct"/>
            <w:shd w:val="clear" w:color="auto" w:fill="auto"/>
          </w:tcPr>
          <w:p w14:paraId="6086EF1A"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261</w:t>
            </w:r>
          </w:p>
        </w:tc>
        <w:tc>
          <w:tcPr>
            <w:tcW w:w="804" w:type="pct"/>
            <w:shd w:val="clear" w:color="auto" w:fill="auto"/>
          </w:tcPr>
          <w:p w14:paraId="338FAE15"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431</w:t>
            </w:r>
          </w:p>
        </w:tc>
      </w:tr>
      <w:tr w:rsidR="0024221E" w:rsidRPr="00503189" w14:paraId="00134EDF" w14:textId="77777777" w:rsidTr="00503189">
        <w:trPr>
          <w:cantSplit/>
        </w:trPr>
        <w:tc>
          <w:tcPr>
            <w:tcW w:w="1588" w:type="pct"/>
            <w:gridSpan w:val="2"/>
            <w:vMerge/>
            <w:tcBorders>
              <w:bottom w:val="single" w:sz="4" w:space="0" w:color="auto"/>
            </w:tcBorders>
            <w:shd w:val="clear" w:color="auto" w:fill="auto"/>
          </w:tcPr>
          <w:p w14:paraId="3210C2A1" w14:textId="77777777" w:rsidR="0024221E" w:rsidRPr="00503189" w:rsidRDefault="0024221E" w:rsidP="00772DAC">
            <w:pPr>
              <w:autoSpaceDE w:val="0"/>
              <w:autoSpaceDN w:val="0"/>
              <w:adjustRightInd w:val="0"/>
              <w:spacing w:after="0" w:line="240" w:lineRule="auto"/>
              <w:ind w:left="0" w:firstLine="0"/>
              <w:rPr>
                <w:rFonts w:cs="Times New Roman"/>
              </w:rPr>
            </w:pPr>
          </w:p>
        </w:tc>
        <w:tc>
          <w:tcPr>
            <w:tcW w:w="905" w:type="pct"/>
            <w:tcBorders>
              <w:bottom w:val="single" w:sz="4" w:space="0" w:color="auto"/>
            </w:tcBorders>
            <w:shd w:val="clear" w:color="auto" w:fill="auto"/>
          </w:tcPr>
          <w:p w14:paraId="48075A41" w14:textId="77777777" w:rsidR="0024221E" w:rsidRPr="00503189" w:rsidRDefault="0024221E" w:rsidP="00772DAC">
            <w:pPr>
              <w:autoSpaceDE w:val="0"/>
              <w:autoSpaceDN w:val="0"/>
              <w:adjustRightInd w:val="0"/>
              <w:spacing w:after="0" w:line="320" w:lineRule="atLeast"/>
              <w:ind w:left="0" w:right="60" w:firstLine="0"/>
              <w:rPr>
                <w:rFonts w:cs="Times New Roman"/>
              </w:rPr>
            </w:pPr>
            <w:r w:rsidRPr="00503189">
              <w:rPr>
                <w:rFonts w:cs="Times New Roman"/>
                <w:sz w:val="22"/>
              </w:rPr>
              <w:t>% of Total</w:t>
            </w:r>
          </w:p>
        </w:tc>
        <w:tc>
          <w:tcPr>
            <w:tcW w:w="798" w:type="pct"/>
            <w:tcBorders>
              <w:bottom w:val="single" w:sz="4" w:space="0" w:color="auto"/>
            </w:tcBorders>
            <w:shd w:val="clear" w:color="auto" w:fill="auto"/>
          </w:tcPr>
          <w:p w14:paraId="5D1E3931"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39.4%</w:t>
            </w:r>
          </w:p>
        </w:tc>
        <w:tc>
          <w:tcPr>
            <w:tcW w:w="906" w:type="pct"/>
            <w:tcBorders>
              <w:bottom w:val="single" w:sz="4" w:space="0" w:color="auto"/>
            </w:tcBorders>
            <w:shd w:val="clear" w:color="auto" w:fill="auto"/>
          </w:tcPr>
          <w:p w14:paraId="6B84F4E0"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60.6%</w:t>
            </w:r>
          </w:p>
        </w:tc>
        <w:tc>
          <w:tcPr>
            <w:tcW w:w="804" w:type="pct"/>
            <w:tcBorders>
              <w:bottom w:val="single" w:sz="4" w:space="0" w:color="auto"/>
            </w:tcBorders>
            <w:shd w:val="clear" w:color="auto" w:fill="auto"/>
          </w:tcPr>
          <w:p w14:paraId="66B31AAD" w14:textId="77777777" w:rsidR="0024221E" w:rsidRPr="00503189" w:rsidRDefault="0024221E" w:rsidP="00772DAC">
            <w:pPr>
              <w:autoSpaceDE w:val="0"/>
              <w:autoSpaceDN w:val="0"/>
              <w:adjustRightInd w:val="0"/>
              <w:spacing w:after="0" w:line="320" w:lineRule="atLeast"/>
              <w:ind w:left="0" w:right="60" w:firstLine="0"/>
              <w:jc w:val="right"/>
              <w:rPr>
                <w:rFonts w:cs="Times New Roman"/>
              </w:rPr>
            </w:pPr>
            <w:r w:rsidRPr="00503189">
              <w:rPr>
                <w:rFonts w:cs="Times New Roman"/>
                <w:sz w:val="22"/>
              </w:rPr>
              <w:t>100.0%</w:t>
            </w:r>
          </w:p>
        </w:tc>
      </w:tr>
    </w:tbl>
    <w:p w14:paraId="7FC56353" w14:textId="77777777" w:rsidR="0024221E" w:rsidRDefault="0024221E" w:rsidP="00503189">
      <w:pPr>
        <w:autoSpaceDE w:val="0"/>
        <w:autoSpaceDN w:val="0"/>
        <w:adjustRightInd w:val="0"/>
        <w:spacing w:after="0" w:line="240" w:lineRule="auto"/>
        <w:ind w:left="0" w:firstLine="0"/>
        <w:rPr>
          <w:rFonts w:cs="Times New Roman"/>
          <w:sz w:val="22"/>
        </w:rPr>
      </w:pPr>
      <w:r w:rsidRPr="00503189">
        <w:rPr>
          <w:rFonts w:cs="Times New Roman"/>
          <w:sz w:val="22"/>
        </w:rPr>
        <w:t xml:space="preserve">Source: Field survey (2024). </w:t>
      </w:r>
    </w:p>
    <w:p w14:paraId="52806EB3" w14:textId="77777777" w:rsidR="00503189" w:rsidRPr="00503189" w:rsidRDefault="00503189" w:rsidP="00503189">
      <w:pPr>
        <w:pStyle w:val="BodyText"/>
        <w:rPr>
          <w:sz w:val="4"/>
        </w:rPr>
      </w:pPr>
    </w:p>
    <w:p w14:paraId="452A9465" w14:textId="2364027B" w:rsidR="005C0400" w:rsidRDefault="00503189" w:rsidP="000C5339">
      <w:pPr>
        <w:ind w:left="0" w:firstLine="0"/>
        <w:rPr>
          <w:rFonts w:cs="Times New Roman"/>
          <w:szCs w:val="24"/>
        </w:rPr>
      </w:pPr>
      <w:r>
        <w:rPr>
          <w:rFonts w:cs="Times New Roman"/>
          <w:szCs w:val="24"/>
        </w:rPr>
        <w:tab/>
      </w:r>
      <w:bookmarkStart w:id="441" w:name="_Hlk163472965"/>
      <w:r w:rsidR="000C5339">
        <w:rPr>
          <w:rFonts w:cs="Times New Roman"/>
          <w:szCs w:val="24"/>
        </w:rPr>
        <w:t xml:space="preserve">From Table </w:t>
      </w:r>
      <w:r w:rsidR="005970AC">
        <w:rPr>
          <w:rFonts w:cs="Times New Roman"/>
          <w:szCs w:val="24"/>
        </w:rPr>
        <w:t>10</w:t>
      </w:r>
      <w:r w:rsidR="000C5339">
        <w:rPr>
          <w:rFonts w:cs="Times New Roman"/>
          <w:szCs w:val="24"/>
        </w:rPr>
        <w:t>, the study compared participants' locations across participation levels. It came to light that more residents (39.4 %) at Bobiri were found in the category of non-participation than those at Southern Scarp (25.5%). Residents of the SSFR participated at the desired participation level. This disparity could be attributed to the manage</w:t>
      </w:r>
      <w:r w:rsidR="005C0400">
        <w:rPr>
          <w:rFonts w:cs="Times New Roman"/>
          <w:szCs w:val="24"/>
        </w:rPr>
        <w:t xml:space="preserve">ment and local institutions present at these </w:t>
      </w:r>
      <w:r w:rsidR="000C5339">
        <w:rPr>
          <w:rFonts w:cs="Times New Roman"/>
          <w:szCs w:val="24"/>
        </w:rPr>
        <w:t xml:space="preserve">reserves. </w:t>
      </w:r>
    </w:p>
    <w:p w14:paraId="2423A0C5" w14:textId="3DA47970" w:rsidR="000C5339" w:rsidRDefault="000C5339" w:rsidP="005C0400">
      <w:pPr>
        <w:ind w:left="0"/>
        <w:rPr>
          <w:rFonts w:cs="Times New Roman"/>
          <w:szCs w:val="24"/>
        </w:rPr>
      </w:pPr>
      <w:r>
        <w:rPr>
          <w:rFonts w:cs="Times New Roman"/>
          <w:szCs w:val="24"/>
        </w:rPr>
        <w:t xml:space="preserve">As discussed in the management regimes, the FSD </w:t>
      </w:r>
      <w:r w:rsidR="005C0400">
        <w:rPr>
          <w:rFonts w:cs="Times New Roman"/>
          <w:szCs w:val="24"/>
        </w:rPr>
        <w:t xml:space="preserve">at Bobiri </w:t>
      </w:r>
      <w:r>
        <w:rPr>
          <w:rFonts w:cs="Times New Roman"/>
          <w:szCs w:val="24"/>
        </w:rPr>
        <w:t>fully managed the reserve</w:t>
      </w:r>
      <w:r w:rsidR="005C0400">
        <w:rPr>
          <w:rFonts w:cs="Times New Roman"/>
          <w:szCs w:val="24"/>
        </w:rPr>
        <w:t xml:space="preserve"> with a low cost of excluding the community. In addition, the presence of the Buffer zone with no community involvement in the management also contributes to the differences in the levels of community participation in the management of the reserve. The presence of these issues prevents the FDMP (2016-2036) from achieving its short-term goal of </w:t>
      </w:r>
      <w:r w:rsidR="005C0400">
        <w:rPr>
          <w:rFonts w:cs="Times New Roman"/>
          <w:szCs w:val="24"/>
        </w:rPr>
        <w:lastRenderedPageBreak/>
        <w:t>increasing community participation in the management of reserves to achieve outcomes such as legitimacy, accountability and equity.</w:t>
      </w:r>
      <w:r>
        <w:rPr>
          <w:rFonts w:cs="Times New Roman"/>
          <w:szCs w:val="24"/>
        </w:rPr>
        <w:t xml:space="preserve"> </w:t>
      </w:r>
      <w:r w:rsidR="005C0400">
        <w:rPr>
          <w:rFonts w:cs="Times New Roman"/>
          <w:szCs w:val="24"/>
        </w:rPr>
        <w:t xml:space="preserve">This study proceeds to analyse levels of community participation and levels of education. </w:t>
      </w:r>
    </w:p>
    <w:tbl>
      <w:tblPr>
        <w:tblW w:w="5000" w:type="pct"/>
        <w:tblCellMar>
          <w:left w:w="0" w:type="dxa"/>
          <w:right w:w="0" w:type="dxa"/>
        </w:tblCellMar>
        <w:tblLook w:val="0000" w:firstRow="0" w:lastRow="0" w:firstColumn="0" w:lastColumn="0" w:noHBand="0" w:noVBand="0"/>
      </w:tblPr>
      <w:tblGrid>
        <w:gridCol w:w="1551"/>
        <w:gridCol w:w="1473"/>
        <w:gridCol w:w="951"/>
        <w:gridCol w:w="874"/>
        <w:gridCol w:w="991"/>
        <w:gridCol w:w="874"/>
        <w:gridCol w:w="872"/>
      </w:tblGrid>
      <w:tr w:rsidR="0024221E" w:rsidRPr="00575B25" w14:paraId="36B34B9A" w14:textId="77777777" w:rsidTr="00503189">
        <w:trPr>
          <w:cantSplit/>
        </w:trPr>
        <w:tc>
          <w:tcPr>
            <w:tcW w:w="5000" w:type="pct"/>
            <w:gridSpan w:val="7"/>
            <w:tcBorders>
              <w:bottom w:val="single" w:sz="4" w:space="0" w:color="auto"/>
            </w:tcBorders>
            <w:shd w:val="clear" w:color="auto" w:fill="auto"/>
            <w:vAlign w:val="center"/>
          </w:tcPr>
          <w:p w14:paraId="23A97326" w14:textId="352277E4" w:rsidR="0024221E" w:rsidRPr="00575B25" w:rsidRDefault="0024221E" w:rsidP="001F0945">
            <w:pPr>
              <w:pStyle w:val="LT"/>
            </w:pPr>
            <w:bookmarkStart w:id="442" w:name="_Toc197335674"/>
            <w:bookmarkEnd w:id="441"/>
            <w:r w:rsidRPr="00575B25">
              <w:t>Table</w:t>
            </w:r>
            <w:r>
              <w:t xml:space="preserve"> </w:t>
            </w:r>
            <w:r w:rsidR="00391088">
              <w:t>1</w:t>
            </w:r>
            <w:r w:rsidR="005970AC">
              <w:t>1</w:t>
            </w:r>
            <w:r>
              <w:t xml:space="preserve">: </w:t>
            </w:r>
            <w:r w:rsidRPr="00575B25">
              <w:t xml:space="preserve">Levels of </w:t>
            </w:r>
            <w:r w:rsidR="00566F1D" w:rsidRPr="00575B25">
              <w:t>Community Participation and Levels of Education</w:t>
            </w:r>
            <w:bookmarkEnd w:id="442"/>
          </w:p>
        </w:tc>
      </w:tr>
      <w:tr w:rsidR="0024221E" w:rsidRPr="00503189" w14:paraId="1F0C15B9" w14:textId="77777777" w:rsidTr="005C0400">
        <w:trPr>
          <w:cantSplit/>
        </w:trPr>
        <w:tc>
          <w:tcPr>
            <w:tcW w:w="2620" w:type="pct"/>
            <w:gridSpan w:val="3"/>
            <w:vMerge w:val="restart"/>
            <w:tcBorders>
              <w:top w:val="single" w:sz="4" w:space="0" w:color="auto"/>
            </w:tcBorders>
            <w:shd w:val="clear" w:color="auto" w:fill="auto"/>
            <w:vAlign w:val="bottom"/>
          </w:tcPr>
          <w:p w14:paraId="176821C6" w14:textId="77777777" w:rsidR="0024221E" w:rsidRPr="00503189" w:rsidRDefault="0024221E" w:rsidP="00772DAC">
            <w:pPr>
              <w:autoSpaceDE w:val="0"/>
              <w:autoSpaceDN w:val="0"/>
              <w:adjustRightInd w:val="0"/>
              <w:spacing w:after="0" w:line="276" w:lineRule="auto"/>
              <w:ind w:left="0" w:firstLine="0"/>
              <w:rPr>
                <w:rFonts w:cs="Times New Roman"/>
              </w:rPr>
            </w:pPr>
          </w:p>
        </w:tc>
        <w:tc>
          <w:tcPr>
            <w:tcW w:w="1805" w:type="pct"/>
            <w:gridSpan w:val="3"/>
            <w:tcBorders>
              <w:top w:val="single" w:sz="4" w:space="0" w:color="auto"/>
            </w:tcBorders>
            <w:shd w:val="clear" w:color="auto" w:fill="auto"/>
            <w:vAlign w:val="bottom"/>
          </w:tcPr>
          <w:p w14:paraId="10E45FB5" w14:textId="77777777" w:rsidR="0024221E" w:rsidRPr="00503189" w:rsidRDefault="0024221E" w:rsidP="00772DAC">
            <w:pPr>
              <w:autoSpaceDE w:val="0"/>
              <w:autoSpaceDN w:val="0"/>
              <w:adjustRightInd w:val="0"/>
              <w:spacing w:after="0" w:line="276" w:lineRule="auto"/>
              <w:ind w:left="0" w:right="60" w:firstLine="0"/>
              <w:jc w:val="center"/>
              <w:rPr>
                <w:rFonts w:cs="Times New Roman"/>
              </w:rPr>
            </w:pPr>
            <w:r w:rsidRPr="00503189">
              <w:rPr>
                <w:rFonts w:cs="Times New Roman"/>
                <w:sz w:val="22"/>
              </w:rPr>
              <w:t>levels of education</w:t>
            </w:r>
          </w:p>
        </w:tc>
        <w:tc>
          <w:tcPr>
            <w:tcW w:w="575" w:type="pct"/>
            <w:vMerge w:val="restart"/>
            <w:tcBorders>
              <w:top w:val="single" w:sz="4" w:space="0" w:color="auto"/>
            </w:tcBorders>
            <w:shd w:val="clear" w:color="auto" w:fill="auto"/>
            <w:vAlign w:val="bottom"/>
          </w:tcPr>
          <w:p w14:paraId="24384DC4" w14:textId="77777777" w:rsidR="0024221E" w:rsidRPr="00503189" w:rsidRDefault="0024221E" w:rsidP="00772DAC">
            <w:pPr>
              <w:autoSpaceDE w:val="0"/>
              <w:autoSpaceDN w:val="0"/>
              <w:adjustRightInd w:val="0"/>
              <w:spacing w:after="0" w:line="276" w:lineRule="auto"/>
              <w:ind w:left="0" w:right="60" w:firstLine="0"/>
              <w:jc w:val="center"/>
              <w:rPr>
                <w:rFonts w:cs="Times New Roman"/>
              </w:rPr>
            </w:pPr>
            <w:r w:rsidRPr="00503189">
              <w:rPr>
                <w:rFonts w:cs="Times New Roman"/>
                <w:sz w:val="22"/>
              </w:rPr>
              <w:t>Total</w:t>
            </w:r>
          </w:p>
        </w:tc>
      </w:tr>
      <w:tr w:rsidR="0024221E" w:rsidRPr="00503189" w14:paraId="004CF4B8" w14:textId="77777777" w:rsidTr="005C0400">
        <w:trPr>
          <w:cantSplit/>
          <w:trHeight w:val="91"/>
        </w:trPr>
        <w:tc>
          <w:tcPr>
            <w:tcW w:w="2620" w:type="pct"/>
            <w:gridSpan w:val="3"/>
            <w:vMerge/>
            <w:tcBorders>
              <w:bottom w:val="single" w:sz="4" w:space="0" w:color="auto"/>
            </w:tcBorders>
            <w:shd w:val="clear" w:color="auto" w:fill="auto"/>
            <w:vAlign w:val="bottom"/>
          </w:tcPr>
          <w:p w14:paraId="2DAA128E" w14:textId="77777777" w:rsidR="0024221E" w:rsidRPr="00503189" w:rsidRDefault="0024221E" w:rsidP="00772DAC">
            <w:pPr>
              <w:autoSpaceDE w:val="0"/>
              <w:autoSpaceDN w:val="0"/>
              <w:adjustRightInd w:val="0"/>
              <w:spacing w:after="0" w:line="276" w:lineRule="auto"/>
              <w:ind w:left="0" w:firstLine="0"/>
              <w:rPr>
                <w:rFonts w:cs="Times New Roman"/>
              </w:rPr>
            </w:pPr>
          </w:p>
        </w:tc>
        <w:tc>
          <w:tcPr>
            <w:tcW w:w="576" w:type="pct"/>
            <w:tcBorders>
              <w:bottom w:val="single" w:sz="4" w:space="0" w:color="auto"/>
            </w:tcBorders>
            <w:shd w:val="clear" w:color="auto" w:fill="auto"/>
            <w:vAlign w:val="bottom"/>
          </w:tcPr>
          <w:p w14:paraId="70969BD6" w14:textId="77777777" w:rsidR="0024221E" w:rsidRPr="00503189" w:rsidRDefault="0024221E" w:rsidP="00772DAC">
            <w:pPr>
              <w:autoSpaceDE w:val="0"/>
              <w:autoSpaceDN w:val="0"/>
              <w:adjustRightInd w:val="0"/>
              <w:spacing w:after="0" w:line="276" w:lineRule="auto"/>
              <w:ind w:left="0" w:right="60" w:firstLine="0"/>
              <w:jc w:val="center"/>
              <w:rPr>
                <w:rFonts w:cs="Times New Roman"/>
              </w:rPr>
            </w:pPr>
            <w:r w:rsidRPr="00503189">
              <w:rPr>
                <w:rFonts w:cs="Times New Roman"/>
                <w:sz w:val="22"/>
              </w:rPr>
              <w:t>Basic</w:t>
            </w:r>
          </w:p>
        </w:tc>
        <w:tc>
          <w:tcPr>
            <w:tcW w:w="653" w:type="pct"/>
            <w:tcBorders>
              <w:bottom w:val="single" w:sz="4" w:space="0" w:color="auto"/>
            </w:tcBorders>
            <w:shd w:val="clear" w:color="auto" w:fill="auto"/>
            <w:vAlign w:val="bottom"/>
          </w:tcPr>
          <w:p w14:paraId="5CE5612B" w14:textId="77777777" w:rsidR="0024221E" w:rsidRPr="00503189" w:rsidRDefault="0024221E" w:rsidP="00772DAC">
            <w:pPr>
              <w:autoSpaceDE w:val="0"/>
              <w:autoSpaceDN w:val="0"/>
              <w:adjustRightInd w:val="0"/>
              <w:spacing w:after="0" w:line="276" w:lineRule="auto"/>
              <w:ind w:left="0" w:right="60" w:firstLine="0"/>
              <w:jc w:val="center"/>
              <w:rPr>
                <w:rFonts w:cs="Times New Roman"/>
              </w:rPr>
            </w:pPr>
            <w:r w:rsidRPr="00503189">
              <w:rPr>
                <w:rFonts w:cs="Times New Roman"/>
                <w:sz w:val="22"/>
              </w:rPr>
              <w:t>secondary</w:t>
            </w:r>
          </w:p>
        </w:tc>
        <w:tc>
          <w:tcPr>
            <w:tcW w:w="576" w:type="pct"/>
            <w:tcBorders>
              <w:bottom w:val="single" w:sz="4" w:space="0" w:color="auto"/>
            </w:tcBorders>
            <w:shd w:val="clear" w:color="auto" w:fill="auto"/>
            <w:vAlign w:val="bottom"/>
          </w:tcPr>
          <w:p w14:paraId="66CD9559" w14:textId="77777777" w:rsidR="0024221E" w:rsidRPr="00503189" w:rsidRDefault="0024221E" w:rsidP="00772DAC">
            <w:pPr>
              <w:autoSpaceDE w:val="0"/>
              <w:autoSpaceDN w:val="0"/>
              <w:adjustRightInd w:val="0"/>
              <w:spacing w:after="0" w:line="276" w:lineRule="auto"/>
              <w:ind w:left="0" w:right="60" w:firstLine="0"/>
              <w:jc w:val="center"/>
              <w:rPr>
                <w:rFonts w:cs="Times New Roman"/>
              </w:rPr>
            </w:pPr>
            <w:r w:rsidRPr="00503189">
              <w:rPr>
                <w:rFonts w:cs="Times New Roman"/>
                <w:sz w:val="22"/>
              </w:rPr>
              <w:t>None</w:t>
            </w:r>
          </w:p>
        </w:tc>
        <w:tc>
          <w:tcPr>
            <w:tcW w:w="575" w:type="pct"/>
            <w:vMerge/>
            <w:tcBorders>
              <w:bottom w:val="single" w:sz="4" w:space="0" w:color="auto"/>
            </w:tcBorders>
            <w:shd w:val="clear" w:color="auto" w:fill="auto"/>
            <w:vAlign w:val="bottom"/>
          </w:tcPr>
          <w:p w14:paraId="77E7524B" w14:textId="77777777" w:rsidR="0024221E" w:rsidRPr="00503189" w:rsidRDefault="0024221E" w:rsidP="00772DAC">
            <w:pPr>
              <w:autoSpaceDE w:val="0"/>
              <w:autoSpaceDN w:val="0"/>
              <w:adjustRightInd w:val="0"/>
              <w:spacing w:after="0" w:line="276" w:lineRule="auto"/>
              <w:ind w:left="0" w:firstLine="0"/>
              <w:rPr>
                <w:rFonts w:cs="Times New Roman"/>
              </w:rPr>
            </w:pPr>
          </w:p>
        </w:tc>
      </w:tr>
      <w:tr w:rsidR="0024221E" w:rsidRPr="00503189" w14:paraId="6DC9F8B6" w14:textId="77777777" w:rsidTr="005C0400">
        <w:trPr>
          <w:cantSplit/>
        </w:trPr>
        <w:tc>
          <w:tcPr>
            <w:tcW w:w="1022" w:type="pct"/>
            <w:vMerge w:val="restart"/>
            <w:tcBorders>
              <w:top w:val="single" w:sz="4" w:space="0" w:color="auto"/>
            </w:tcBorders>
            <w:shd w:val="clear" w:color="auto" w:fill="auto"/>
          </w:tcPr>
          <w:p w14:paraId="2354F8DC"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Participation Index</w:t>
            </w:r>
          </w:p>
        </w:tc>
        <w:tc>
          <w:tcPr>
            <w:tcW w:w="971" w:type="pct"/>
            <w:vMerge w:val="restart"/>
            <w:tcBorders>
              <w:top w:val="single" w:sz="4" w:space="0" w:color="auto"/>
            </w:tcBorders>
            <w:shd w:val="clear" w:color="auto" w:fill="auto"/>
          </w:tcPr>
          <w:p w14:paraId="0DDBC460"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Non-participation</w:t>
            </w:r>
          </w:p>
        </w:tc>
        <w:tc>
          <w:tcPr>
            <w:tcW w:w="627" w:type="pct"/>
            <w:tcBorders>
              <w:top w:val="single" w:sz="4" w:space="0" w:color="auto"/>
            </w:tcBorders>
            <w:shd w:val="clear" w:color="auto" w:fill="auto"/>
          </w:tcPr>
          <w:p w14:paraId="43095E6F"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Count</w:t>
            </w:r>
          </w:p>
        </w:tc>
        <w:tc>
          <w:tcPr>
            <w:tcW w:w="576" w:type="pct"/>
            <w:tcBorders>
              <w:top w:val="single" w:sz="4" w:space="0" w:color="auto"/>
            </w:tcBorders>
            <w:shd w:val="clear" w:color="auto" w:fill="auto"/>
          </w:tcPr>
          <w:p w14:paraId="59788DB5"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201</w:t>
            </w:r>
          </w:p>
        </w:tc>
        <w:tc>
          <w:tcPr>
            <w:tcW w:w="653" w:type="pct"/>
            <w:tcBorders>
              <w:top w:val="single" w:sz="4" w:space="0" w:color="auto"/>
            </w:tcBorders>
            <w:shd w:val="clear" w:color="auto" w:fill="auto"/>
          </w:tcPr>
          <w:p w14:paraId="00E13A3D"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w:t>
            </w:r>
          </w:p>
        </w:tc>
        <w:tc>
          <w:tcPr>
            <w:tcW w:w="576" w:type="pct"/>
            <w:tcBorders>
              <w:top w:val="single" w:sz="4" w:space="0" w:color="auto"/>
            </w:tcBorders>
            <w:shd w:val="clear" w:color="auto" w:fill="auto"/>
          </w:tcPr>
          <w:p w14:paraId="5B83F5B3"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77</w:t>
            </w:r>
          </w:p>
        </w:tc>
        <w:tc>
          <w:tcPr>
            <w:tcW w:w="575" w:type="pct"/>
            <w:tcBorders>
              <w:top w:val="single" w:sz="4" w:space="0" w:color="auto"/>
            </w:tcBorders>
            <w:shd w:val="clear" w:color="auto" w:fill="auto"/>
          </w:tcPr>
          <w:p w14:paraId="7075AF10"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280</w:t>
            </w:r>
          </w:p>
        </w:tc>
      </w:tr>
      <w:tr w:rsidR="0024221E" w:rsidRPr="00503189" w14:paraId="1FA6D8CF" w14:textId="77777777" w:rsidTr="005C0400">
        <w:trPr>
          <w:cantSplit/>
        </w:trPr>
        <w:tc>
          <w:tcPr>
            <w:tcW w:w="1022" w:type="pct"/>
            <w:vMerge/>
            <w:shd w:val="clear" w:color="auto" w:fill="auto"/>
          </w:tcPr>
          <w:p w14:paraId="785760B7"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971" w:type="pct"/>
            <w:vMerge/>
            <w:shd w:val="clear" w:color="auto" w:fill="auto"/>
          </w:tcPr>
          <w:p w14:paraId="4B263D66"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627" w:type="pct"/>
            <w:shd w:val="clear" w:color="auto" w:fill="auto"/>
          </w:tcPr>
          <w:p w14:paraId="150E41B5"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 of Total</w:t>
            </w:r>
          </w:p>
        </w:tc>
        <w:tc>
          <w:tcPr>
            <w:tcW w:w="576" w:type="pct"/>
            <w:shd w:val="clear" w:color="auto" w:fill="auto"/>
          </w:tcPr>
          <w:p w14:paraId="5EFB7373"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46.6%</w:t>
            </w:r>
          </w:p>
        </w:tc>
        <w:tc>
          <w:tcPr>
            <w:tcW w:w="653" w:type="pct"/>
            <w:shd w:val="clear" w:color="auto" w:fill="auto"/>
          </w:tcPr>
          <w:p w14:paraId="6F88F38B"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0.5%</w:t>
            </w:r>
          </w:p>
        </w:tc>
        <w:tc>
          <w:tcPr>
            <w:tcW w:w="576" w:type="pct"/>
            <w:shd w:val="clear" w:color="auto" w:fill="auto"/>
          </w:tcPr>
          <w:p w14:paraId="73F4037E"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17.9%</w:t>
            </w:r>
          </w:p>
        </w:tc>
        <w:tc>
          <w:tcPr>
            <w:tcW w:w="575" w:type="pct"/>
            <w:shd w:val="clear" w:color="auto" w:fill="auto"/>
          </w:tcPr>
          <w:p w14:paraId="7336FD78"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65.0%</w:t>
            </w:r>
          </w:p>
        </w:tc>
      </w:tr>
      <w:tr w:rsidR="0024221E" w:rsidRPr="00503189" w14:paraId="76F8D5FD" w14:textId="77777777" w:rsidTr="005C0400">
        <w:trPr>
          <w:cantSplit/>
        </w:trPr>
        <w:tc>
          <w:tcPr>
            <w:tcW w:w="1022" w:type="pct"/>
            <w:vMerge/>
            <w:shd w:val="clear" w:color="auto" w:fill="auto"/>
          </w:tcPr>
          <w:p w14:paraId="5ED84C8C"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971" w:type="pct"/>
            <w:vMerge w:val="restart"/>
            <w:shd w:val="clear" w:color="auto" w:fill="auto"/>
          </w:tcPr>
          <w:p w14:paraId="2AFD7E69"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Tokenism</w:t>
            </w:r>
          </w:p>
        </w:tc>
        <w:tc>
          <w:tcPr>
            <w:tcW w:w="627" w:type="pct"/>
            <w:shd w:val="clear" w:color="auto" w:fill="auto"/>
          </w:tcPr>
          <w:p w14:paraId="59E75D08"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Count</w:t>
            </w:r>
          </w:p>
        </w:tc>
        <w:tc>
          <w:tcPr>
            <w:tcW w:w="576" w:type="pct"/>
            <w:shd w:val="clear" w:color="auto" w:fill="auto"/>
          </w:tcPr>
          <w:p w14:paraId="1BE8E269"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57</w:t>
            </w:r>
          </w:p>
        </w:tc>
        <w:tc>
          <w:tcPr>
            <w:tcW w:w="653" w:type="pct"/>
            <w:shd w:val="clear" w:color="auto" w:fill="auto"/>
          </w:tcPr>
          <w:p w14:paraId="50429C34"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7</w:t>
            </w:r>
          </w:p>
        </w:tc>
        <w:tc>
          <w:tcPr>
            <w:tcW w:w="576" w:type="pct"/>
            <w:shd w:val="clear" w:color="auto" w:fill="auto"/>
          </w:tcPr>
          <w:p w14:paraId="266F4A5D"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27</w:t>
            </w:r>
          </w:p>
        </w:tc>
        <w:tc>
          <w:tcPr>
            <w:tcW w:w="575" w:type="pct"/>
            <w:shd w:val="clear" w:color="auto" w:fill="auto"/>
          </w:tcPr>
          <w:p w14:paraId="1684929A"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91</w:t>
            </w:r>
          </w:p>
        </w:tc>
      </w:tr>
      <w:tr w:rsidR="0024221E" w:rsidRPr="00503189" w14:paraId="1B6E179B" w14:textId="77777777" w:rsidTr="005C0400">
        <w:trPr>
          <w:cantSplit/>
        </w:trPr>
        <w:tc>
          <w:tcPr>
            <w:tcW w:w="1022" w:type="pct"/>
            <w:vMerge/>
            <w:shd w:val="clear" w:color="auto" w:fill="auto"/>
          </w:tcPr>
          <w:p w14:paraId="43364604"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971" w:type="pct"/>
            <w:vMerge/>
            <w:shd w:val="clear" w:color="auto" w:fill="auto"/>
          </w:tcPr>
          <w:p w14:paraId="1428F214"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627" w:type="pct"/>
            <w:shd w:val="clear" w:color="auto" w:fill="auto"/>
          </w:tcPr>
          <w:p w14:paraId="01DBAEF4"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 of Total</w:t>
            </w:r>
          </w:p>
        </w:tc>
        <w:tc>
          <w:tcPr>
            <w:tcW w:w="576" w:type="pct"/>
            <w:shd w:val="clear" w:color="auto" w:fill="auto"/>
          </w:tcPr>
          <w:p w14:paraId="63D37744"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13.2%</w:t>
            </w:r>
          </w:p>
        </w:tc>
        <w:tc>
          <w:tcPr>
            <w:tcW w:w="653" w:type="pct"/>
            <w:shd w:val="clear" w:color="auto" w:fill="auto"/>
          </w:tcPr>
          <w:p w14:paraId="4293677D"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1.6%</w:t>
            </w:r>
          </w:p>
        </w:tc>
        <w:tc>
          <w:tcPr>
            <w:tcW w:w="576" w:type="pct"/>
            <w:shd w:val="clear" w:color="auto" w:fill="auto"/>
          </w:tcPr>
          <w:p w14:paraId="2BF5F396"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6.3%</w:t>
            </w:r>
          </w:p>
        </w:tc>
        <w:tc>
          <w:tcPr>
            <w:tcW w:w="575" w:type="pct"/>
            <w:shd w:val="clear" w:color="auto" w:fill="auto"/>
          </w:tcPr>
          <w:p w14:paraId="158E9EC8"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21.1%</w:t>
            </w:r>
          </w:p>
        </w:tc>
      </w:tr>
      <w:tr w:rsidR="0024221E" w:rsidRPr="00503189" w14:paraId="6BE0630C" w14:textId="77777777" w:rsidTr="005C0400">
        <w:trPr>
          <w:cantSplit/>
        </w:trPr>
        <w:tc>
          <w:tcPr>
            <w:tcW w:w="1022" w:type="pct"/>
            <w:vMerge/>
            <w:shd w:val="clear" w:color="auto" w:fill="auto"/>
          </w:tcPr>
          <w:p w14:paraId="698C4A95"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971" w:type="pct"/>
            <w:vMerge w:val="restart"/>
            <w:shd w:val="clear" w:color="auto" w:fill="auto"/>
          </w:tcPr>
          <w:p w14:paraId="46161596"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Citizen power</w:t>
            </w:r>
          </w:p>
        </w:tc>
        <w:tc>
          <w:tcPr>
            <w:tcW w:w="627" w:type="pct"/>
            <w:shd w:val="clear" w:color="auto" w:fill="auto"/>
          </w:tcPr>
          <w:p w14:paraId="58470511"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Count</w:t>
            </w:r>
          </w:p>
        </w:tc>
        <w:tc>
          <w:tcPr>
            <w:tcW w:w="576" w:type="pct"/>
            <w:shd w:val="clear" w:color="auto" w:fill="auto"/>
          </w:tcPr>
          <w:p w14:paraId="379A3465"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35</w:t>
            </w:r>
          </w:p>
        </w:tc>
        <w:tc>
          <w:tcPr>
            <w:tcW w:w="653" w:type="pct"/>
            <w:shd w:val="clear" w:color="auto" w:fill="auto"/>
          </w:tcPr>
          <w:p w14:paraId="31D8CAA7"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0</w:t>
            </w:r>
          </w:p>
        </w:tc>
        <w:tc>
          <w:tcPr>
            <w:tcW w:w="576" w:type="pct"/>
            <w:shd w:val="clear" w:color="auto" w:fill="auto"/>
          </w:tcPr>
          <w:p w14:paraId="64E338D7"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25</w:t>
            </w:r>
          </w:p>
        </w:tc>
        <w:tc>
          <w:tcPr>
            <w:tcW w:w="575" w:type="pct"/>
            <w:shd w:val="clear" w:color="auto" w:fill="auto"/>
          </w:tcPr>
          <w:p w14:paraId="7C087794"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60</w:t>
            </w:r>
          </w:p>
        </w:tc>
      </w:tr>
      <w:tr w:rsidR="0024221E" w:rsidRPr="00503189" w14:paraId="1B5FDE86" w14:textId="77777777" w:rsidTr="005C0400">
        <w:trPr>
          <w:cantSplit/>
        </w:trPr>
        <w:tc>
          <w:tcPr>
            <w:tcW w:w="1022" w:type="pct"/>
            <w:vMerge/>
            <w:shd w:val="clear" w:color="auto" w:fill="auto"/>
          </w:tcPr>
          <w:p w14:paraId="1A44ADFC"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971" w:type="pct"/>
            <w:vMerge/>
            <w:shd w:val="clear" w:color="auto" w:fill="auto"/>
          </w:tcPr>
          <w:p w14:paraId="57D3624E"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627" w:type="pct"/>
            <w:shd w:val="clear" w:color="auto" w:fill="auto"/>
          </w:tcPr>
          <w:p w14:paraId="636F284B"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 of Total</w:t>
            </w:r>
          </w:p>
        </w:tc>
        <w:tc>
          <w:tcPr>
            <w:tcW w:w="576" w:type="pct"/>
            <w:shd w:val="clear" w:color="auto" w:fill="auto"/>
          </w:tcPr>
          <w:p w14:paraId="3A69BCE8"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8.1%</w:t>
            </w:r>
          </w:p>
        </w:tc>
        <w:tc>
          <w:tcPr>
            <w:tcW w:w="653" w:type="pct"/>
            <w:shd w:val="clear" w:color="auto" w:fill="auto"/>
          </w:tcPr>
          <w:p w14:paraId="0580ED32"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0.0%</w:t>
            </w:r>
          </w:p>
        </w:tc>
        <w:tc>
          <w:tcPr>
            <w:tcW w:w="576" w:type="pct"/>
            <w:shd w:val="clear" w:color="auto" w:fill="auto"/>
          </w:tcPr>
          <w:p w14:paraId="3E1853A2"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5.8%</w:t>
            </w:r>
          </w:p>
        </w:tc>
        <w:tc>
          <w:tcPr>
            <w:tcW w:w="575" w:type="pct"/>
            <w:shd w:val="clear" w:color="auto" w:fill="auto"/>
          </w:tcPr>
          <w:p w14:paraId="464D37BB"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13.9%</w:t>
            </w:r>
          </w:p>
        </w:tc>
      </w:tr>
      <w:tr w:rsidR="0024221E" w:rsidRPr="00503189" w14:paraId="716B2843" w14:textId="77777777" w:rsidTr="005C0400">
        <w:trPr>
          <w:cantSplit/>
        </w:trPr>
        <w:tc>
          <w:tcPr>
            <w:tcW w:w="1993" w:type="pct"/>
            <w:gridSpan w:val="2"/>
            <w:vMerge w:val="restart"/>
            <w:shd w:val="clear" w:color="auto" w:fill="auto"/>
          </w:tcPr>
          <w:p w14:paraId="47E86923"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Total</w:t>
            </w:r>
          </w:p>
        </w:tc>
        <w:tc>
          <w:tcPr>
            <w:tcW w:w="627" w:type="pct"/>
            <w:shd w:val="clear" w:color="auto" w:fill="auto"/>
          </w:tcPr>
          <w:p w14:paraId="3A162EDE"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Count</w:t>
            </w:r>
          </w:p>
        </w:tc>
        <w:tc>
          <w:tcPr>
            <w:tcW w:w="576" w:type="pct"/>
            <w:shd w:val="clear" w:color="auto" w:fill="auto"/>
          </w:tcPr>
          <w:p w14:paraId="0010DB9C"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293</w:t>
            </w:r>
          </w:p>
        </w:tc>
        <w:tc>
          <w:tcPr>
            <w:tcW w:w="653" w:type="pct"/>
            <w:shd w:val="clear" w:color="auto" w:fill="auto"/>
          </w:tcPr>
          <w:p w14:paraId="21C5A4CC"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9</w:t>
            </w:r>
          </w:p>
        </w:tc>
        <w:tc>
          <w:tcPr>
            <w:tcW w:w="576" w:type="pct"/>
            <w:shd w:val="clear" w:color="auto" w:fill="auto"/>
          </w:tcPr>
          <w:p w14:paraId="364FF7A2"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129</w:t>
            </w:r>
          </w:p>
        </w:tc>
        <w:tc>
          <w:tcPr>
            <w:tcW w:w="575" w:type="pct"/>
            <w:shd w:val="clear" w:color="auto" w:fill="auto"/>
          </w:tcPr>
          <w:p w14:paraId="34DBDAF1"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431</w:t>
            </w:r>
          </w:p>
        </w:tc>
      </w:tr>
      <w:tr w:rsidR="0024221E" w:rsidRPr="00503189" w14:paraId="51FB8FAB" w14:textId="77777777" w:rsidTr="005C0400">
        <w:trPr>
          <w:cantSplit/>
        </w:trPr>
        <w:tc>
          <w:tcPr>
            <w:tcW w:w="1993" w:type="pct"/>
            <w:gridSpan w:val="2"/>
            <w:vMerge/>
            <w:tcBorders>
              <w:bottom w:val="single" w:sz="4" w:space="0" w:color="auto"/>
            </w:tcBorders>
            <w:shd w:val="clear" w:color="auto" w:fill="auto"/>
          </w:tcPr>
          <w:p w14:paraId="36F494F1"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627" w:type="pct"/>
            <w:tcBorders>
              <w:bottom w:val="single" w:sz="4" w:space="0" w:color="auto"/>
            </w:tcBorders>
            <w:shd w:val="clear" w:color="auto" w:fill="auto"/>
          </w:tcPr>
          <w:p w14:paraId="6002AC1A"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 of Total</w:t>
            </w:r>
          </w:p>
        </w:tc>
        <w:tc>
          <w:tcPr>
            <w:tcW w:w="576" w:type="pct"/>
            <w:tcBorders>
              <w:bottom w:val="single" w:sz="4" w:space="0" w:color="auto"/>
            </w:tcBorders>
            <w:shd w:val="clear" w:color="auto" w:fill="auto"/>
          </w:tcPr>
          <w:p w14:paraId="61915761"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68.0%</w:t>
            </w:r>
          </w:p>
        </w:tc>
        <w:tc>
          <w:tcPr>
            <w:tcW w:w="653" w:type="pct"/>
            <w:tcBorders>
              <w:bottom w:val="single" w:sz="4" w:space="0" w:color="auto"/>
            </w:tcBorders>
            <w:shd w:val="clear" w:color="auto" w:fill="auto"/>
          </w:tcPr>
          <w:p w14:paraId="1FD220B2"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2.1%</w:t>
            </w:r>
          </w:p>
        </w:tc>
        <w:tc>
          <w:tcPr>
            <w:tcW w:w="576" w:type="pct"/>
            <w:tcBorders>
              <w:bottom w:val="single" w:sz="4" w:space="0" w:color="auto"/>
            </w:tcBorders>
            <w:shd w:val="clear" w:color="auto" w:fill="auto"/>
          </w:tcPr>
          <w:p w14:paraId="5B3D1B30"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29.9%</w:t>
            </w:r>
          </w:p>
        </w:tc>
        <w:tc>
          <w:tcPr>
            <w:tcW w:w="575" w:type="pct"/>
            <w:tcBorders>
              <w:bottom w:val="single" w:sz="4" w:space="0" w:color="auto"/>
            </w:tcBorders>
            <w:shd w:val="clear" w:color="auto" w:fill="auto"/>
          </w:tcPr>
          <w:p w14:paraId="5248E810" w14:textId="77777777" w:rsidR="0024221E" w:rsidRPr="00503189" w:rsidRDefault="0024221E" w:rsidP="00772DAC">
            <w:pPr>
              <w:autoSpaceDE w:val="0"/>
              <w:autoSpaceDN w:val="0"/>
              <w:adjustRightInd w:val="0"/>
              <w:spacing w:after="0" w:line="276" w:lineRule="auto"/>
              <w:ind w:left="0" w:right="60" w:firstLine="0"/>
              <w:jc w:val="right"/>
              <w:rPr>
                <w:rFonts w:cs="Times New Roman"/>
                <w:sz w:val="20"/>
                <w:szCs w:val="20"/>
              </w:rPr>
            </w:pPr>
            <w:r w:rsidRPr="00503189">
              <w:rPr>
                <w:rFonts w:cs="Times New Roman"/>
                <w:sz w:val="20"/>
                <w:szCs w:val="20"/>
              </w:rPr>
              <w:t>100.0%</w:t>
            </w:r>
          </w:p>
        </w:tc>
      </w:tr>
    </w:tbl>
    <w:p w14:paraId="3AC37581" w14:textId="1E868C17" w:rsidR="0024221E" w:rsidRPr="00F07AAE" w:rsidRDefault="0024221E" w:rsidP="00772DAC">
      <w:pPr>
        <w:autoSpaceDE w:val="0"/>
        <w:autoSpaceDN w:val="0"/>
        <w:adjustRightInd w:val="0"/>
        <w:spacing w:after="0" w:line="400" w:lineRule="atLeast"/>
        <w:ind w:left="0" w:firstLine="0"/>
        <w:rPr>
          <w:rFonts w:cs="Times New Roman"/>
          <w:szCs w:val="24"/>
        </w:rPr>
      </w:pPr>
      <w:r w:rsidRPr="00F07AAE">
        <w:rPr>
          <w:rFonts w:cs="Times New Roman"/>
          <w:szCs w:val="24"/>
        </w:rPr>
        <w:t>Source: Fiel</w:t>
      </w:r>
      <w:r w:rsidR="00F07AAE">
        <w:rPr>
          <w:rFonts w:cs="Times New Roman"/>
          <w:szCs w:val="24"/>
        </w:rPr>
        <w:t>dwork</w:t>
      </w:r>
      <w:r w:rsidRPr="00F07AAE">
        <w:rPr>
          <w:rFonts w:cs="Times New Roman"/>
          <w:szCs w:val="24"/>
        </w:rPr>
        <w:t xml:space="preserve"> (2024)</w:t>
      </w:r>
    </w:p>
    <w:p w14:paraId="777F9C4B" w14:textId="77777777" w:rsidR="00503189" w:rsidRPr="00503189" w:rsidRDefault="00503189" w:rsidP="00503189">
      <w:pPr>
        <w:pStyle w:val="BodyText"/>
        <w:rPr>
          <w:sz w:val="2"/>
        </w:rPr>
      </w:pPr>
    </w:p>
    <w:p w14:paraId="2AAB6F12" w14:textId="773F733D" w:rsidR="009B63B3" w:rsidRDefault="0024221E" w:rsidP="008F7D23">
      <w:pPr>
        <w:ind w:left="0" w:firstLine="0"/>
      </w:pPr>
      <w:r>
        <w:tab/>
      </w:r>
      <w:bookmarkStart w:id="443" w:name="_Hlk163473151"/>
      <w:r>
        <w:t xml:space="preserve">In the comparison of levels of education and the levels of citizen participation, it was revealed from Table </w:t>
      </w:r>
      <w:r w:rsidR="00391088">
        <w:t>1</w:t>
      </w:r>
      <w:r w:rsidR="005970AC">
        <w:t>1</w:t>
      </w:r>
      <w:r>
        <w:t xml:space="preserve"> </w:t>
      </w:r>
      <w:r w:rsidR="00BD0EC6">
        <w:t>that respondents</w:t>
      </w:r>
      <w:r>
        <w:t xml:space="preserve"> with basic education </w:t>
      </w:r>
      <w:r w:rsidR="00CA2BDE">
        <w:t>were</w:t>
      </w:r>
      <w:r>
        <w:t xml:space="preserve"> the </w:t>
      </w:r>
      <w:r w:rsidR="00CA2BDE">
        <w:t>most prominen</w:t>
      </w:r>
      <w:r>
        <w:t>t (46.6%) in the category of non-participation</w:t>
      </w:r>
      <w:r w:rsidR="00CA2BDE">
        <w:t>,</w:t>
      </w:r>
      <w:r>
        <w:t xml:space="preserve"> while those with secondary education had the least (0.5%) representation. In the context of citizen power, </w:t>
      </w:r>
      <w:r w:rsidR="005C0400">
        <w:t>re</w:t>
      </w:r>
      <w:r>
        <w:t xml:space="preserve">sidents with </w:t>
      </w:r>
      <w:r w:rsidR="005C0400">
        <w:t>secondary</w:t>
      </w:r>
      <w:r>
        <w:t xml:space="preserve"> education </w:t>
      </w:r>
      <w:r w:rsidR="00F07AAE">
        <w:t xml:space="preserve">seemed to </w:t>
      </w:r>
      <w:proofErr w:type="gramStart"/>
      <w:r>
        <w:t>participated</w:t>
      </w:r>
      <w:proofErr w:type="gramEnd"/>
      <w:r>
        <w:t xml:space="preserve"> more in this category</w:t>
      </w:r>
      <w:r w:rsidR="005C0400">
        <w:t>. Residents with secondary education constituted 4.2 per cent of the total sample with a majority (2.1%) participating in the category of citizen power</w:t>
      </w:r>
      <w:r>
        <w:t xml:space="preserve">. </w:t>
      </w:r>
      <w:r w:rsidR="005C0400">
        <w:t xml:space="preserve">This category of respondents maintained that they appreciated the need to ensure the sustainable management of the reserve so always strived to cooperate with the FSD aside while also taking personal initiatives to protect the forest. </w:t>
      </w:r>
    </w:p>
    <w:p w14:paraId="45CA583B" w14:textId="77777777" w:rsidR="008F7D23" w:rsidRDefault="008F7D23" w:rsidP="008F7D23">
      <w:pPr>
        <w:pStyle w:val="BodyText"/>
      </w:pPr>
    </w:p>
    <w:p w14:paraId="7E8091D8" w14:textId="77777777" w:rsidR="008F7D23" w:rsidRDefault="008F7D23" w:rsidP="008F7D23">
      <w:pPr>
        <w:pStyle w:val="BodyText"/>
      </w:pPr>
    </w:p>
    <w:p w14:paraId="6A792533" w14:textId="77777777" w:rsidR="008F7D23" w:rsidRDefault="008F7D23" w:rsidP="008F7D23">
      <w:pPr>
        <w:pStyle w:val="BodyText"/>
      </w:pPr>
    </w:p>
    <w:p w14:paraId="1DD4ACA0" w14:textId="77777777" w:rsidR="008F7D23" w:rsidRPr="008F7D23" w:rsidRDefault="008F7D23" w:rsidP="008F7D23">
      <w:pPr>
        <w:pStyle w:val="BodyText"/>
      </w:pPr>
    </w:p>
    <w:tbl>
      <w:tblPr>
        <w:tblW w:w="5000" w:type="pct"/>
        <w:tblCellMar>
          <w:left w:w="0" w:type="dxa"/>
          <w:right w:w="0" w:type="dxa"/>
        </w:tblCellMar>
        <w:tblLook w:val="0000" w:firstRow="0" w:lastRow="0" w:firstColumn="0" w:lastColumn="0" w:noHBand="0" w:noVBand="0"/>
      </w:tblPr>
      <w:tblGrid>
        <w:gridCol w:w="1172"/>
        <w:gridCol w:w="1530"/>
        <w:gridCol w:w="1247"/>
        <w:gridCol w:w="1183"/>
        <w:gridCol w:w="1183"/>
        <w:gridCol w:w="1271"/>
      </w:tblGrid>
      <w:tr w:rsidR="0024221E" w:rsidRPr="00503189" w14:paraId="581A058B" w14:textId="77777777" w:rsidTr="00503189">
        <w:trPr>
          <w:cantSplit/>
        </w:trPr>
        <w:tc>
          <w:tcPr>
            <w:tcW w:w="5000" w:type="pct"/>
            <w:gridSpan w:val="6"/>
            <w:tcBorders>
              <w:bottom w:val="single" w:sz="4" w:space="0" w:color="auto"/>
            </w:tcBorders>
            <w:shd w:val="clear" w:color="auto" w:fill="auto"/>
            <w:vAlign w:val="center"/>
          </w:tcPr>
          <w:p w14:paraId="77DC4398" w14:textId="0B592217" w:rsidR="0024221E" w:rsidRPr="00503189" w:rsidRDefault="0024221E" w:rsidP="001F0945">
            <w:pPr>
              <w:pStyle w:val="LT"/>
            </w:pPr>
            <w:bookmarkStart w:id="444" w:name="_Toc197335675"/>
            <w:bookmarkEnd w:id="443"/>
            <w:r w:rsidRPr="00503189">
              <w:lastRenderedPageBreak/>
              <w:t xml:space="preserve">Table </w:t>
            </w:r>
            <w:r w:rsidR="00391088">
              <w:t>1</w:t>
            </w:r>
            <w:r w:rsidR="005970AC">
              <w:t>2</w:t>
            </w:r>
            <w:r w:rsidRPr="00503189">
              <w:t xml:space="preserve">: </w:t>
            </w:r>
            <w:r w:rsidR="00566F1D" w:rsidRPr="00503189">
              <w:t>Levels of Community Participation and Belonging to a Group</w:t>
            </w:r>
            <w:bookmarkEnd w:id="444"/>
          </w:p>
        </w:tc>
      </w:tr>
      <w:tr w:rsidR="0024221E" w:rsidRPr="00503189" w14:paraId="1E1F5A4F" w14:textId="77777777" w:rsidTr="001F0945">
        <w:trPr>
          <w:cantSplit/>
        </w:trPr>
        <w:tc>
          <w:tcPr>
            <w:tcW w:w="2602" w:type="pct"/>
            <w:gridSpan w:val="3"/>
            <w:vMerge w:val="restart"/>
            <w:tcBorders>
              <w:top w:val="single" w:sz="4" w:space="0" w:color="auto"/>
            </w:tcBorders>
            <w:shd w:val="clear" w:color="auto" w:fill="auto"/>
            <w:vAlign w:val="bottom"/>
          </w:tcPr>
          <w:p w14:paraId="795391EA"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1559" w:type="pct"/>
            <w:gridSpan w:val="2"/>
            <w:tcBorders>
              <w:top w:val="single" w:sz="4" w:space="0" w:color="auto"/>
            </w:tcBorders>
            <w:shd w:val="clear" w:color="auto" w:fill="auto"/>
            <w:vAlign w:val="bottom"/>
          </w:tcPr>
          <w:p w14:paraId="1611B7D8" w14:textId="77777777" w:rsidR="0024221E" w:rsidRPr="00503189" w:rsidRDefault="0024221E" w:rsidP="00772DAC">
            <w:pPr>
              <w:autoSpaceDE w:val="0"/>
              <w:autoSpaceDN w:val="0"/>
              <w:adjustRightInd w:val="0"/>
              <w:spacing w:after="0" w:line="276" w:lineRule="auto"/>
              <w:ind w:left="0" w:right="60" w:firstLine="0"/>
              <w:jc w:val="center"/>
              <w:rPr>
                <w:rFonts w:cs="Times New Roman"/>
                <w:sz w:val="20"/>
                <w:szCs w:val="20"/>
              </w:rPr>
            </w:pPr>
            <w:r w:rsidRPr="00503189">
              <w:rPr>
                <w:rFonts w:cs="Times New Roman"/>
                <w:sz w:val="20"/>
                <w:szCs w:val="20"/>
              </w:rPr>
              <w:t>belong to a group</w:t>
            </w:r>
          </w:p>
        </w:tc>
        <w:tc>
          <w:tcPr>
            <w:tcW w:w="839" w:type="pct"/>
            <w:vMerge w:val="restart"/>
            <w:tcBorders>
              <w:top w:val="single" w:sz="4" w:space="0" w:color="auto"/>
            </w:tcBorders>
            <w:shd w:val="clear" w:color="auto" w:fill="auto"/>
            <w:vAlign w:val="bottom"/>
          </w:tcPr>
          <w:p w14:paraId="40C69A6F" w14:textId="77777777" w:rsidR="0024221E" w:rsidRPr="00503189" w:rsidRDefault="0024221E" w:rsidP="00772DAC">
            <w:pPr>
              <w:autoSpaceDE w:val="0"/>
              <w:autoSpaceDN w:val="0"/>
              <w:adjustRightInd w:val="0"/>
              <w:spacing w:after="0" w:line="276" w:lineRule="auto"/>
              <w:ind w:left="0" w:right="60" w:firstLine="0"/>
              <w:jc w:val="center"/>
              <w:rPr>
                <w:rFonts w:cs="Times New Roman"/>
                <w:sz w:val="20"/>
                <w:szCs w:val="20"/>
              </w:rPr>
            </w:pPr>
            <w:r w:rsidRPr="00503189">
              <w:rPr>
                <w:rFonts w:cs="Times New Roman"/>
                <w:sz w:val="20"/>
                <w:szCs w:val="20"/>
              </w:rPr>
              <w:t>Total</w:t>
            </w:r>
          </w:p>
        </w:tc>
      </w:tr>
      <w:tr w:rsidR="0024221E" w:rsidRPr="00503189" w14:paraId="6E0C87AE" w14:textId="77777777" w:rsidTr="001F0945">
        <w:trPr>
          <w:cantSplit/>
        </w:trPr>
        <w:tc>
          <w:tcPr>
            <w:tcW w:w="2602" w:type="pct"/>
            <w:gridSpan w:val="3"/>
            <w:vMerge/>
            <w:tcBorders>
              <w:bottom w:val="single" w:sz="4" w:space="0" w:color="auto"/>
            </w:tcBorders>
            <w:shd w:val="clear" w:color="auto" w:fill="auto"/>
            <w:vAlign w:val="bottom"/>
          </w:tcPr>
          <w:p w14:paraId="33D85534"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780" w:type="pct"/>
            <w:tcBorders>
              <w:bottom w:val="single" w:sz="4" w:space="0" w:color="auto"/>
            </w:tcBorders>
            <w:shd w:val="clear" w:color="auto" w:fill="auto"/>
            <w:vAlign w:val="bottom"/>
          </w:tcPr>
          <w:p w14:paraId="0D4970D4" w14:textId="77777777" w:rsidR="0024221E" w:rsidRPr="00503189" w:rsidRDefault="0024221E" w:rsidP="00772DAC">
            <w:pPr>
              <w:autoSpaceDE w:val="0"/>
              <w:autoSpaceDN w:val="0"/>
              <w:adjustRightInd w:val="0"/>
              <w:spacing w:after="0" w:line="276" w:lineRule="auto"/>
              <w:ind w:left="0" w:right="60" w:firstLine="0"/>
              <w:jc w:val="center"/>
              <w:rPr>
                <w:rFonts w:cs="Times New Roman"/>
                <w:sz w:val="20"/>
                <w:szCs w:val="20"/>
              </w:rPr>
            </w:pPr>
            <w:r w:rsidRPr="00503189">
              <w:rPr>
                <w:rFonts w:cs="Times New Roman"/>
                <w:sz w:val="20"/>
                <w:szCs w:val="20"/>
              </w:rPr>
              <w:t>No</w:t>
            </w:r>
          </w:p>
        </w:tc>
        <w:tc>
          <w:tcPr>
            <w:tcW w:w="780" w:type="pct"/>
            <w:tcBorders>
              <w:bottom w:val="single" w:sz="4" w:space="0" w:color="auto"/>
            </w:tcBorders>
            <w:shd w:val="clear" w:color="auto" w:fill="auto"/>
            <w:vAlign w:val="bottom"/>
          </w:tcPr>
          <w:p w14:paraId="557A2CB0" w14:textId="77777777" w:rsidR="0024221E" w:rsidRPr="00503189" w:rsidRDefault="0024221E" w:rsidP="00772DAC">
            <w:pPr>
              <w:autoSpaceDE w:val="0"/>
              <w:autoSpaceDN w:val="0"/>
              <w:adjustRightInd w:val="0"/>
              <w:spacing w:after="0" w:line="276" w:lineRule="auto"/>
              <w:ind w:left="0" w:right="60" w:firstLine="0"/>
              <w:jc w:val="center"/>
              <w:rPr>
                <w:rFonts w:cs="Times New Roman"/>
                <w:sz w:val="20"/>
                <w:szCs w:val="20"/>
              </w:rPr>
            </w:pPr>
            <w:r w:rsidRPr="00503189">
              <w:rPr>
                <w:rFonts w:cs="Times New Roman"/>
                <w:sz w:val="20"/>
                <w:szCs w:val="20"/>
              </w:rPr>
              <w:t>yes</w:t>
            </w:r>
          </w:p>
        </w:tc>
        <w:tc>
          <w:tcPr>
            <w:tcW w:w="839" w:type="pct"/>
            <w:vMerge/>
            <w:tcBorders>
              <w:bottom w:val="single" w:sz="4" w:space="0" w:color="auto"/>
            </w:tcBorders>
            <w:shd w:val="clear" w:color="auto" w:fill="auto"/>
            <w:vAlign w:val="bottom"/>
          </w:tcPr>
          <w:p w14:paraId="4B113434"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r>
      <w:tr w:rsidR="0024221E" w:rsidRPr="00503189" w14:paraId="7B6E7C30" w14:textId="77777777" w:rsidTr="001F0945">
        <w:trPr>
          <w:cantSplit/>
        </w:trPr>
        <w:tc>
          <w:tcPr>
            <w:tcW w:w="772" w:type="pct"/>
            <w:vMerge w:val="restart"/>
            <w:tcBorders>
              <w:top w:val="single" w:sz="4" w:space="0" w:color="auto"/>
            </w:tcBorders>
            <w:shd w:val="clear" w:color="auto" w:fill="auto"/>
          </w:tcPr>
          <w:p w14:paraId="71BE016A" w14:textId="77777777" w:rsidR="0024221E" w:rsidRPr="00503189" w:rsidRDefault="0024221E" w:rsidP="00772DAC">
            <w:pPr>
              <w:autoSpaceDE w:val="0"/>
              <w:autoSpaceDN w:val="0"/>
              <w:adjustRightInd w:val="0"/>
              <w:spacing w:after="0" w:line="276" w:lineRule="auto"/>
              <w:ind w:left="0" w:right="60" w:firstLine="0"/>
              <w:rPr>
                <w:rFonts w:cs="Times New Roman"/>
                <w:sz w:val="20"/>
                <w:szCs w:val="20"/>
              </w:rPr>
            </w:pPr>
            <w:r w:rsidRPr="00503189">
              <w:rPr>
                <w:rFonts w:cs="Times New Roman"/>
                <w:sz w:val="20"/>
                <w:szCs w:val="20"/>
              </w:rPr>
              <w:t>Participation Index</w:t>
            </w:r>
          </w:p>
        </w:tc>
        <w:tc>
          <w:tcPr>
            <w:tcW w:w="1008" w:type="pct"/>
            <w:vMerge w:val="restart"/>
            <w:tcBorders>
              <w:top w:val="single" w:sz="4" w:space="0" w:color="auto"/>
            </w:tcBorders>
            <w:shd w:val="clear" w:color="auto" w:fill="auto"/>
          </w:tcPr>
          <w:p w14:paraId="21492C3B"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Non-participation</w:t>
            </w:r>
          </w:p>
        </w:tc>
        <w:tc>
          <w:tcPr>
            <w:tcW w:w="822" w:type="pct"/>
            <w:tcBorders>
              <w:top w:val="single" w:sz="4" w:space="0" w:color="auto"/>
            </w:tcBorders>
            <w:shd w:val="clear" w:color="auto" w:fill="auto"/>
          </w:tcPr>
          <w:p w14:paraId="0F329C7E"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Count</w:t>
            </w:r>
          </w:p>
        </w:tc>
        <w:tc>
          <w:tcPr>
            <w:tcW w:w="780" w:type="pct"/>
            <w:tcBorders>
              <w:top w:val="single" w:sz="4" w:space="0" w:color="auto"/>
            </w:tcBorders>
            <w:shd w:val="clear" w:color="auto" w:fill="auto"/>
          </w:tcPr>
          <w:p w14:paraId="23AA4513"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183</w:t>
            </w:r>
          </w:p>
        </w:tc>
        <w:tc>
          <w:tcPr>
            <w:tcW w:w="780" w:type="pct"/>
            <w:tcBorders>
              <w:top w:val="single" w:sz="4" w:space="0" w:color="auto"/>
            </w:tcBorders>
            <w:shd w:val="clear" w:color="auto" w:fill="auto"/>
          </w:tcPr>
          <w:p w14:paraId="56289F53"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97</w:t>
            </w:r>
          </w:p>
        </w:tc>
        <w:tc>
          <w:tcPr>
            <w:tcW w:w="839" w:type="pct"/>
            <w:tcBorders>
              <w:top w:val="single" w:sz="4" w:space="0" w:color="auto"/>
            </w:tcBorders>
            <w:shd w:val="clear" w:color="auto" w:fill="auto"/>
          </w:tcPr>
          <w:p w14:paraId="6F75208C"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280</w:t>
            </w:r>
          </w:p>
        </w:tc>
      </w:tr>
      <w:tr w:rsidR="0024221E" w:rsidRPr="00503189" w14:paraId="30B62CDE" w14:textId="77777777" w:rsidTr="001F0945">
        <w:trPr>
          <w:cantSplit/>
        </w:trPr>
        <w:tc>
          <w:tcPr>
            <w:tcW w:w="772" w:type="pct"/>
            <w:vMerge/>
            <w:shd w:val="clear" w:color="auto" w:fill="auto"/>
          </w:tcPr>
          <w:p w14:paraId="589F3BD7"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1008" w:type="pct"/>
            <w:vMerge/>
            <w:shd w:val="clear" w:color="auto" w:fill="auto"/>
          </w:tcPr>
          <w:p w14:paraId="6FC7916D" w14:textId="77777777" w:rsidR="0024221E" w:rsidRPr="00503189" w:rsidRDefault="0024221E" w:rsidP="00503189">
            <w:pPr>
              <w:autoSpaceDE w:val="0"/>
              <w:autoSpaceDN w:val="0"/>
              <w:adjustRightInd w:val="0"/>
              <w:spacing w:after="0" w:line="276" w:lineRule="auto"/>
              <w:ind w:left="0" w:firstLine="0"/>
              <w:jc w:val="left"/>
              <w:rPr>
                <w:rFonts w:cs="Times New Roman"/>
                <w:sz w:val="20"/>
                <w:szCs w:val="20"/>
              </w:rPr>
            </w:pPr>
          </w:p>
        </w:tc>
        <w:tc>
          <w:tcPr>
            <w:tcW w:w="822" w:type="pct"/>
            <w:shd w:val="clear" w:color="auto" w:fill="auto"/>
          </w:tcPr>
          <w:p w14:paraId="5622F922"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 of Total</w:t>
            </w:r>
          </w:p>
        </w:tc>
        <w:tc>
          <w:tcPr>
            <w:tcW w:w="780" w:type="pct"/>
            <w:shd w:val="clear" w:color="auto" w:fill="auto"/>
          </w:tcPr>
          <w:p w14:paraId="16BC74FB"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42.5%</w:t>
            </w:r>
          </w:p>
        </w:tc>
        <w:tc>
          <w:tcPr>
            <w:tcW w:w="780" w:type="pct"/>
            <w:shd w:val="clear" w:color="auto" w:fill="auto"/>
          </w:tcPr>
          <w:p w14:paraId="56E07CAD"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22.5%</w:t>
            </w:r>
          </w:p>
        </w:tc>
        <w:tc>
          <w:tcPr>
            <w:tcW w:w="839" w:type="pct"/>
            <w:shd w:val="clear" w:color="auto" w:fill="auto"/>
          </w:tcPr>
          <w:p w14:paraId="7D1BDB3A"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65.0%</w:t>
            </w:r>
          </w:p>
        </w:tc>
      </w:tr>
      <w:tr w:rsidR="0024221E" w:rsidRPr="00503189" w14:paraId="7EDD1A10" w14:textId="77777777" w:rsidTr="001F0945">
        <w:trPr>
          <w:cantSplit/>
        </w:trPr>
        <w:tc>
          <w:tcPr>
            <w:tcW w:w="772" w:type="pct"/>
            <w:vMerge/>
            <w:shd w:val="clear" w:color="auto" w:fill="auto"/>
          </w:tcPr>
          <w:p w14:paraId="57E41099"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1008" w:type="pct"/>
            <w:vMerge w:val="restart"/>
            <w:shd w:val="clear" w:color="auto" w:fill="auto"/>
          </w:tcPr>
          <w:p w14:paraId="635D9027"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Tokenism</w:t>
            </w:r>
          </w:p>
        </w:tc>
        <w:tc>
          <w:tcPr>
            <w:tcW w:w="822" w:type="pct"/>
            <w:shd w:val="clear" w:color="auto" w:fill="auto"/>
          </w:tcPr>
          <w:p w14:paraId="17700874"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Count</w:t>
            </w:r>
          </w:p>
        </w:tc>
        <w:tc>
          <w:tcPr>
            <w:tcW w:w="780" w:type="pct"/>
            <w:shd w:val="clear" w:color="auto" w:fill="auto"/>
          </w:tcPr>
          <w:p w14:paraId="40010D47"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2</w:t>
            </w:r>
          </w:p>
        </w:tc>
        <w:tc>
          <w:tcPr>
            <w:tcW w:w="780" w:type="pct"/>
            <w:shd w:val="clear" w:color="auto" w:fill="auto"/>
          </w:tcPr>
          <w:p w14:paraId="03672D0C"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89</w:t>
            </w:r>
          </w:p>
        </w:tc>
        <w:tc>
          <w:tcPr>
            <w:tcW w:w="839" w:type="pct"/>
            <w:shd w:val="clear" w:color="auto" w:fill="auto"/>
          </w:tcPr>
          <w:p w14:paraId="2837C714"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91</w:t>
            </w:r>
          </w:p>
        </w:tc>
      </w:tr>
      <w:tr w:rsidR="0024221E" w:rsidRPr="00503189" w14:paraId="0E547361" w14:textId="77777777" w:rsidTr="001F0945">
        <w:trPr>
          <w:cantSplit/>
        </w:trPr>
        <w:tc>
          <w:tcPr>
            <w:tcW w:w="772" w:type="pct"/>
            <w:vMerge/>
            <w:shd w:val="clear" w:color="auto" w:fill="auto"/>
          </w:tcPr>
          <w:p w14:paraId="033DC2D0"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1008" w:type="pct"/>
            <w:vMerge/>
            <w:shd w:val="clear" w:color="auto" w:fill="auto"/>
          </w:tcPr>
          <w:p w14:paraId="736767B9" w14:textId="77777777" w:rsidR="0024221E" w:rsidRPr="00503189" w:rsidRDefault="0024221E" w:rsidP="00503189">
            <w:pPr>
              <w:autoSpaceDE w:val="0"/>
              <w:autoSpaceDN w:val="0"/>
              <w:adjustRightInd w:val="0"/>
              <w:spacing w:after="0" w:line="276" w:lineRule="auto"/>
              <w:ind w:left="0" w:firstLine="0"/>
              <w:jc w:val="left"/>
              <w:rPr>
                <w:rFonts w:cs="Times New Roman"/>
                <w:sz w:val="20"/>
                <w:szCs w:val="20"/>
              </w:rPr>
            </w:pPr>
          </w:p>
        </w:tc>
        <w:tc>
          <w:tcPr>
            <w:tcW w:w="822" w:type="pct"/>
            <w:shd w:val="clear" w:color="auto" w:fill="auto"/>
          </w:tcPr>
          <w:p w14:paraId="61030CF5"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 of Total</w:t>
            </w:r>
          </w:p>
        </w:tc>
        <w:tc>
          <w:tcPr>
            <w:tcW w:w="780" w:type="pct"/>
            <w:shd w:val="clear" w:color="auto" w:fill="auto"/>
          </w:tcPr>
          <w:p w14:paraId="4D15015F"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0.5%</w:t>
            </w:r>
          </w:p>
        </w:tc>
        <w:tc>
          <w:tcPr>
            <w:tcW w:w="780" w:type="pct"/>
            <w:shd w:val="clear" w:color="auto" w:fill="auto"/>
          </w:tcPr>
          <w:p w14:paraId="39E288B5"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20.6%</w:t>
            </w:r>
          </w:p>
        </w:tc>
        <w:tc>
          <w:tcPr>
            <w:tcW w:w="839" w:type="pct"/>
            <w:shd w:val="clear" w:color="auto" w:fill="auto"/>
          </w:tcPr>
          <w:p w14:paraId="42A35082"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21.1%</w:t>
            </w:r>
          </w:p>
        </w:tc>
      </w:tr>
      <w:tr w:rsidR="0024221E" w:rsidRPr="00503189" w14:paraId="54419AFC" w14:textId="77777777" w:rsidTr="001F0945">
        <w:trPr>
          <w:cantSplit/>
        </w:trPr>
        <w:tc>
          <w:tcPr>
            <w:tcW w:w="772" w:type="pct"/>
            <w:vMerge/>
            <w:shd w:val="clear" w:color="auto" w:fill="auto"/>
          </w:tcPr>
          <w:p w14:paraId="58DB1625"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1008" w:type="pct"/>
            <w:vMerge w:val="restart"/>
            <w:shd w:val="clear" w:color="auto" w:fill="auto"/>
          </w:tcPr>
          <w:p w14:paraId="67ED7556"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Citizen power</w:t>
            </w:r>
          </w:p>
        </w:tc>
        <w:tc>
          <w:tcPr>
            <w:tcW w:w="822" w:type="pct"/>
            <w:shd w:val="clear" w:color="auto" w:fill="auto"/>
          </w:tcPr>
          <w:p w14:paraId="1BBB53AA"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Count</w:t>
            </w:r>
          </w:p>
        </w:tc>
        <w:tc>
          <w:tcPr>
            <w:tcW w:w="780" w:type="pct"/>
            <w:shd w:val="clear" w:color="auto" w:fill="auto"/>
          </w:tcPr>
          <w:p w14:paraId="7C85580D"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0</w:t>
            </w:r>
          </w:p>
        </w:tc>
        <w:tc>
          <w:tcPr>
            <w:tcW w:w="780" w:type="pct"/>
            <w:shd w:val="clear" w:color="auto" w:fill="auto"/>
          </w:tcPr>
          <w:p w14:paraId="228FECE0"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60</w:t>
            </w:r>
          </w:p>
        </w:tc>
        <w:tc>
          <w:tcPr>
            <w:tcW w:w="839" w:type="pct"/>
            <w:shd w:val="clear" w:color="auto" w:fill="auto"/>
          </w:tcPr>
          <w:p w14:paraId="067F147C"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60</w:t>
            </w:r>
          </w:p>
        </w:tc>
      </w:tr>
      <w:tr w:rsidR="0024221E" w:rsidRPr="00503189" w14:paraId="5E0D6B92" w14:textId="77777777" w:rsidTr="001F0945">
        <w:trPr>
          <w:cantSplit/>
        </w:trPr>
        <w:tc>
          <w:tcPr>
            <w:tcW w:w="772" w:type="pct"/>
            <w:vMerge/>
            <w:shd w:val="clear" w:color="auto" w:fill="auto"/>
          </w:tcPr>
          <w:p w14:paraId="73E38964" w14:textId="77777777" w:rsidR="0024221E" w:rsidRPr="00503189" w:rsidRDefault="0024221E" w:rsidP="00772DAC">
            <w:pPr>
              <w:autoSpaceDE w:val="0"/>
              <w:autoSpaceDN w:val="0"/>
              <w:adjustRightInd w:val="0"/>
              <w:spacing w:after="0" w:line="276" w:lineRule="auto"/>
              <w:ind w:left="0" w:firstLine="0"/>
              <w:rPr>
                <w:rFonts w:cs="Times New Roman"/>
                <w:sz w:val="20"/>
                <w:szCs w:val="20"/>
              </w:rPr>
            </w:pPr>
          </w:p>
        </w:tc>
        <w:tc>
          <w:tcPr>
            <w:tcW w:w="1008" w:type="pct"/>
            <w:vMerge/>
            <w:shd w:val="clear" w:color="auto" w:fill="auto"/>
          </w:tcPr>
          <w:p w14:paraId="7B1AA4FB" w14:textId="77777777" w:rsidR="0024221E" w:rsidRPr="00503189" w:rsidRDefault="0024221E" w:rsidP="00503189">
            <w:pPr>
              <w:autoSpaceDE w:val="0"/>
              <w:autoSpaceDN w:val="0"/>
              <w:adjustRightInd w:val="0"/>
              <w:spacing w:after="0" w:line="276" w:lineRule="auto"/>
              <w:ind w:left="0" w:firstLine="0"/>
              <w:jc w:val="left"/>
              <w:rPr>
                <w:rFonts w:cs="Times New Roman"/>
                <w:sz w:val="20"/>
                <w:szCs w:val="20"/>
              </w:rPr>
            </w:pPr>
          </w:p>
        </w:tc>
        <w:tc>
          <w:tcPr>
            <w:tcW w:w="822" w:type="pct"/>
            <w:shd w:val="clear" w:color="auto" w:fill="auto"/>
          </w:tcPr>
          <w:p w14:paraId="48382180"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 of Total</w:t>
            </w:r>
          </w:p>
        </w:tc>
        <w:tc>
          <w:tcPr>
            <w:tcW w:w="780" w:type="pct"/>
            <w:shd w:val="clear" w:color="auto" w:fill="auto"/>
          </w:tcPr>
          <w:p w14:paraId="2C6A1021"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0.0%</w:t>
            </w:r>
          </w:p>
        </w:tc>
        <w:tc>
          <w:tcPr>
            <w:tcW w:w="780" w:type="pct"/>
            <w:shd w:val="clear" w:color="auto" w:fill="auto"/>
          </w:tcPr>
          <w:p w14:paraId="7BF999A7"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13.9%</w:t>
            </w:r>
          </w:p>
        </w:tc>
        <w:tc>
          <w:tcPr>
            <w:tcW w:w="839" w:type="pct"/>
            <w:shd w:val="clear" w:color="auto" w:fill="auto"/>
          </w:tcPr>
          <w:p w14:paraId="31888970"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13.9%</w:t>
            </w:r>
          </w:p>
        </w:tc>
      </w:tr>
      <w:tr w:rsidR="0024221E" w:rsidRPr="00503189" w14:paraId="12C63CA5" w14:textId="77777777" w:rsidTr="001F0945">
        <w:trPr>
          <w:cantSplit/>
        </w:trPr>
        <w:tc>
          <w:tcPr>
            <w:tcW w:w="1780" w:type="pct"/>
            <w:gridSpan w:val="2"/>
            <w:vMerge w:val="restart"/>
            <w:shd w:val="clear" w:color="auto" w:fill="auto"/>
          </w:tcPr>
          <w:p w14:paraId="43E4B0BB"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Total</w:t>
            </w:r>
          </w:p>
        </w:tc>
        <w:tc>
          <w:tcPr>
            <w:tcW w:w="822" w:type="pct"/>
            <w:shd w:val="clear" w:color="auto" w:fill="auto"/>
          </w:tcPr>
          <w:p w14:paraId="375CD6F7"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Count</w:t>
            </w:r>
          </w:p>
        </w:tc>
        <w:tc>
          <w:tcPr>
            <w:tcW w:w="780" w:type="pct"/>
            <w:shd w:val="clear" w:color="auto" w:fill="auto"/>
          </w:tcPr>
          <w:p w14:paraId="7FAFA42F"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185</w:t>
            </w:r>
          </w:p>
        </w:tc>
        <w:tc>
          <w:tcPr>
            <w:tcW w:w="780" w:type="pct"/>
            <w:shd w:val="clear" w:color="auto" w:fill="auto"/>
          </w:tcPr>
          <w:p w14:paraId="103A92D7"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246</w:t>
            </w:r>
          </w:p>
        </w:tc>
        <w:tc>
          <w:tcPr>
            <w:tcW w:w="839" w:type="pct"/>
            <w:shd w:val="clear" w:color="auto" w:fill="auto"/>
          </w:tcPr>
          <w:p w14:paraId="32200E02"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431</w:t>
            </w:r>
          </w:p>
        </w:tc>
      </w:tr>
      <w:tr w:rsidR="0024221E" w:rsidRPr="00503189" w14:paraId="10CE8290" w14:textId="77777777" w:rsidTr="001F0945">
        <w:trPr>
          <w:cantSplit/>
        </w:trPr>
        <w:tc>
          <w:tcPr>
            <w:tcW w:w="1780" w:type="pct"/>
            <w:gridSpan w:val="2"/>
            <w:vMerge/>
            <w:tcBorders>
              <w:bottom w:val="single" w:sz="4" w:space="0" w:color="auto"/>
            </w:tcBorders>
            <w:shd w:val="clear" w:color="auto" w:fill="auto"/>
          </w:tcPr>
          <w:p w14:paraId="5A113838" w14:textId="77777777" w:rsidR="0024221E" w:rsidRPr="00503189" w:rsidRDefault="0024221E" w:rsidP="00503189">
            <w:pPr>
              <w:autoSpaceDE w:val="0"/>
              <w:autoSpaceDN w:val="0"/>
              <w:adjustRightInd w:val="0"/>
              <w:spacing w:after="0" w:line="276" w:lineRule="auto"/>
              <w:ind w:left="0" w:firstLine="0"/>
              <w:jc w:val="left"/>
              <w:rPr>
                <w:rFonts w:cs="Times New Roman"/>
                <w:sz w:val="20"/>
                <w:szCs w:val="20"/>
              </w:rPr>
            </w:pPr>
          </w:p>
        </w:tc>
        <w:tc>
          <w:tcPr>
            <w:tcW w:w="822" w:type="pct"/>
            <w:tcBorders>
              <w:bottom w:val="single" w:sz="4" w:space="0" w:color="auto"/>
            </w:tcBorders>
            <w:shd w:val="clear" w:color="auto" w:fill="auto"/>
          </w:tcPr>
          <w:p w14:paraId="61A6919C"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 of Total</w:t>
            </w:r>
          </w:p>
        </w:tc>
        <w:tc>
          <w:tcPr>
            <w:tcW w:w="780" w:type="pct"/>
            <w:tcBorders>
              <w:bottom w:val="single" w:sz="4" w:space="0" w:color="auto"/>
            </w:tcBorders>
            <w:shd w:val="clear" w:color="auto" w:fill="auto"/>
          </w:tcPr>
          <w:p w14:paraId="4E2D02A2"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42.9%</w:t>
            </w:r>
          </w:p>
        </w:tc>
        <w:tc>
          <w:tcPr>
            <w:tcW w:w="780" w:type="pct"/>
            <w:tcBorders>
              <w:bottom w:val="single" w:sz="4" w:space="0" w:color="auto"/>
            </w:tcBorders>
            <w:shd w:val="clear" w:color="auto" w:fill="auto"/>
          </w:tcPr>
          <w:p w14:paraId="2FCAEF72"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57.1%</w:t>
            </w:r>
          </w:p>
        </w:tc>
        <w:tc>
          <w:tcPr>
            <w:tcW w:w="839" w:type="pct"/>
            <w:tcBorders>
              <w:bottom w:val="single" w:sz="4" w:space="0" w:color="auto"/>
            </w:tcBorders>
            <w:shd w:val="clear" w:color="auto" w:fill="auto"/>
          </w:tcPr>
          <w:p w14:paraId="1750C627" w14:textId="77777777" w:rsidR="0024221E" w:rsidRPr="00503189" w:rsidRDefault="0024221E" w:rsidP="00503189">
            <w:pPr>
              <w:autoSpaceDE w:val="0"/>
              <w:autoSpaceDN w:val="0"/>
              <w:adjustRightInd w:val="0"/>
              <w:spacing w:after="0" w:line="276" w:lineRule="auto"/>
              <w:ind w:left="0" w:right="60" w:firstLine="0"/>
              <w:jc w:val="left"/>
              <w:rPr>
                <w:rFonts w:cs="Times New Roman"/>
                <w:sz w:val="20"/>
                <w:szCs w:val="20"/>
              </w:rPr>
            </w:pPr>
            <w:r w:rsidRPr="00503189">
              <w:rPr>
                <w:rFonts w:cs="Times New Roman"/>
                <w:sz w:val="20"/>
                <w:szCs w:val="20"/>
              </w:rPr>
              <w:t>100.0%</w:t>
            </w:r>
          </w:p>
        </w:tc>
      </w:tr>
    </w:tbl>
    <w:p w14:paraId="5D739139" w14:textId="56341BAB" w:rsidR="0024221E" w:rsidRPr="002732D3" w:rsidRDefault="0024221E" w:rsidP="00772DAC">
      <w:pPr>
        <w:ind w:left="0" w:firstLine="0"/>
      </w:pPr>
      <w:r>
        <w:t>Source: Field</w:t>
      </w:r>
      <w:r w:rsidR="00F07AAE">
        <w:t>work</w:t>
      </w:r>
      <w:r>
        <w:t xml:space="preserve"> (2024).</w:t>
      </w:r>
    </w:p>
    <w:p w14:paraId="3597196A" w14:textId="6C52CC64" w:rsidR="009E17DF" w:rsidRPr="00324748" w:rsidRDefault="00503189" w:rsidP="009E17DF">
      <w:pPr>
        <w:spacing w:after="0"/>
        <w:ind w:left="0" w:firstLine="0"/>
        <w:rPr>
          <w:rFonts w:cs="Times New Roman"/>
          <w:szCs w:val="24"/>
        </w:rPr>
      </w:pPr>
      <w:r>
        <w:rPr>
          <w:rFonts w:cs="Times New Roman"/>
          <w:szCs w:val="24"/>
        </w:rPr>
        <w:tab/>
      </w:r>
      <w:r w:rsidR="009E17DF" w:rsidRPr="00324748">
        <w:rPr>
          <w:rFonts w:cs="Times New Roman"/>
          <w:szCs w:val="24"/>
        </w:rPr>
        <w:t>The final cross-tabulation compared the levels of community participation and resident</w:t>
      </w:r>
      <w:r w:rsidR="00F07AAE">
        <w:rPr>
          <w:rFonts w:cs="Times New Roman"/>
          <w:szCs w:val="24"/>
        </w:rPr>
        <w:t>s</w:t>
      </w:r>
      <w:r w:rsidR="009E17DF" w:rsidRPr="00324748">
        <w:rPr>
          <w:rFonts w:cs="Times New Roman"/>
          <w:szCs w:val="24"/>
        </w:rPr>
        <w:t xml:space="preserve"> belonging to a group. </w:t>
      </w:r>
      <w:r w:rsidR="009E17DF">
        <w:rPr>
          <w:rFonts w:cs="Times New Roman"/>
          <w:szCs w:val="24"/>
        </w:rPr>
        <w:t xml:space="preserve">Table </w:t>
      </w:r>
      <w:r w:rsidR="00391088">
        <w:rPr>
          <w:rFonts w:cs="Times New Roman"/>
          <w:szCs w:val="24"/>
        </w:rPr>
        <w:t>1</w:t>
      </w:r>
      <w:r w:rsidR="005970AC">
        <w:rPr>
          <w:rFonts w:cs="Times New Roman"/>
          <w:szCs w:val="24"/>
        </w:rPr>
        <w:t>2</w:t>
      </w:r>
      <w:r w:rsidR="009E17DF">
        <w:rPr>
          <w:rFonts w:cs="Times New Roman"/>
          <w:szCs w:val="24"/>
        </w:rPr>
        <w:t xml:space="preserve"> revealed that the majority (42.5%) of the residents who did not belong to a group were in the non-participation category, and</w:t>
      </w:r>
      <w:r w:rsidR="009E17DF" w:rsidRPr="00324748">
        <w:rPr>
          <w:rFonts w:cs="Times New Roman"/>
          <w:szCs w:val="24"/>
        </w:rPr>
        <w:t xml:space="preserve"> those in the citizen power category were mostly residents who belonged to groups.</w:t>
      </w:r>
      <w:r w:rsidR="009E17DF">
        <w:rPr>
          <w:rFonts w:cs="Times New Roman"/>
          <w:szCs w:val="24"/>
        </w:rPr>
        <w:t xml:space="preserve"> This was </w:t>
      </w:r>
      <w:r w:rsidR="00F07AAE">
        <w:rPr>
          <w:rFonts w:cs="Times New Roman"/>
          <w:szCs w:val="24"/>
        </w:rPr>
        <w:t xml:space="preserve">likely </w:t>
      </w:r>
      <w:r w:rsidR="009E17DF">
        <w:rPr>
          <w:rFonts w:cs="Times New Roman"/>
          <w:szCs w:val="24"/>
        </w:rPr>
        <w:t>the case because residents who belonged to groups could be easily resourced or trained by the FSD to undertake activities related to the reserves. The study proceeded to test the significance of the discussed variables to their contribution to the levels of community participation using a multinomial logistic regression.</w:t>
      </w:r>
    </w:p>
    <w:p w14:paraId="00B6CBF5" w14:textId="4792BCA7" w:rsidR="0024221E" w:rsidRDefault="009E17DF" w:rsidP="009E17DF">
      <w:pPr>
        <w:ind w:left="0" w:firstLine="0"/>
        <w:rPr>
          <w:rFonts w:cs="Times New Roman"/>
          <w:szCs w:val="24"/>
        </w:rPr>
      </w:pPr>
      <w:r>
        <w:rPr>
          <w:rFonts w:cs="Times New Roman"/>
          <w:szCs w:val="24"/>
        </w:rPr>
        <w:tab/>
      </w:r>
      <w:r w:rsidRPr="00A60B75">
        <w:rPr>
          <w:rFonts w:cs="Times New Roman"/>
          <w:szCs w:val="24"/>
        </w:rPr>
        <w:t xml:space="preserve">In </w:t>
      </w:r>
      <w:r>
        <w:rPr>
          <w:rFonts w:cs="Times New Roman"/>
          <w:szCs w:val="24"/>
        </w:rPr>
        <w:t>applying m</w:t>
      </w:r>
      <w:r w:rsidRPr="00A60B75">
        <w:rPr>
          <w:rFonts w:cs="Times New Roman"/>
          <w:szCs w:val="24"/>
        </w:rPr>
        <w:t xml:space="preserve">ultinomial logistic regression, Pallant (2016) </w:t>
      </w:r>
      <w:r>
        <w:rPr>
          <w:rFonts w:cs="Times New Roman"/>
          <w:szCs w:val="24"/>
        </w:rPr>
        <w:t xml:space="preserve">emphasised assumptions such as sample size, </w:t>
      </w:r>
      <w:r w:rsidRPr="00A60B75">
        <w:rPr>
          <w:rFonts w:cs="Times New Roman"/>
          <w:szCs w:val="24"/>
        </w:rPr>
        <w:t>outliers</w:t>
      </w:r>
      <w:r>
        <w:rPr>
          <w:rFonts w:cs="Times New Roman"/>
          <w:szCs w:val="24"/>
        </w:rPr>
        <w:t>, and the minimal level of multicollinearity that</w:t>
      </w:r>
      <w:r w:rsidRPr="00A60B75">
        <w:rPr>
          <w:rFonts w:cs="Times New Roman"/>
          <w:szCs w:val="24"/>
        </w:rPr>
        <w:t xml:space="preserve"> </w:t>
      </w:r>
      <w:r>
        <w:rPr>
          <w:rFonts w:cs="Times New Roman"/>
          <w:szCs w:val="24"/>
        </w:rPr>
        <w:t>must be</w:t>
      </w:r>
      <w:r w:rsidRPr="00A60B75">
        <w:rPr>
          <w:rFonts w:cs="Times New Roman"/>
          <w:szCs w:val="24"/>
        </w:rPr>
        <w:t xml:space="preserve"> satisfied. </w:t>
      </w:r>
      <w:r>
        <w:rPr>
          <w:rFonts w:cs="Times New Roman"/>
          <w:szCs w:val="24"/>
        </w:rPr>
        <w:t xml:space="preserve">Regarding sample size, the study’s sample size of 431 exceeded the threshold argued by </w:t>
      </w:r>
      <w:r w:rsidRPr="00A60B75">
        <w:rPr>
          <w:rFonts w:cs="Times New Roman"/>
          <w:szCs w:val="24"/>
        </w:rPr>
        <w:t>Stevens (1996)</w:t>
      </w:r>
      <w:r>
        <w:rPr>
          <w:rFonts w:cs="Times New Roman"/>
          <w:szCs w:val="24"/>
        </w:rPr>
        <w:t>,</w:t>
      </w:r>
      <w:r w:rsidRPr="00A60B75">
        <w:rPr>
          <w:rFonts w:cs="Times New Roman"/>
          <w:szCs w:val="24"/>
        </w:rPr>
        <w:t xml:space="preserve"> </w:t>
      </w:r>
      <w:r>
        <w:rPr>
          <w:rFonts w:cs="Times New Roman"/>
          <w:szCs w:val="24"/>
        </w:rPr>
        <w:t xml:space="preserve">who </w:t>
      </w:r>
      <w:r w:rsidRPr="00A60B75">
        <w:rPr>
          <w:rFonts w:cs="Times New Roman"/>
          <w:szCs w:val="24"/>
        </w:rPr>
        <w:t xml:space="preserve">recommends </w:t>
      </w:r>
      <w:r>
        <w:rPr>
          <w:rFonts w:cs="Times New Roman"/>
          <w:szCs w:val="24"/>
        </w:rPr>
        <w:t>ab</w:t>
      </w:r>
      <w:r w:rsidRPr="00A60B75">
        <w:rPr>
          <w:rFonts w:cs="Times New Roman"/>
          <w:szCs w:val="24"/>
        </w:rPr>
        <w:t>out 15 participants per predictor</w:t>
      </w:r>
      <w:r>
        <w:rPr>
          <w:rFonts w:cs="Times New Roman"/>
          <w:szCs w:val="24"/>
        </w:rPr>
        <w:t xml:space="preserve"> to obtain</w:t>
      </w:r>
      <w:r w:rsidRPr="00A60B75">
        <w:rPr>
          <w:rFonts w:cs="Times New Roman"/>
          <w:szCs w:val="24"/>
        </w:rPr>
        <w:t xml:space="preserve"> a reliable equation. </w:t>
      </w:r>
      <w:r>
        <w:rPr>
          <w:rFonts w:cs="Times New Roman"/>
          <w:szCs w:val="24"/>
        </w:rPr>
        <w:t>In the case of</w:t>
      </w:r>
      <w:r w:rsidRPr="00A60B75">
        <w:rPr>
          <w:rFonts w:cs="Times New Roman"/>
          <w:szCs w:val="24"/>
        </w:rPr>
        <w:t xml:space="preserve"> outliers</w:t>
      </w:r>
      <w:r>
        <w:rPr>
          <w:rFonts w:cs="Times New Roman"/>
          <w:szCs w:val="24"/>
        </w:rPr>
        <w:t xml:space="preserve">, the study checked the residuals to eliminate the model of it </w:t>
      </w:r>
      <w:r w:rsidRPr="00A60B75">
        <w:rPr>
          <w:rFonts w:cs="Times New Roman"/>
          <w:szCs w:val="24"/>
        </w:rPr>
        <w:t xml:space="preserve">because it could cause the model to </w:t>
      </w:r>
      <w:r>
        <w:rPr>
          <w:rFonts w:cs="Times New Roman"/>
          <w:szCs w:val="24"/>
        </w:rPr>
        <w:t xml:space="preserve">strongly </w:t>
      </w:r>
      <w:r w:rsidRPr="00A60B75">
        <w:rPr>
          <w:rFonts w:cs="Times New Roman"/>
          <w:szCs w:val="24"/>
        </w:rPr>
        <w:t xml:space="preserve">predict </w:t>
      </w:r>
      <w:r w:rsidRPr="009C6109">
        <w:rPr>
          <w:rFonts w:cs="Times New Roman"/>
          <w:szCs w:val="24"/>
        </w:rPr>
        <w:t xml:space="preserve">a case </w:t>
      </w:r>
      <w:r>
        <w:rPr>
          <w:rFonts w:cs="Times New Roman"/>
          <w:szCs w:val="24"/>
        </w:rPr>
        <w:t xml:space="preserve">to be </w:t>
      </w:r>
      <w:r w:rsidRPr="009C6109">
        <w:rPr>
          <w:rFonts w:cs="Times New Roman"/>
          <w:szCs w:val="24"/>
        </w:rPr>
        <w:t>in one category but</w:t>
      </w:r>
      <w:proofErr w:type="gramStart"/>
      <w:r>
        <w:rPr>
          <w:rFonts w:cs="Times New Roman"/>
          <w:szCs w:val="24"/>
        </w:rPr>
        <w:t>,</w:t>
      </w:r>
      <w:r w:rsidRPr="009C6109">
        <w:rPr>
          <w:rFonts w:cs="Times New Roman"/>
          <w:szCs w:val="24"/>
        </w:rPr>
        <w:t xml:space="preserve"> in reality</w:t>
      </w:r>
      <w:r>
        <w:rPr>
          <w:rFonts w:cs="Times New Roman"/>
          <w:szCs w:val="24"/>
        </w:rPr>
        <w:t>,</w:t>
      </w:r>
      <w:r w:rsidRPr="009C6109">
        <w:rPr>
          <w:rFonts w:cs="Times New Roman"/>
          <w:szCs w:val="24"/>
        </w:rPr>
        <w:t xml:space="preserve"> be</w:t>
      </w:r>
      <w:proofErr w:type="gramEnd"/>
      <w:r w:rsidRPr="009C6109">
        <w:rPr>
          <w:rFonts w:cs="Times New Roman"/>
          <w:szCs w:val="24"/>
        </w:rPr>
        <w:t xml:space="preserve"> classified in the</w:t>
      </w:r>
      <w:r>
        <w:rPr>
          <w:rFonts w:cs="Times New Roman"/>
          <w:szCs w:val="24"/>
        </w:rPr>
        <w:t xml:space="preserve"> </w:t>
      </w:r>
      <w:r w:rsidRPr="009C6109">
        <w:rPr>
          <w:rFonts w:cs="Times New Roman"/>
          <w:szCs w:val="24"/>
        </w:rPr>
        <w:t>other category.</w:t>
      </w:r>
      <w:r>
        <w:rPr>
          <w:rFonts w:cs="Times New Roman"/>
          <w:szCs w:val="24"/>
        </w:rPr>
        <w:t xml:space="preserve"> In terms of</w:t>
      </w:r>
      <w:r w:rsidRPr="00A60B75">
        <w:rPr>
          <w:rFonts w:cs="Times New Roman"/>
          <w:szCs w:val="24"/>
        </w:rPr>
        <w:t xml:space="preserve"> multicollinearity</w:t>
      </w:r>
      <w:r>
        <w:rPr>
          <w:rFonts w:cs="Times New Roman"/>
          <w:szCs w:val="24"/>
        </w:rPr>
        <w:t xml:space="preserve">, the study utilised the </w:t>
      </w:r>
      <w:r w:rsidRPr="00A60B75">
        <w:rPr>
          <w:rFonts w:cs="Times New Roman"/>
          <w:szCs w:val="24"/>
        </w:rPr>
        <w:t>tolerance</w:t>
      </w:r>
      <w:r>
        <w:rPr>
          <w:rFonts w:cs="Times New Roman"/>
          <w:szCs w:val="24"/>
        </w:rPr>
        <w:t xml:space="preserve"> and VIF values. Table </w:t>
      </w:r>
      <w:r w:rsidR="007A5EBD">
        <w:rPr>
          <w:rFonts w:cs="Times New Roman"/>
          <w:szCs w:val="24"/>
        </w:rPr>
        <w:t>13</w:t>
      </w:r>
      <w:r>
        <w:rPr>
          <w:rFonts w:cs="Times New Roman"/>
          <w:szCs w:val="24"/>
        </w:rPr>
        <w:t xml:space="preserve"> shows that the values for the study model were higher than the accepted tolerance level of &gt;.10, and </w:t>
      </w:r>
      <w:r>
        <w:rPr>
          <w:rFonts w:cs="Times New Roman"/>
          <w:szCs w:val="24"/>
        </w:rPr>
        <w:lastRenderedPageBreak/>
        <w:t xml:space="preserve">lower than the accepted level of VIF of 10. </w:t>
      </w:r>
      <w:r w:rsidR="0024221E">
        <w:rPr>
          <w:rFonts w:cs="Times New Roman"/>
          <w:szCs w:val="24"/>
        </w:rPr>
        <w:t xml:space="preserve"> </w:t>
      </w:r>
      <w:r w:rsidR="0024221E" w:rsidRPr="00A60B75">
        <w:rPr>
          <w:rFonts w:cs="Times New Roman"/>
          <w:szCs w:val="24"/>
        </w:rPr>
        <w:t>The results for multicollinearity are presented in Table</w:t>
      </w:r>
      <w:r w:rsidR="00CE1240">
        <w:rPr>
          <w:rFonts w:cs="Times New Roman"/>
          <w:szCs w:val="24"/>
        </w:rPr>
        <w:t xml:space="preserve"> </w:t>
      </w:r>
      <w:r w:rsidR="00391088">
        <w:rPr>
          <w:rFonts w:cs="Times New Roman"/>
          <w:szCs w:val="24"/>
        </w:rPr>
        <w:t>1</w:t>
      </w:r>
      <w:r w:rsidR="007A5EBD">
        <w:rPr>
          <w:rFonts w:cs="Times New Roman"/>
          <w:szCs w:val="24"/>
        </w:rPr>
        <w:t>3</w:t>
      </w:r>
      <w:r w:rsidR="0024221E">
        <w:rPr>
          <w:rFonts w:cs="Times New Roman"/>
          <w:szCs w:val="24"/>
        </w:rPr>
        <w:t>.</w:t>
      </w:r>
    </w:p>
    <w:p w14:paraId="7FBB1E50" w14:textId="60E53740" w:rsidR="0024221E" w:rsidRPr="006316EB" w:rsidRDefault="0024221E" w:rsidP="001F0945">
      <w:pPr>
        <w:pStyle w:val="LT"/>
      </w:pPr>
      <w:bookmarkStart w:id="445" w:name="_Toc197335676"/>
      <w:r w:rsidRPr="006316EB">
        <w:t xml:space="preserve">Table </w:t>
      </w:r>
      <w:r w:rsidR="00391088">
        <w:t>1</w:t>
      </w:r>
      <w:r w:rsidR="007A5EBD">
        <w:t>3</w:t>
      </w:r>
      <w:r w:rsidRPr="006316EB">
        <w:t>: Collinearity Statistic</w:t>
      </w:r>
      <w:bookmarkEnd w:id="445"/>
    </w:p>
    <w:tbl>
      <w:tblPr>
        <w:tblW w:w="5000" w:type="pct"/>
        <w:tblCellMar>
          <w:left w:w="0" w:type="dxa"/>
          <w:right w:w="0" w:type="dxa"/>
        </w:tblCellMar>
        <w:tblLook w:val="0000" w:firstRow="0" w:lastRow="0" w:firstColumn="0" w:lastColumn="0" w:noHBand="0" w:noVBand="0"/>
      </w:tblPr>
      <w:tblGrid>
        <w:gridCol w:w="982"/>
        <w:gridCol w:w="2353"/>
        <w:gridCol w:w="1370"/>
        <w:gridCol w:w="1511"/>
        <w:gridCol w:w="1370"/>
      </w:tblGrid>
      <w:tr w:rsidR="0024221E" w:rsidRPr="0065676B" w14:paraId="58670DFC" w14:textId="77777777" w:rsidTr="00503189">
        <w:trPr>
          <w:cantSplit/>
        </w:trPr>
        <w:tc>
          <w:tcPr>
            <w:tcW w:w="2198" w:type="pct"/>
            <w:gridSpan w:val="2"/>
            <w:tcBorders>
              <w:top w:val="single" w:sz="4" w:space="0" w:color="auto"/>
              <w:bottom w:val="single" w:sz="4" w:space="0" w:color="auto"/>
            </w:tcBorders>
            <w:shd w:val="clear" w:color="auto" w:fill="auto"/>
            <w:vAlign w:val="bottom"/>
          </w:tcPr>
          <w:p w14:paraId="4886D8A0" w14:textId="77777777" w:rsidR="0024221E" w:rsidRPr="00355E00" w:rsidRDefault="0024221E" w:rsidP="00772DAC">
            <w:pPr>
              <w:autoSpaceDE w:val="0"/>
              <w:autoSpaceDN w:val="0"/>
              <w:adjustRightInd w:val="0"/>
              <w:spacing w:after="0" w:line="320" w:lineRule="atLeast"/>
              <w:ind w:left="0" w:right="60" w:firstLine="0"/>
              <w:rPr>
                <w:rFonts w:cs="Times New Roman"/>
              </w:rPr>
            </w:pPr>
            <w:r w:rsidRPr="00355E00">
              <w:rPr>
                <w:rFonts w:cs="Times New Roman"/>
                <w:sz w:val="22"/>
              </w:rPr>
              <w:t>Model</w:t>
            </w:r>
          </w:p>
        </w:tc>
        <w:tc>
          <w:tcPr>
            <w:tcW w:w="903" w:type="pct"/>
            <w:tcBorders>
              <w:top w:val="single" w:sz="4" w:space="0" w:color="auto"/>
              <w:bottom w:val="single" w:sz="4" w:space="0" w:color="auto"/>
            </w:tcBorders>
            <w:shd w:val="clear" w:color="auto" w:fill="auto"/>
            <w:vAlign w:val="bottom"/>
          </w:tcPr>
          <w:p w14:paraId="7831575A" w14:textId="77777777" w:rsidR="0024221E" w:rsidRPr="00355E00" w:rsidRDefault="0024221E" w:rsidP="00772DAC">
            <w:pPr>
              <w:autoSpaceDE w:val="0"/>
              <w:autoSpaceDN w:val="0"/>
              <w:adjustRightInd w:val="0"/>
              <w:spacing w:after="0" w:line="240" w:lineRule="auto"/>
              <w:ind w:left="0" w:firstLine="0"/>
              <w:rPr>
                <w:rFonts w:cs="Times New Roman"/>
              </w:rPr>
            </w:pPr>
            <w:r w:rsidRPr="00355E00">
              <w:rPr>
                <w:rFonts w:cs="Times New Roman"/>
                <w:sz w:val="22"/>
              </w:rPr>
              <w:t>Sig.</w:t>
            </w:r>
          </w:p>
        </w:tc>
        <w:tc>
          <w:tcPr>
            <w:tcW w:w="996" w:type="pct"/>
            <w:tcBorders>
              <w:top w:val="single" w:sz="4" w:space="0" w:color="auto"/>
              <w:bottom w:val="single" w:sz="4" w:space="0" w:color="auto"/>
            </w:tcBorders>
            <w:shd w:val="clear" w:color="auto" w:fill="auto"/>
            <w:vAlign w:val="bottom"/>
          </w:tcPr>
          <w:p w14:paraId="17F100BF" w14:textId="77777777" w:rsidR="0024221E" w:rsidRPr="00355E00" w:rsidRDefault="0024221E" w:rsidP="00772DAC">
            <w:pPr>
              <w:autoSpaceDE w:val="0"/>
              <w:autoSpaceDN w:val="0"/>
              <w:adjustRightInd w:val="0"/>
              <w:spacing w:after="0" w:line="320" w:lineRule="atLeast"/>
              <w:ind w:left="0" w:right="60" w:firstLine="0"/>
              <w:jc w:val="center"/>
              <w:rPr>
                <w:rFonts w:cs="Times New Roman"/>
              </w:rPr>
            </w:pPr>
            <w:r w:rsidRPr="00355E00">
              <w:rPr>
                <w:rFonts w:cs="Times New Roman"/>
                <w:sz w:val="22"/>
              </w:rPr>
              <w:t>Tolerance</w:t>
            </w:r>
          </w:p>
        </w:tc>
        <w:tc>
          <w:tcPr>
            <w:tcW w:w="903" w:type="pct"/>
            <w:tcBorders>
              <w:top w:val="single" w:sz="4" w:space="0" w:color="auto"/>
              <w:bottom w:val="single" w:sz="4" w:space="0" w:color="auto"/>
            </w:tcBorders>
            <w:shd w:val="clear" w:color="auto" w:fill="auto"/>
            <w:vAlign w:val="bottom"/>
          </w:tcPr>
          <w:p w14:paraId="13B66C57" w14:textId="77777777" w:rsidR="0024221E" w:rsidRPr="00355E00" w:rsidRDefault="0024221E" w:rsidP="00772DAC">
            <w:pPr>
              <w:autoSpaceDE w:val="0"/>
              <w:autoSpaceDN w:val="0"/>
              <w:adjustRightInd w:val="0"/>
              <w:spacing w:after="0" w:line="320" w:lineRule="atLeast"/>
              <w:ind w:left="0" w:right="60" w:firstLine="0"/>
              <w:jc w:val="center"/>
              <w:rPr>
                <w:rFonts w:cs="Times New Roman"/>
              </w:rPr>
            </w:pPr>
            <w:r w:rsidRPr="00355E00">
              <w:rPr>
                <w:rFonts w:cs="Times New Roman"/>
                <w:sz w:val="22"/>
              </w:rPr>
              <w:t>VIF</w:t>
            </w:r>
          </w:p>
        </w:tc>
      </w:tr>
      <w:tr w:rsidR="0024221E" w:rsidRPr="0065676B" w14:paraId="3FC8D664" w14:textId="77777777" w:rsidTr="00503189">
        <w:trPr>
          <w:cantSplit/>
        </w:trPr>
        <w:tc>
          <w:tcPr>
            <w:tcW w:w="647" w:type="pct"/>
            <w:vMerge w:val="restart"/>
            <w:tcBorders>
              <w:top w:val="single" w:sz="4" w:space="0" w:color="auto"/>
            </w:tcBorders>
            <w:shd w:val="clear" w:color="auto" w:fill="auto"/>
          </w:tcPr>
          <w:p w14:paraId="04906839" w14:textId="77777777" w:rsidR="0024221E" w:rsidRPr="00355E00" w:rsidRDefault="0024221E" w:rsidP="00772DAC">
            <w:pPr>
              <w:autoSpaceDE w:val="0"/>
              <w:autoSpaceDN w:val="0"/>
              <w:adjustRightInd w:val="0"/>
              <w:spacing w:after="0" w:line="320" w:lineRule="atLeast"/>
              <w:ind w:left="0" w:right="60" w:firstLine="0"/>
              <w:rPr>
                <w:rFonts w:cs="Times New Roman"/>
              </w:rPr>
            </w:pPr>
            <w:r w:rsidRPr="00355E00">
              <w:rPr>
                <w:rFonts w:cs="Times New Roman"/>
                <w:sz w:val="22"/>
              </w:rPr>
              <w:t>1</w:t>
            </w:r>
          </w:p>
        </w:tc>
        <w:tc>
          <w:tcPr>
            <w:tcW w:w="1551" w:type="pct"/>
            <w:tcBorders>
              <w:top w:val="single" w:sz="4" w:space="0" w:color="auto"/>
            </w:tcBorders>
            <w:shd w:val="clear" w:color="auto" w:fill="auto"/>
          </w:tcPr>
          <w:p w14:paraId="32FB06DC" w14:textId="77777777" w:rsidR="0024221E" w:rsidRPr="00355E00" w:rsidRDefault="0024221E" w:rsidP="00772DAC">
            <w:pPr>
              <w:autoSpaceDE w:val="0"/>
              <w:autoSpaceDN w:val="0"/>
              <w:adjustRightInd w:val="0"/>
              <w:spacing w:after="0" w:line="320" w:lineRule="atLeast"/>
              <w:ind w:left="0" w:right="60" w:firstLine="0"/>
              <w:rPr>
                <w:rFonts w:cs="Times New Roman"/>
              </w:rPr>
            </w:pPr>
            <w:r w:rsidRPr="00355E00">
              <w:rPr>
                <w:rFonts w:cs="Times New Roman"/>
                <w:sz w:val="22"/>
              </w:rPr>
              <w:t>(Constant)</w:t>
            </w:r>
          </w:p>
        </w:tc>
        <w:tc>
          <w:tcPr>
            <w:tcW w:w="903" w:type="pct"/>
            <w:tcBorders>
              <w:top w:val="single" w:sz="4" w:space="0" w:color="auto"/>
            </w:tcBorders>
            <w:shd w:val="clear" w:color="auto" w:fill="auto"/>
          </w:tcPr>
          <w:p w14:paraId="6342E995"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.000</w:t>
            </w:r>
          </w:p>
        </w:tc>
        <w:tc>
          <w:tcPr>
            <w:tcW w:w="996" w:type="pct"/>
            <w:tcBorders>
              <w:top w:val="single" w:sz="4" w:space="0" w:color="auto"/>
            </w:tcBorders>
            <w:shd w:val="clear" w:color="auto" w:fill="auto"/>
            <w:vAlign w:val="center"/>
          </w:tcPr>
          <w:p w14:paraId="1907D3CB" w14:textId="77777777" w:rsidR="0024221E" w:rsidRPr="00355E00" w:rsidRDefault="0024221E" w:rsidP="00772DAC">
            <w:pPr>
              <w:autoSpaceDE w:val="0"/>
              <w:autoSpaceDN w:val="0"/>
              <w:adjustRightInd w:val="0"/>
              <w:spacing w:after="0" w:line="240" w:lineRule="auto"/>
              <w:ind w:left="0" w:firstLine="0"/>
              <w:rPr>
                <w:rFonts w:cs="Times New Roman"/>
              </w:rPr>
            </w:pPr>
          </w:p>
        </w:tc>
        <w:tc>
          <w:tcPr>
            <w:tcW w:w="903" w:type="pct"/>
            <w:tcBorders>
              <w:top w:val="single" w:sz="4" w:space="0" w:color="auto"/>
            </w:tcBorders>
            <w:shd w:val="clear" w:color="auto" w:fill="auto"/>
            <w:vAlign w:val="center"/>
          </w:tcPr>
          <w:p w14:paraId="5C54E457" w14:textId="77777777" w:rsidR="0024221E" w:rsidRPr="00355E00" w:rsidRDefault="0024221E" w:rsidP="00772DAC">
            <w:pPr>
              <w:autoSpaceDE w:val="0"/>
              <w:autoSpaceDN w:val="0"/>
              <w:adjustRightInd w:val="0"/>
              <w:spacing w:after="0" w:line="240" w:lineRule="auto"/>
              <w:ind w:left="0" w:firstLine="0"/>
              <w:rPr>
                <w:rFonts w:cs="Times New Roman"/>
              </w:rPr>
            </w:pPr>
          </w:p>
        </w:tc>
      </w:tr>
      <w:tr w:rsidR="0024221E" w:rsidRPr="0065676B" w14:paraId="322D923F" w14:textId="77777777" w:rsidTr="00503189">
        <w:trPr>
          <w:cantSplit/>
        </w:trPr>
        <w:tc>
          <w:tcPr>
            <w:tcW w:w="647" w:type="pct"/>
            <w:vMerge/>
            <w:shd w:val="clear" w:color="auto" w:fill="auto"/>
          </w:tcPr>
          <w:p w14:paraId="16D58CAD" w14:textId="77777777" w:rsidR="0024221E" w:rsidRPr="00355E00" w:rsidRDefault="0024221E" w:rsidP="00772DAC">
            <w:pPr>
              <w:autoSpaceDE w:val="0"/>
              <w:autoSpaceDN w:val="0"/>
              <w:adjustRightInd w:val="0"/>
              <w:spacing w:after="0" w:line="240" w:lineRule="auto"/>
              <w:ind w:left="0" w:firstLine="0"/>
              <w:rPr>
                <w:rFonts w:cs="Times New Roman"/>
              </w:rPr>
            </w:pPr>
          </w:p>
        </w:tc>
        <w:tc>
          <w:tcPr>
            <w:tcW w:w="1551" w:type="pct"/>
            <w:shd w:val="clear" w:color="auto" w:fill="auto"/>
          </w:tcPr>
          <w:p w14:paraId="1982943A" w14:textId="77777777" w:rsidR="0024221E" w:rsidRPr="00355E00" w:rsidRDefault="00DB6666" w:rsidP="00772DAC">
            <w:pPr>
              <w:autoSpaceDE w:val="0"/>
              <w:autoSpaceDN w:val="0"/>
              <w:adjustRightInd w:val="0"/>
              <w:spacing w:after="0" w:line="320" w:lineRule="atLeast"/>
              <w:ind w:left="0" w:right="60" w:firstLine="0"/>
              <w:rPr>
                <w:rFonts w:cs="Times New Roman"/>
              </w:rPr>
            </w:pPr>
            <w:r>
              <w:rPr>
                <w:rFonts w:cs="Times New Roman"/>
              </w:rPr>
              <w:t>Duration of stay</w:t>
            </w:r>
          </w:p>
        </w:tc>
        <w:tc>
          <w:tcPr>
            <w:tcW w:w="903" w:type="pct"/>
            <w:shd w:val="clear" w:color="auto" w:fill="auto"/>
          </w:tcPr>
          <w:p w14:paraId="417D4492"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.012</w:t>
            </w:r>
          </w:p>
        </w:tc>
        <w:tc>
          <w:tcPr>
            <w:tcW w:w="996" w:type="pct"/>
            <w:shd w:val="clear" w:color="auto" w:fill="auto"/>
          </w:tcPr>
          <w:p w14:paraId="7DBC6429"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.776</w:t>
            </w:r>
          </w:p>
        </w:tc>
        <w:tc>
          <w:tcPr>
            <w:tcW w:w="903" w:type="pct"/>
            <w:shd w:val="clear" w:color="auto" w:fill="auto"/>
          </w:tcPr>
          <w:p w14:paraId="3F5B71E7"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1.289</w:t>
            </w:r>
          </w:p>
        </w:tc>
      </w:tr>
      <w:tr w:rsidR="0024221E" w:rsidRPr="0065676B" w14:paraId="2983BAFF" w14:textId="77777777" w:rsidTr="00503189">
        <w:trPr>
          <w:cantSplit/>
        </w:trPr>
        <w:tc>
          <w:tcPr>
            <w:tcW w:w="647" w:type="pct"/>
            <w:vMerge/>
            <w:shd w:val="clear" w:color="auto" w:fill="auto"/>
          </w:tcPr>
          <w:p w14:paraId="195040DF" w14:textId="77777777" w:rsidR="0024221E" w:rsidRPr="00355E00" w:rsidRDefault="0024221E" w:rsidP="00772DAC">
            <w:pPr>
              <w:autoSpaceDE w:val="0"/>
              <w:autoSpaceDN w:val="0"/>
              <w:adjustRightInd w:val="0"/>
              <w:spacing w:after="0" w:line="240" w:lineRule="auto"/>
              <w:ind w:left="0" w:firstLine="0"/>
              <w:rPr>
                <w:rFonts w:cs="Times New Roman"/>
              </w:rPr>
            </w:pPr>
          </w:p>
        </w:tc>
        <w:tc>
          <w:tcPr>
            <w:tcW w:w="1551" w:type="pct"/>
            <w:shd w:val="clear" w:color="auto" w:fill="auto"/>
          </w:tcPr>
          <w:p w14:paraId="36D57784" w14:textId="77777777" w:rsidR="0024221E" w:rsidRPr="00355E00" w:rsidRDefault="0024221E" w:rsidP="00772DAC">
            <w:pPr>
              <w:autoSpaceDE w:val="0"/>
              <w:autoSpaceDN w:val="0"/>
              <w:adjustRightInd w:val="0"/>
              <w:spacing w:after="0" w:line="320" w:lineRule="atLeast"/>
              <w:ind w:left="0" w:right="60" w:firstLine="0"/>
              <w:rPr>
                <w:rFonts w:cs="Times New Roman"/>
              </w:rPr>
            </w:pPr>
            <w:r w:rsidRPr="00355E00">
              <w:rPr>
                <w:rFonts w:cs="Times New Roman"/>
                <w:sz w:val="22"/>
              </w:rPr>
              <w:t>level of education</w:t>
            </w:r>
          </w:p>
        </w:tc>
        <w:tc>
          <w:tcPr>
            <w:tcW w:w="903" w:type="pct"/>
            <w:shd w:val="clear" w:color="auto" w:fill="auto"/>
          </w:tcPr>
          <w:p w14:paraId="3656C7E3"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.031</w:t>
            </w:r>
          </w:p>
        </w:tc>
        <w:tc>
          <w:tcPr>
            <w:tcW w:w="996" w:type="pct"/>
            <w:shd w:val="clear" w:color="auto" w:fill="auto"/>
          </w:tcPr>
          <w:p w14:paraId="3A3F2D80"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.783</w:t>
            </w:r>
          </w:p>
        </w:tc>
        <w:tc>
          <w:tcPr>
            <w:tcW w:w="903" w:type="pct"/>
            <w:shd w:val="clear" w:color="auto" w:fill="auto"/>
          </w:tcPr>
          <w:p w14:paraId="24C15FC4"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1.277</w:t>
            </w:r>
          </w:p>
        </w:tc>
      </w:tr>
      <w:tr w:rsidR="0024221E" w:rsidRPr="0065676B" w14:paraId="7D0DD327" w14:textId="77777777" w:rsidTr="00503189">
        <w:trPr>
          <w:cantSplit/>
        </w:trPr>
        <w:tc>
          <w:tcPr>
            <w:tcW w:w="647" w:type="pct"/>
            <w:vMerge/>
            <w:tcBorders>
              <w:bottom w:val="single" w:sz="4" w:space="0" w:color="auto"/>
            </w:tcBorders>
            <w:shd w:val="clear" w:color="auto" w:fill="auto"/>
          </w:tcPr>
          <w:p w14:paraId="3DA9857B" w14:textId="77777777" w:rsidR="0024221E" w:rsidRPr="00355E00" w:rsidRDefault="0024221E" w:rsidP="00772DAC">
            <w:pPr>
              <w:autoSpaceDE w:val="0"/>
              <w:autoSpaceDN w:val="0"/>
              <w:adjustRightInd w:val="0"/>
              <w:spacing w:after="0" w:line="240" w:lineRule="auto"/>
              <w:ind w:left="0" w:firstLine="0"/>
              <w:rPr>
                <w:rFonts w:cs="Times New Roman"/>
              </w:rPr>
            </w:pPr>
          </w:p>
        </w:tc>
        <w:tc>
          <w:tcPr>
            <w:tcW w:w="1551" w:type="pct"/>
            <w:tcBorders>
              <w:bottom w:val="single" w:sz="4" w:space="0" w:color="auto"/>
            </w:tcBorders>
            <w:shd w:val="clear" w:color="auto" w:fill="auto"/>
          </w:tcPr>
          <w:p w14:paraId="2B72860B" w14:textId="77777777" w:rsidR="0024221E" w:rsidRPr="00355E00" w:rsidRDefault="0024221E" w:rsidP="00772DAC">
            <w:pPr>
              <w:autoSpaceDE w:val="0"/>
              <w:autoSpaceDN w:val="0"/>
              <w:adjustRightInd w:val="0"/>
              <w:spacing w:after="0" w:line="320" w:lineRule="atLeast"/>
              <w:ind w:left="0" w:right="60" w:firstLine="0"/>
              <w:rPr>
                <w:rFonts w:cs="Times New Roman"/>
              </w:rPr>
            </w:pPr>
            <w:r w:rsidRPr="00355E00">
              <w:rPr>
                <w:rFonts w:cs="Times New Roman"/>
                <w:sz w:val="22"/>
              </w:rPr>
              <w:t>belong to a group</w:t>
            </w:r>
          </w:p>
        </w:tc>
        <w:tc>
          <w:tcPr>
            <w:tcW w:w="903" w:type="pct"/>
            <w:tcBorders>
              <w:bottom w:val="single" w:sz="4" w:space="0" w:color="auto"/>
            </w:tcBorders>
            <w:shd w:val="clear" w:color="auto" w:fill="auto"/>
          </w:tcPr>
          <w:p w14:paraId="638D1CF9"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.000</w:t>
            </w:r>
          </w:p>
        </w:tc>
        <w:tc>
          <w:tcPr>
            <w:tcW w:w="996" w:type="pct"/>
            <w:tcBorders>
              <w:bottom w:val="single" w:sz="4" w:space="0" w:color="auto"/>
            </w:tcBorders>
            <w:shd w:val="clear" w:color="auto" w:fill="auto"/>
          </w:tcPr>
          <w:p w14:paraId="379D7983"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.948</w:t>
            </w:r>
          </w:p>
        </w:tc>
        <w:tc>
          <w:tcPr>
            <w:tcW w:w="903" w:type="pct"/>
            <w:tcBorders>
              <w:bottom w:val="single" w:sz="4" w:space="0" w:color="auto"/>
            </w:tcBorders>
            <w:shd w:val="clear" w:color="auto" w:fill="auto"/>
          </w:tcPr>
          <w:p w14:paraId="2F4B7680" w14:textId="77777777" w:rsidR="0024221E" w:rsidRPr="00355E00" w:rsidRDefault="0024221E" w:rsidP="00772DAC">
            <w:pPr>
              <w:autoSpaceDE w:val="0"/>
              <w:autoSpaceDN w:val="0"/>
              <w:adjustRightInd w:val="0"/>
              <w:spacing w:after="0" w:line="320" w:lineRule="atLeast"/>
              <w:ind w:left="0" w:right="60" w:firstLine="0"/>
              <w:jc w:val="right"/>
              <w:rPr>
                <w:rFonts w:cs="Times New Roman"/>
              </w:rPr>
            </w:pPr>
            <w:r w:rsidRPr="00355E00">
              <w:rPr>
                <w:rFonts w:cs="Times New Roman"/>
                <w:sz w:val="22"/>
              </w:rPr>
              <w:t>1.055</w:t>
            </w:r>
          </w:p>
        </w:tc>
      </w:tr>
    </w:tbl>
    <w:p w14:paraId="166A8A63" w14:textId="415FD2D5" w:rsidR="0024221E" w:rsidRDefault="0024221E" w:rsidP="00772DAC">
      <w:pPr>
        <w:ind w:left="0" w:firstLine="0"/>
        <w:rPr>
          <w:rFonts w:cs="Times New Roman"/>
          <w:szCs w:val="24"/>
        </w:rPr>
      </w:pPr>
      <w:r>
        <w:rPr>
          <w:rFonts w:cs="Times New Roman"/>
          <w:szCs w:val="24"/>
        </w:rPr>
        <w:t>Source: Field</w:t>
      </w:r>
      <w:r w:rsidR="00F07AAE">
        <w:rPr>
          <w:rFonts w:cs="Times New Roman"/>
          <w:szCs w:val="24"/>
        </w:rPr>
        <w:t>work</w:t>
      </w:r>
      <w:r>
        <w:rPr>
          <w:rFonts w:cs="Times New Roman"/>
          <w:szCs w:val="24"/>
        </w:rPr>
        <w:t xml:space="preserve"> (2024).</w:t>
      </w:r>
    </w:p>
    <w:p w14:paraId="2A6FD20C" w14:textId="0C4CBC16" w:rsidR="0024221E" w:rsidRPr="00A60B75" w:rsidRDefault="0024221E" w:rsidP="00CD3695">
      <w:pPr>
        <w:ind w:left="0"/>
        <w:rPr>
          <w:rFonts w:cs="Times New Roman"/>
          <w:szCs w:val="24"/>
        </w:rPr>
      </w:pPr>
      <w:r>
        <w:rPr>
          <w:rFonts w:cs="Times New Roman"/>
          <w:szCs w:val="24"/>
        </w:rPr>
        <w:t>In performing the tests of significance, the study began with the case processing summary to reveal the model’s ability to correctly differentiate between the three levels of participation in the dependent variable. The results are presented in Table 1</w:t>
      </w:r>
      <w:r w:rsidR="00061650">
        <w:rPr>
          <w:rFonts w:cs="Times New Roman"/>
          <w:szCs w:val="24"/>
        </w:rPr>
        <w:t>4</w:t>
      </w:r>
      <w:r>
        <w:rPr>
          <w:rFonts w:cs="Times New Roman"/>
          <w:szCs w:val="24"/>
        </w:rPr>
        <w:t xml:space="preserve">. </w:t>
      </w:r>
    </w:p>
    <w:tbl>
      <w:tblPr>
        <w:tblW w:w="0" w:type="auto"/>
        <w:tblBorders>
          <w:bottom w:val="single" w:sz="4" w:space="0" w:color="auto"/>
        </w:tblBorders>
        <w:tblCellMar>
          <w:left w:w="0" w:type="dxa"/>
          <w:right w:w="0" w:type="dxa"/>
        </w:tblCellMar>
        <w:tblLook w:val="0000" w:firstRow="0" w:lastRow="0" w:firstColumn="0" w:lastColumn="0" w:noHBand="0" w:noVBand="0"/>
      </w:tblPr>
      <w:tblGrid>
        <w:gridCol w:w="1801"/>
        <w:gridCol w:w="1889"/>
        <w:gridCol w:w="1350"/>
        <w:gridCol w:w="1519"/>
      </w:tblGrid>
      <w:tr w:rsidR="00187F04" w:rsidRPr="0000738A" w14:paraId="75588669" w14:textId="77777777" w:rsidTr="001F0945">
        <w:trPr>
          <w:cantSplit/>
        </w:trPr>
        <w:tc>
          <w:tcPr>
            <w:tcW w:w="6300" w:type="dxa"/>
            <w:gridSpan w:val="4"/>
            <w:tcBorders>
              <w:bottom w:val="single" w:sz="4" w:space="0" w:color="auto"/>
            </w:tcBorders>
            <w:shd w:val="clear" w:color="auto" w:fill="auto"/>
            <w:vAlign w:val="center"/>
          </w:tcPr>
          <w:p w14:paraId="60A00123" w14:textId="63190929" w:rsidR="00187F04" w:rsidRPr="0000738A" w:rsidRDefault="00187F04" w:rsidP="001F0945">
            <w:pPr>
              <w:pStyle w:val="LT"/>
              <w:rPr>
                <w:rFonts w:ascii="Arial" w:hAnsi="Arial" w:cs="Arial"/>
                <w:sz w:val="22"/>
              </w:rPr>
            </w:pPr>
            <w:bookmarkStart w:id="446" w:name="_Toc197335677"/>
            <w:r w:rsidRPr="00187F04">
              <w:t>Table 1</w:t>
            </w:r>
            <w:r w:rsidR="00061650">
              <w:t>4</w:t>
            </w:r>
            <w:r w:rsidRPr="00187F04">
              <w:t>: Case Processing Summary</w:t>
            </w:r>
            <w:bookmarkEnd w:id="446"/>
          </w:p>
        </w:tc>
      </w:tr>
      <w:tr w:rsidR="00187F04" w:rsidRPr="0000738A" w14:paraId="0F3C1D8C" w14:textId="77777777" w:rsidTr="001F0945">
        <w:trPr>
          <w:cantSplit/>
        </w:trPr>
        <w:tc>
          <w:tcPr>
            <w:tcW w:w="3690" w:type="dxa"/>
            <w:gridSpan w:val="2"/>
            <w:tcBorders>
              <w:top w:val="single" w:sz="4" w:space="0" w:color="auto"/>
              <w:bottom w:val="single" w:sz="4" w:space="0" w:color="auto"/>
            </w:tcBorders>
            <w:shd w:val="clear" w:color="auto" w:fill="auto"/>
            <w:vAlign w:val="bottom"/>
          </w:tcPr>
          <w:p w14:paraId="60295D28" w14:textId="77777777" w:rsidR="00187F04" w:rsidRPr="001F0945" w:rsidRDefault="00187F04" w:rsidP="00C34F3A">
            <w:pPr>
              <w:autoSpaceDE w:val="0"/>
              <w:autoSpaceDN w:val="0"/>
              <w:adjustRightInd w:val="0"/>
              <w:spacing w:after="0" w:line="240" w:lineRule="auto"/>
              <w:rPr>
                <w:rFonts w:cs="Times New Roman"/>
                <w:sz w:val="22"/>
              </w:rPr>
            </w:pPr>
          </w:p>
        </w:tc>
        <w:tc>
          <w:tcPr>
            <w:tcW w:w="1350" w:type="dxa"/>
            <w:tcBorders>
              <w:top w:val="single" w:sz="4" w:space="0" w:color="auto"/>
              <w:bottom w:val="single" w:sz="4" w:space="0" w:color="auto"/>
            </w:tcBorders>
            <w:shd w:val="clear" w:color="auto" w:fill="auto"/>
            <w:vAlign w:val="bottom"/>
          </w:tcPr>
          <w:p w14:paraId="2DE7C0D7" w14:textId="77777777" w:rsidR="00187F04" w:rsidRPr="001F0945" w:rsidRDefault="00187F04" w:rsidP="00C34F3A">
            <w:pPr>
              <w:autoSpaceDE w:val="0"/>
              <w:autoSpaceDN w:val="0"/>
              <w:adjustRightInd w:val="0"/>
              <w:spacing w:after="0" w:line="320" w:lineRule="atLeast"/>
              <w:ind w:left="60" w:right="60"/>
              <w:jc w:val="center"/>
              <w:rPr>
                <w:rFonts w:cs="Times New Roman"/>
                <w:sz w:val="22"/>
                <w:szCs w:val="18"/>
              </w:rPr>
            </w:pPr>
            <w:r w:rsidRPr="001F0945">
              <w:rPr>
                <w:rFonts w:cs="Times New Roman"/>
                <w:sz w:val="22"/>
                <w:szCs w:val="18"/>
              </w:rPr>
              <w:t>N</w:t>
            </w:r>
          </w:p>
        </w:tc>
        <w:tc>
          <w:tcPr>
            <w:tcW w:w="1260" w:type="dxa"/>
            <w:tcBorders>
              <w:top w:val="single" w:sz="4" w:space="0" w:color="auto"/>
              <w:bottom w:val="single" w:sz="4" w:space="0" w:color="auto"/>
            </w:tcBorders>
            <w:shd w:val="clear" w:color="auto" w:fill="auto"/>
            <w:vAlign w:val="bottom"/>
          </w:tcPr>
          <w:p w14:paraId="2EDDD4DE" w14:textId="77777777" w:rsidR="00187F04" w:rsidRPr="001F0945" w:rsidRDefault="00187F04" w:rsidP="001F0945">
            <w:pPr>
              <w:autoSpaceDE w:val="0"/>
              <w:autoSpaceDN w:val="0"/>
              <w:adjustRightInd w:val="0"/>
              <w:spacing w:after="0" w:line="320" w:lineRule="atLeast"/>
              <w:ind w:left="60" w:right="60" w:firstLine="0"/>
              <w:rPr>
                <w:rFonts w:cs="Times New Roman"/>
                <w:sz w:val="22"/>
                <w:szCs w:val="18"/>
              </w:rPr>
            </w:pPr>
            <w:r w:rsidRPr="001F0945">
              <w:rPr>
                <w:rFonts w:cs="Times New Roman"/>
                <w:sz w:val="22"/>
                <w:szCs w:val="18"/>
              </w:rPr>
              <w:t>Marginal Percentage</w:t>
            </w:r>
          </w:p>
        </w:tc>
      </w:tr>
      <w:tr w:rsidR="00187F04" w:rsidRPr="0000738A" w14:paraId="24FA2EA5" w14:textId="77777777" w:rsidTr="001F0945">
        <w:trPr>
          <w:cantSplit/>
        </w:trPr>
        <w:tc>
          <w:tcPr>
            <w:tcW w:w="0" w:type="auto"/>
            <w:vMerge w:val="restart"/>
            <w:tcBorders>
              <w:top w:val="single" w:sz="4" w:space="0" w:color="auto"/>
            </w:tcBorders>
            <w:shd w:val="clear" w:color="auto" w:fill="auto"/>
          </w:tcPr>
          <w:p w14:paraId="10462F9F" w14:textId="77777777" w:rsidR="00187F04" w:rsidRPr="001F0945" w:rsidRDefault="00187F04" w:rsidP="00187F04">
            <w:pPr>
              <w:autoSpaceDE w:val="0"/>
              <w:autoSpaceDN w:val="0"/>
              <w:adjustRightInd w:val="0"/>
              <w:spacing w:after="0" w:line="320" w:lineRule="atLeast"/>
              <w:ind w:left="60" w:right="60" w:firstLine="0"/>
              <w:rPr>
                <w:rFonts w:cs="Times New Roman"/>
                <w:sz w:val="22"/>
                <w:szCs w:val="18"/>
              </w:rPr>
            </w:pPr>
            <w:r w:rsidRPr="001F0945">
              <w:rPr>
                <w:rFonts w:cs="Times New Roman"/>
                <w:sz w:val="22"/>
                <w:szCs w:val="18"/>
              </w:rPr>
              <w:t>Participation Index</w:t>
            </w:r>
          </w:p>
        </w:tc>
        <w:tc>
          <w:tcPr>
            <w:tcW w:w="1889" w:type="dxa"/>
            <w:tcBorders>
              <w:top w:val="single" w:sz="4" w:space="0" w:color="auto"/>
            </w:tcBorders>
            <w:shd w:val="clear" w:color="auto" w:fill="auto"/>
          </w:tcPr>
          <w:p w14:paraId="6F9D9D3B" w14:textId="77777777" w:rsidR="00187F04" w:rsidRPr="001F0945" w:rsidRDefault="00187F04" w:rsidP="00187F04">
            <w:pPr>
              <w:autoSpaceDE w:val="0"/>
              <w:autoSpaceDN w:val="0"/>
              <w:adjustRightInd w:val="0"/>
              <w:spacing w:after="0" w:line="320" w:lineRule="atLeast"/>
              <w:ind w:left="60" w:right="60" w:firstLine="0"/>
              <w:rPr>
                <w:rFonts w:cs="Times New Roman"/>
                <w:sz w:val="22"/>
                <w:szCs w:val="18"/>
              </w:rPr>
            </w:pPr>
            <w:r w:rsidRPr="001F0945">
              <w:rPr>
                <w:rFonts w:cs="Times New Roman"/>
                <w:sz w:val="22"/>
                <w:szCs w:val="18"/>
              </w:rPr>
              <w:t>Non-participation</w:t>
            </w:r>
          </w:p>
        </w:tc>
        <w:tc>
          <w:tcPr>
            <w:tcW w:w="1350" w:type="dxa"/>
            <w:tcBorders>
              <w:top w:val="single" w:sz="4" w:space="0" w:color="auto"/>
            </w:tcBorders>
            <w:shd w:val="clear" w:color="auto" w:fill="auto"/>
          </w:tcPr>
          <w:p w14:paraId="0CA5E2AA"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280</w:t>
            </w:r>
          </w:p>
        </w:tc>
        <w:tc>
          <w:tcPr>
            <w:tcW w:w="1260" w:type="dxa"/>
            <w:tcBorders>
              <w:top w:val="single" w:sz="4" w:space="0" w:color="auto"/>
            </w:tcBorders>
            <w:shd w:val="clear" w:color="auto" w:fill="auto"/>
          </w:tcPr>
          <w:p w14:paraId="52F53B8B"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65.0%</w:t>
            </w:r>
          </w:p>
        </w:tc>
      </w:tr>
      <w:tr w:rsidR="00187F04" w:rsidRPr="0000738A" w14:paraId="612EA502" w14:textId="77777777" w:rsidTr="001F0945">
        <w:trPr>
          <w:cantSplit/>
        </w:trPr>
        <w:tc>
          <w:tcPr>
            <w:tcW w:w="0" w:type="auto"/>
            <w:vMerge/>
            <w:shd w:val="clear" w:color="auto" w:fill="auto"/>
          </w:tcPr>
          <w:p w14:paraId="2CDC400B" w14:textId="77777777" w:rsidR="00187F04" w:rsidRPr="001F0945" w:rsidRDefault="00187F04" w:rsidP="00C34F3A">
            <w:pPr>
              <w:autoSpaceDE w:val="0"/>
              <w:autoSpaceDN w:val="0"/>
              <w:adjustRightInd w:val="0"/>
              <w:spacing w:after="0" w:line="240" w:lineRule="auto"/>
              <w:rPr>
                <w:rFonts w:cs="Times New Roman"/>
                <w:sz w:val="22"/>
                <w:szCs w:val="18"/>
              </w:rPr>
            </w:pPr>
          </w:p>
        </w:tc>
        <w:tc>
          <w:tcPr>
            <w:tcW w:w="1889" w:type="dxa"/>
            <w:shd w:val="clear" w:color="auto" w:fill="auto"/>
          </w:tcPr>
          <w:p w14:paraId="1891A025" w14:textId="3E5ACA00" w:rsidR="00187F04" w:rsidRPr="001F0945" w:rsidRDefault="00187F04" w:rsidP="00187F04">
            <w:pPr>
              <w:autoSpaceDE w:val="0"/>
              <w:autoSpaceDN w:val="0"/>
              <w:adjustRightInd w:val="0"/>
              <w:spacing w:after="0" w:line="320" w:lineRule="atLeast"/>
              <w:ind w:left="0" w:right="60" w:firstLine="0"/>
              <w:rPr>
                <w:rFonts w:cs="Times New Roman"/>
                <w:sz w:val="22"/>
                <w:szCs w:val="18"/>
              </w:rPr>
            </w:pPr>
            <w:r w:rsidRPr="001F0945">
              <w:rPr>
                <w:rFonts w:cs="Times New Roman"/>
                <w:sz w:val="22"/>
                <w:szCs w:val="18"/>
              </w:rPr>
              <w:t xml:space="preserve"> Tokenism</w:t>
            </w:r>
          </w:p>
        </w:tc>
        <w:tc>
          <w:tcPr>
            <w:tcW w:w="1350" w:type="dxa"/>
            <w:shd w:val="clear" w:color="auto" w:fill="auto"/>
          </w:tcPr>
          <w:p w14:paraId="25B95D1F"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91</w:t>
            </w:r>
          </w:p>
        </w:tc>
        <w:tc>
          <w:tcPr>
            <w:tcW w:w="1260" w:type="dxa"/>
            <w:shd w:val="clear" w:color="auto" w:fill="auto"/>
          </w:tcPr>
          <w:p w14:paraId="53363225"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21.1%</w:t>
            </w:r>
          </w:p>
        </w:tc>
      </w:tr>
      <w:tr w:rsidR="00187F04" w:rsidRPr="0000738A" w14:paraId="35774588" w14:textId="77777777" w:rsidTr="001F0945">
        <w:trPr>
          <w:cantSplit/>
        </w:trPr>
        <w:tc>
          <w:tcPr>
            <w:tcW w:w="0" w:type="auto"/>
            <w:vMerge/>
            <w:shd w:val="clear" w:color="auto" w:fill="auto"/>
          </w:tcPr>
          <w:p w14:paraId="557D2953" w14:textId="77777777" w:rsidR="00187F04" w:rsidRPr="001F0945" w:rsidRDefault="00187F04" w:rsidP="00C34F3A">
            <w:pPr>
              <w:autoSpaceDE w:val="0"/>
              <w:autoSpaceDN w:val="0"/>
              <w:adjustRightInd w:val="0"/>
              <w:spacing w:after="0" w:line="240" w:lineRule="auto"/>
              <w:rPr>
                <w:rFonts w:cs="Times New Roman"/>
                <w:sz w:val="22"/>
                <w:szCs w:val="18"/>
              </w:rPr>
            </w:pPr>
          </w:p>
        </w:tc>
        <w:tc>
          <w:tcPr>
            <w:tcW w:w="1889" w:type="dxa"/>
            <w:shd w:val="clear" w:color="auto" w:fill="auto"/>
          </w:tcPr>
          <w:p w14:paraId="3DA728B3" w14:textId="77777777" w:rsidR="00187F04" w:rsidRPr="001F0945" w:rsidRDefault="00187F04" w:rsidP="00187F04">
            <w:pPr>
              <w:autoSpaceDE w:val="0"/>
              <w:autoSpaceDN w:val="0"/>
              <w:adjustRightInd w:val="0"/>
              <w:spacing w:after="0" w:line="320" w:lineRule="atLeast"/>
              <w:ind w:left="60" w:right="60" w:firstLine="0"/>
              <w:rPr>
                <w:rFonts w:cs="Times New Roman"/>
                <w:sz w:val="22"/>
                <w:szCs w:val="18"/>
              </w:rPr>
            </w:pPr>
            <w:r w:rsidRPr="001F0945">
              <w:rPr>
                <w:rFonts w:cs="Times New Roman"/>
                <w:sz w:val="22"/>
                <w:szCs w:val="18"/>
              </w:rPr>
              <w:t>Citizen power</w:t>
            </w:r>
          </w:p>
        </w:tc>
        <w:tc>
          <w:tcPr>
            <w:tcW w:w="1350" w:type="dxa"/>
            <w:shd w:val="clear" w:color="auto" w:fill="auto"/>
          </w:tcPr>
          <w:p w14:paraId="50D122CF"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60</w:t>
            </w:r>
          </w:p>
        </w:tc>
        <w:tc>
          <w:tcPr>
            <w:tcW w:w="1260" w:type="dxa"/>
            <w:shd w:val="clear" w:color="auto" w:fill="auto"/>
          </w:tcPr>
          <w:p w14:paraId="0231397E"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13.9%</w:t>
            </w:r>
          </w:p>
        </w:tc>
      </w:tr>
      <w:tr w:rsidR="00187F04" w:rsidRPr="0000738A" w14:paraId="522C6979" w14:textId="77777777" w:rsidTr="001F0945">
        <w:trPr>
          <w:cantSplit/>
        </w:trPr>
        <w:tc>
          <w:tcPr>
            <w:tcW w:w="0" w:type="auto"/>
            <w:vMerge w:val="restart"/>
            <w:shd w:val="clear" w:color="auto" w:fill="auto"/>
          </w:tcPr>
          <w:p w14:paraId="3BB33313" w14:textId="77777777" w:rsidR="00187F04" w:rsidRPr="001F0945" w:rsidRDefault="00187F04" w:rsidP="001F0945">
            <w:pPr>
              <w:autoSpaceDE w:val="0"/>
              <w:autoSpaceDN w:val="0"/>
              <w:adjustRightInd w:val="0"/>
              <w:spacing w:after="0" w:line="320" w:lineRule="atLeast"/>
              <w:ind w:left="60" w:right="60" w:firstLine="0"/>
              <w:rPr>
                <w:rFonts w:cs="Times New Roman"/>
                <w:sz w:val="22"/>
                <w:szCs w:val="18"/>
              </w:rPr>
            </w:pPr>
            <w:r w:rsidRPr="001F0945">
              <w:rPr>
                <w:rFonts w:cs="Times New Roman"/>
                <w:sz w:val="22"/>
                <w:szCs w:val="18"/>
              </w:rPr>
              <w:t>level of education</w:t>
            </w:r>
          </w:p>
        </w:tc>
        <w:tc>
          <w:tcPr>
            <w:tcW w:w="1889" w:type="dxa"/>
            <w:shd w:val="clear" w:color="auto" w:fill="auto"/>
          </w:tcPr>
          <w:p w14:paraId="64BB2103"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basic</w:t>
            </w:r>
          </w:p>
        </w:tc>
        <w:tc>
          <w:tcPr>
            <w:tcW w:w="1350" w:type="dxa"/>
            <w:shd w:val="clear" w:color="auto" w:fill="auto"/>
          </w:tcPr>
          <w:p w14:paraId="79EE6A5F"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293</w:t>
            </w:r>
          </w:p>
        </w:tc>
        <w:tc>
          <w:tcPr>
            <w:tcW w:w="1260" w:type="dxa"/>
            <w:shd w:val="clear" w:color="auto" w:fill="auto"/>
          </w:tcPr>
          <w:p w14:paraId="4A73A922"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68.0%</w:t>
            </w:r>
          </w:p>
        </w:tc>
      </w:tr>
      <w:tr w:rsidR="00187F04" w:rsidRPr="0000738A" w14:paraId="36366E8A" w14:textId="77777777" w:rsidTr="001F0945">
        <w:trPr>
          <w:cantSplit/>
        </w:trPr>
        <w:tc>
          <w:tcPr>
            <w:tcW w:w="0" w:type="auto"/>
            <w:vMerge/>
            <w:shd w:val="clear" w:color="auto" w:fill="auto"/>
          </w:tcPr>
          <w:p w14:paraId="0CD724EC" w14:textId="77777777" w:rsidR="00187F04" w:rsidRPr="001F0945" w:rsidRDefault="00187F04" w:rsidP="00C34F3A">
            <w:pPr>
              <w:autoSpaceDE w:val="0"/>
              <w:autoSpaceDN w:val="0"/>
              <w:adjustRightInd w:val="0"/>
              <w:spacing w:after="0" w:line="240" w:lineRule="auto"/>
              <w:rPr>
                <w:rFonts w:cs="Times New Roman"/>
                <w:sz w:val="22"/>
                <w:szCs w:val="18"/>
              </w:rPr>
            </w:pPr>
          </w:p>
        </w:tc>
        <w:tc>
          <w:tcPr>
            <w:tcW w:w="1889" w:type="dxa"/>
            <w:shd w:val="clear" w:color="auto" w:fill="auto"/>
          </w:tcPr>
          <w:p w14:paraId="34B01CAB"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secondary</w:t>
            </w:r>
          </w:p>
        </w:tc>
        <w:tc>
          <w:tcPr>
            <w:tcW w:w="1350" w:type="dxa"/>
            <w:shd w:val="clear" w:color="auto" w:fill="auto"/>
          </w:tcPr>
          <w:p w14:paraId="6348A908"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9</w:t>
            </w:r>
          </w:p>
        </w:tc>
        <w:tc>
          <w:tcPr>
            <w:tcW w:w="1260" w:type="dxa"/>
            <w:shd w:val="clear" w:color="auto" w:fill="auto"/>
          </w:tcPr>
          <w:p w14:paraId="75897ABC"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2.1%</w:t>
            </w:r>
          </w:p>
        </w:tc>
      </w:tr>
      <w:tr w:rsidR="00187F04" w:rsidRPr="0000738A" w14:paraId="5DE1152B" w14:textId="77777777" w:rsidTr="001F0945">
        <w:trPr>
          <w:cantSplit/>
        </w:trPr>
        <w:tc>
          <w:tcPr>
            <w:tcW w:w="0" w:type="auto"/>
            <w:vMerge/>
            <w:shd w:val="clear" w:color="auto" w:fill="auto"/>
          </w:tcPr>
          <w:p w14:paraId="613B81DE" w14:textId="77777777" w:rsidR="00187F04" w:rsidRPr="001F0945" w:rsidRDefault="00187F04" w:rsidP="00C34F3A">
            <w:pPr>
              <w:autoSpaceDE w:val="0"/>
              <w:autoSpaceDN w:val="0"/>
              <w:adjustRightInd w:val="0"/>
              <w:spacing w:after="0" w:line="240" w:lineRule="auto"/>
              <w:rPr>
                <w:rFonts w:cs="Times New Roman"/>
                <w:sz w:val="22"/>
                <w:szCs w:val="18"/>
              </w:rPr>
            </w:pPr>
          </w:p>
        </w:tc>
        <w:tc>
          <w:tcPr>
            <w:tcW w:w="1889" w:type="dxa"/>
            <w:shd w:val="clear" w:color="auto" w:fill="auto"/>
          </w:tcPr>
          <w:p w14:paraId="42F20467"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none</w:t>
            </w:r>
          </w:p>
        </w:tc>
        <w:tc>
          <w:tcPr>
            <w:tcW w:w="1350" w:type="dxa"/>
            <w:shd w:val="clear" w:color="auto" w:fill="auto"/>
          </w:tcPr>
          <w:p w14:paraId="599FCCB1"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129</w:t>
            </w:r>
          </w:p>
        </w:tc>
        <w:tc>
          <w:tcPr>
            <w:tcW w:w="1260" w:type="dxa"/>
            <w:shd w:val="clear" w:color="auto" w:fill="auto"/>
          </w:tcPr>
          <w:p w14:paraId="627C8401"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29.9%</w:t>
            </w:r>
          </w:p>
        </w:tc>
      </w:tr>
      <w:tr w:rsidR="00187F04" w:rsidRPr="0000738A" w14:paraId="190F37FB" w14:textId="77777777" w:rsidTr="001F0945">
        <w:trPr>
          <w:cantSplit/>
        </w:trPr>
        <w:tc>
          <w:tcPr>
            <w:tcW w:w="0" w:type="auto"/>
            <w:vMerge w:val="restart"/>
            <w:shd w:val="clear" w:color="auto" w:fill="auto"/>
          </w:tcPr>
          <w:p w14:paraId="1EF607A9" w14:textId="77777777" w:rsidR="00187F04" w:rsidRPr="001F0945" w:rsidRDefault="00187F04" w:rsidP="001F0945">
            <w:pPr>
              <w:autoSpaceDE w:val="0"/>
              <w:autoSpaceDN w:val="0"/>
              <w:adjustRightInd w:val="0"/>
              <w:spacing w:after="0" w:line="320" w:lineRule="atLeast"/>
              <w:ind w:left="60" w:right="60" w:firstLine="0"/>
              <w:rPr>
                <w:rFonts w:cs="Times New Roman"/>
                <w:sz w:val="22"/>
                <w:szCs w:val="18"/>
              </w:rPr>
            </w:pPr>
            <w:r w:rsidRPr="001F0945">
              <w:rPr>
                <w:rFonts w:cs="Times New Roman"/>
                <w:sz w:val="22"/>
                <w:szCs w:val="18"/>
              </w:rPr>
              <w:t xml:space="preserve"> belong to a group</w:t>
            </w:r>
          </w:p>
        </w:tc>
        <w:tc>
          <w:tcPr>
            <w:tcW w:w="1889" w:type="dxa"/>
            <w:shd w:val="clear" w:color="auto" w:fill="auto"/>
          </w:tcPr>
          <w:p w14:paraId="5F90AD98"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no</w:t>
            </w:r>
          </w:p>
        </w:tc>
        <w:tc>
          <w:tcPr>
            <w:tcW w:w="1350" w:type="dxa"/>
            <w:shd w:val="clear" w:color="auto" w:fill="auto"/>
          </w:tcPr>
          <w:p w14:paraId="4C6079D5"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185</w:t>
            </w:r>
          </w:p>
        </w:tc>
        <w:tc>
          <w:tcPr>
            <w:tcW w:w="1260" w:type="dxa"/>
            <w:shd w:val="clear" w:color="auto" w:fill="auto"/>
          </w:tcPr>
          <w:p w14:paraId="2C2EC383"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42.9%</w:t>
            </w:r>
          </w:p>
        </w:tc>
      </w:tr>
      <w:tr w:rsidR="00187F04" w:rsidRPr="0000738A" w14:paraId="70D5CADD" w14:textId="77777777" w:rsidTr="001F0945">
        <w:trPr>
          <w:cantSplit/>
        </w:trPr>
        <w:tc>
          <w:tcPr>
            <w:tcW w:w="0" w:type="auto"/>
            <w:vMerge/>
            <w:shd w:val="clear" w:color="auto" w:fill="auto"/>
          </w:tcPr>
          <w:p w14:paraId="77E36548" w14:textId="77777777" w:rsidR="00187F04" w:rsidRPr="001F0945" w:rsidRDefault="00187F04" w:rsidP="00C34F3A">
            <w:pPr>
              <w:autoSpaceDE w:val="0"/>
              <w:autoSpaceDN w:val="0"/>
              <w:adjustRightInd w:val="0"/>
              <w:spacing w:after="0" w:line="240" w:lineRule="auto"/>
              <w:rPr>
                <w:rFonts w:cs="Times New Roman"/>
                <w:sz w:val="22"/>
                <w:szCs w:val="18"/>
              </w:rPr>
            </w:pPr>
          </w:p>
        </w:tc>
        <w:tc>
          <w:tcPr>
            <w:tcW w:w="1889" w:type="dxa"/>
            <w:shd w:val="clear" w:color="auto" w:fill="auto"/>
          </w:tcPr>
          <w:p w14:paraId="69B177D6"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yes</w:t>
            </w:r>
          </w:p>
        </w:tc>
        <w:tc>
          <w:tcPr>
            <w:tcW w:w="1350" w:type="dxa"/>
            <w:shd w:val="clear" w:color="auto" w:fill="auto"/>
          </w:tcPr>
          <w:p w14:paraId="584F302C"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246</w:t>
            </w:r>
          </w:p>
        </w:tc>
        <w:tc>
          <w:tcPr>
            <w:tcW w:w="1260" w:type="dxa"/>
            <w:shd w:val="clear" w:color="auto" w:fill="auto"/>
          </w:tcPr>
          <w:p w14:paraId="70F7E33F"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57.1%</w:t>
            </w:r>
          </w:p>
        </w:tc>
      </w:tr>
      <w:tr w:rsidR="00187F04" w:rsidRPr="0000738A" w14:paraId="5E42AAA9" w14:textId="77777777" w:rsidTr="001F0945">
        <w:trPr>
          <w:cantSplit/>
        </w:trPr>
        <w:tc>
          <w:tcPr>
            <w:tcW w:w="3690" w:type="dxa"/>
            <w:gridSpan w:val="2"/>
            <w:shd w:val="clear" w:color="auto" w:fill="auto"/>
          </w:tcPr>
          <w:p w14:paraId="54D47E8A"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Valid</w:t>
            </w:r>
          </w:p>
        </w:tc>
        <w:tc>
          <w:tcPr>
            <w:tcW w:w="1350" w:type="dxa"/>
            <w:shd w:val="clear" w:color="auto" w:fill="auto"/>
          </w:tcPr>
          <w:p w14:paraId="77075084"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431</w:t>
            </w:r>
          </w:p>
        </w:tc>
        <w:tc>
          <w:tcPr>
            <w:tcW w:w="1260" w:type="dxa"/>
            <w:shd w:val="clear" w:color="auto" w:fill="auto"/>
          </w:tcPr>
          <w:p w14:paraId="6EA8D6BB"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100.0%</w:t>
            </w:r>
          </w:p>
        </w:tc>
      </w:tr>
      <w:tr w:rsidR="00187F04" w:rsidRPr="0000738A" w14:paraId="054ECB05" w14:textId="77777777" w:rsidTr="001F0945">
        <w:trPr>
          <w:cantSplit/>
        </w:trPr>
        <w:tc>
          <w:tcPr>
            <w:tcW w:w="3690" w:type="dxa"/>
            <w:gridSpan w:val="2"/>
            <w:tcBorders>
              <w:bottom w:val="single" w:sz="4" w:space="0" w:color="auto"/>
            </w:tcBorders>
            <w:shd w:val="clear" w:color="auto" w:fill="auto"/>
          </w:tcPr>
          <w:p w14:paraId="3E99F06F"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Missing</w:t>
            </w:r>
          </w:p>
        </w:tc>
        <w:tc>
          <w:tcPr>
            <w:tcW w:w="1350" w:type="dxa"/>
            <w:tcBorders>
              <w:bottom w:val="single" w:sz="4" w:space="0" w:color="auto"/>
            </w:tcBorders>
            <w:shd w:val="clear" w:color="auto" w:fill="auto"/>
          </w:tcPr>
          <w:p w14:paraId="32A9A067"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0</w:t>
            </w:r>
          </w:p>
        </w:tc>
        <w:tc>
          <w:tcPr>
            <w:tcW w:w="1260" w:type="dxa"/>
            <w:tcBorders>
              <w:bottom w:val="single" w:sz="4" w:space="0" w:color="auto"/>
            </w:tcBorders>
            <w:shd w:val="clear" w:color="auto" w:fill="auto"/>
            <w:vAlign w:val="center"/>
          </w:tcPr>
          <w:p w14:paraId="307B4D3C" w14:textId="77777777" w:rsidR="00187F04" w:rsidRPr="001F0945" w:rsidRDefault="00187F04" w:rsidP="00C34F3A">
            <w:pPr>
              <w:autoSpaceDE w:val="0"/>
              <w:autoSpaceDN w:val="0"/>
              <w:adjustRightInd w:val="0"/>
              <w:spacing w:after="0" w:line="240" w:lineRule="auto"/>
              <w:rPr>
                <w:rFonts w:cs="Times New Roman"/>
                <w:sz w:val="22"/>
              </w:rPr>
            </w:pPr>
          </w:p>
        </w:tc>
      </w:tr>
      <w:tr w:rsidR="00187F04" w:rsidRPr="0000738A" w14:paraId="685F2018" w14:textId="77777777" w:rsidTr="001F0945">
        <w:trPr>
          <w:cantSplit/>
        </w:trPr>
        <w:tc>
          <w:tcPr>
            <w:tcW w:w="3690" w:type="dxa"/>
            <w:gridSpan w:val="2"/>
            <w:tcBorders>
              <w:top w:val="single" w:sz="4" w:space="0" w:color="auto"/>
            </w:tcBorders>
            <w:shd w:val="clear" w:color="auto" w:fill="auto"/>
          </w:tcPr>
          <w:p w14:paraId="3ACF3896" w14:textId="77777777" w:rsidR="00187F04" w:rsidRPr="001F0945" w:rsidRDefault="00187F04" w:rsidP="00C34F3A">
            <w:pPr>
              <w:autoSpaceDE w:val="0"/>
              <w:autoSpaceDN w:val="0"/>
              <w:adjustRightInd w:val="0"/>
              <w:spacing w:after="0" w:line="320" w:lineRule="atLeast"/>
              <w:ind w:left="60" w:right="60"/>
              <w:rPr>
                <w:rFonts w:cs="Times New Roman"/>
                <w:sz w:val="22"/>
                <w:szCs w:val="18"/>
              </w:rPr>
            </w:pPr>
            <w:r w:rsidRPr="001F0945">
              <w:rPr>
                <w:rFonts w:cs="Times New Roman"/>
                <w:sz w:val="22"/>
                <w:szCs w:val="18"/>
              </w:rPr>
              <w:t>Total</w:t>
            </w:r>
          </w:p>
        </w:tc>
        <w:tc>
          <w:tcPr>
            <w:tcW w:w="1350" w:type="dxa"/>
            <w:tcBorders>
              <w:top w:val="single" w:sz="4" w:space="0" w:color="auto"/>
            </w:tcBorders>
            <w:shd w:val="clear" w:color="auto" w:fill="auto"/>
          </w:tcPr>
          <w:p w14:paraId="3ABAAE0E" w14:textId="77777777" w:rsidR="00187F04" w:rsidRPr="001F0945" w:rsidRDefault="00187F04" w:rsidP="00C34F3A">
            <w:pPr>
              <w:autoSpaceDE w:val="0"/>
              <w:autoSpaceDN w:val="0"/>
              <w:adjustRightInd w:val="0"/>
              <w:spacing w:after="0" w:line="320" w:lineRule="atLeast"/>
              <w:ind w:left="60" w:right="60"/>
              <w:jc w:val="right"/>
              <w:rPr>
                <w:rFonts w:cs="Times New Roman"/>
                <w:sz w:val="22"/>
                <w:szCs w:val="18"/>
              </w:rPr>
            </w:pPr>
            <w:r w:rsidRPr="001F0945">
              <w:rPr>
                <w:rFonts w:cs="Times New Roman"/>
                <w:sz w:val="22"/>
                <w:szCs w:val="18"/>
              </w:rPr>
              <w:t>431</w:t>
            </w:r>
          </w:p>
        </w:tc>
        <w:tc>
          <w:tcPr>
            <w:tcW w:w="1260" w:type="dxa"/>
            <w:tcBorders>
              <w:top w:val="single" w:sz="4" w:space="0" w:color="auto"/>
            </w:tcBorders>
            <w:shd w:val="clear" w:color="auto" w:fill="auto"/>
            <w:vAlign w:val="center"/>
          </w:tcPr>
          <w:p w14:paraId="26B42794" w14:textId="77777777" w:rsidR="00187F04" w:rsidRPr="001F0945" w:rsidRDefault="00187F04" w:rsidP="00C34F3A">
            <w:pPr>
              <w:autoSpaceDE w:val="0"/>
              <w:autoSpaceDN w:val="0"/>
              <w:adjustRightInd w:val="0"/>
              <w:spacing w:after="0" w:line="240" w:lineRule="auto"/>
              <w:rPr>
                <w:rFonts w:cs="Times New Roman"/>
                <w:sz w:val="22"/>
              </w:rPr>
            </w:pPr>
          </w:p>
        </w:tc>
      </w:tr>
    </w:tbl>
    <w:p w14:paraId="2B33ADFA" w14:textId="5E5CF461" w:rsidR="0024221E" w:rsidRPr="00896F08" w:rsidRDefault="0024221E" w:rsidP="00503189">
      <w:pPr>
        <w:spacing w:after="0"/>
        <w:ind w:left="0" w:firstLine="0"/>
      </w:pPr>
      <w:r>
        <w:t>Source: Field</w:t>
      </w:r>
      <w:r w:rsidR="00F07AAE">
        <w:t>work</w:t>
      </w:r>
      <w:r>
        <w:t xml:space="preserve"> (2024).</w:t>
      </w:r>
    </w:p>
    <w:p w14:paraId="0AAC0AF1" w14:textId="4671B98D" w:rsidR="00187F04" w:rsidRDefault="00503189" w:rsidP="001F0945">
      <w:pPr>
        <w:spacing w:after="0"/>
        <w:ind w:left="0" w:firstLine="0"/>
        <w:rPr>
          <w:rFonts w:cs="Times New Roman"/>
          <w:szCs w:val="24"/>
        </w:rPr>
      </w:pPr>
      <w:r>
        <w:rPr>
          <w:rFonts w:cs="Times New Roman"/>
          <w:szCs w:val="24"/>
        </w:rPr>
        <w:tab/>
      </w:r>
      <w:r w:rsidR="00CA2BDE">
        <w:rPr>
          <w:rFonts w:cs="Times New Roman"/>
          <w:szCs w:val="24"/>
        </w:rPr>
        <w:t>The case processing summary</w:t>
      </w:r>
      <w:r w:rsidR="00391088">
        <w:rPr>
          <w:rFonts w:cs="Times New Roman"/>
          <w:szCs w:val="24"/>
        </w:rPr>
        <w:t>,</w:t>
      </w:r>
      <w:r w:rsidR="00CA2BDE">
        <w:rPr>
          <w:rFonts w:cs="Times New Roman"/>
          <w:szCs w:val="24"/>
        </w:rPr>
        <w:t xml:space="preserve"> table </w:t>
      </w:r>
      <w:r w:rsidR="00391088">
        <w:rPr>
          <w:rFonts w:cs="Times New Roman"/>
          <w:szCs w:val="24"/>
        </w:rPr>
        <w:t>1</w:t>
      </w:r>
      <w:r w:rsidR="00061650">
        <w:rPr>
          <w:rFonts w:cs="Times New Roman"/>
          <w:szCs w:val="24"/>
        </w:rPr>
        <w:t>4</w:t>
      </w:r>
      <w:r w:rsidR="00391088">
        <w:rPr>
          <w:rFonts w:cs="Times New Roman"/>
          <w:szCs w:val="24"/>
        </w:rPr>
        <w:t xml:space="preserve">, </w:t>
      </w:r>
      <w:r w:rsidR="00CA2BDE">
        <w:rPr>
          <w:rFonts w:cs="Times New Roman"/>
          <w:szCs w:val="24"/>
        </w:rPr>
        <w:t>shows that the model correctly categorised</w:t>
      </w:r>
      <w:r w:rsidR="0024221E">
        <w:rPr>
          <w:rFonts w:cs="Times New Roman"/>
          <w:szCs w:val="24"/>
        </w:rPr>
        <w:t xml:space="preserve"> all the 431 respondents</w:t>
      </w:r>
      <w:r w:rsidR="00CA2BDE">
        <w:rPr>
          <w:rFonts w:cs="Times New Roman"/>
          <w:szCs w:val="24"/>
        </w:rPr>
        <w:t xml:space="preserve"> into their various levels of participation</w:t>
      </w:r>
      <w:r w:rsidR="0024221E">
        <w:rPr>
          <w:rFonts w:cs="Times New Roman"/>
          <w:szCs w:val="24"/>
        </w:rPr>
        <w:t xml:space="preserve">. This also indicated that the model </w:t>
      </w:r>
      <w:r w:rsidR="00CA2BDE">
        <w:rPr>
          <w:rFonts w:cs="Times New Roman"/>
          <w:szCs w:val="24"/>
        </w:rPr>
        <w:t>could</w:t>
      </w:r>
      <w:r w:rsidR="0024221E">
        <w:rPr>
          <w:rFonts w:cs="Times New Roman"/>
          <w:szCs w:val="24"/>
        </w:rPr>
        <w:t xml:space="preserve"> distinguish among the non-participants, tokenistic participants and participan</w:t>
      </w:r>
      <w:r>
        <w:rPr>
          <w:rFonts w:cs="Times New Roman"/>
          <w:szCs w:val="24"/>
        </w:rPr>
        <w:t xml:space="preserve">ts experiencing citizen power. </w:t>
      </w:r>
      <w:r w:rsidR="00187F04">
        <w:rPr>
          <w:rFonts w:cs="Times New Roman"/>
          <w:szCs w:val="24"/>
        </w:rPr>
        <w:t xml:space="preserve">The model further appropriately categorised the level of education of education and the </w:t>
      </w:r>
      <w:r w:rsidR="00187F04">
        <w:rPr>
          <w:rFonts w:cs="Times New Roman"/>
          <w:szCs w:val="24"/>
        </w:rPr>
        <w:lastRenderedPageBreak/>
        <w:t xml:space="preserve">farmers belonging to a group. This further indicate the appropriateness of the model. </w:t>
      </w:r>
    </w:p>
    <w:p w14:paraId="78A62649" w14:textId="4EC4D942" w:rsidR="0024221E" w:rsidRPr="00A60B75" w:rsidRDefault="0024221E" w:rsidP="00187F04">
      <w:pPr>
        <w:ind w:left="0"/>
        <w:rPr>
          <w:rFonts w:cs="Times New Roman"/>
          <w:szCs w:val="24"/>
        </w:rPr>
      </w:pPr>
      <w:r w:rsidRPr="00A60B75">
        <w:rPr>
          <w:rFonts w:cs="Times New Roman"/>
          <w:szCs w:val="24"/>
        </w:rPr>
        <w:t xml:space="preserve">The goodness of fit </w:t>
      </w:r>
      <w:r>
        <w:rPr>
          <w:rFonts w:cs="Times New Roman"/>
          <w:szCs w:val="24"/>
        </w:rPr>
        <w:t xml:space="preserve">test </w:t>
      </w:r>
      <w:r w:rsidRPr="00A60B75">
        <w:rPr>
          <w:rFonts w:cs="Times New Roman"/>
          <w:szCs w:val="24"/>
        </w:rPr>
        <w:t xml:space="preserve">indicates </w:t>
      </w:r>
      <w:proofErr w:type="gramStart"/>
      <w:r w:rsidRPr="00A60B75">
        <w:rPr>
          <w:rFonts w:cs="Times New Roman"/>
          <w:szCs w:val="24"/>
        </w:rPr>
        <w:t xml:space="preserve">whether </w:t>
      </w:r>
      <w:r w:rsidR="00CA2BDE">
        <w:rPr>
          <w:rFonts w:cs="Times New Roman"/>
          <w:szCs w:val="24"/>
        </w:rPr>
        <w:t>or not</w:t>
      </w:r>
      <w:proofErr w:type="gramEnd"/>
      <w:r w:rsidR="00CA2BDE">
        <w:rPr>
          <w:rFonts w:cs="Times New Roman"/>
          <w:szCs w:val="24"/>
        </w:rPr>
        <w:t xml:space="preserve"> the model to analyse the factors contributing to community participation in the Bobiri and Southern Scarp Forest Reserves had predictive power</w:t>
      </w:r>
      <w:r w:rsidRPr="00A60B75">
        <w:rPr>
          <w:rFonts w:cs="Times New Roman"/>
          <w:szCs w:val="24"/>
        </w:rPr>
        <w:t>.</w:t>
      </w:r>
      <w:r>
        <w:rPr>
          <w:rFonts w:cs="Times New Roman"/>
          <w:szCs w:val="24"/>
        </w:rPr>
        <w:t xml:space="preserve"> The test results are presented in Table 1</w:t>
      </w:r>
      <w:r w:rsidR="00061650">
        <w:rPr>
          <w:rFonts w:cs="Times New Roman"/>
          <w:szCs w:val="24"/>
        </w:rPr>
        <w:t>5</w:t>
      </w:r>
      <w:r>
        <w:rPr>
          <w:rFonts w:cs="Times New Roman"/>
          <w:szCs w:val="24"/>
        </w:rPr>
        <w:t>.</w:t>
      </w:r>
    </w:p>
    <w:tbl>
      <w:tblPr>
        <w:tblW w:w="5000" w:type="pct"/>
        <w:tblCellMar>
          <w:left w:w="0" w:type="dxa"/>
          <w:right w:w="0" w:type="dxa"/>
        </w:tblCellMar>
        <w:tblLook w:val="0000" w:firstRow="0" w:lastRow="0" w:firstColumn="0" w:lastColumn="0" w:noHBand="0" w:noVBand="0"/>
      </w:tblPr>
      <w:tblGrid>
        <w:gridCol w:w="1855"/>
        <w:gridCol w:w="2176"/>
        <w:gridCol w:w="1777"/>
        <w:gridCol w:w="1778"/>
      </w:tblGrid>
      <w:tr w:rsidR="0024221E" w:rsidRPr="00503189" w14:paraId="3CC36A90" w14:textId="77777777" w:rsidTr="00503189">
        <w:trPr>
          <w:cantSplit/>
        </w:trPr>
        <w:tc>
          <w:tcPr>
            <w:tcW w:w="5000" w:type="pct"/>
            <w:gridSpan w:val="4"/>
            <w:shd w:val="clear" w:color="auto" w:fill="auto"/>
            <w:vAlign w:val="center"/>
          </w:tcPr>
          <w:p w14:paraId="1917AFE4" w14:textId="673D2237" w:rsidR="0024221E" w:rsidRPr="00503189" w:rsidRDefault="0024221E" w:rsidP="001F0945">
            <w:pPr>
              <w:pStyle w:val="LT"/>
            </w:pPr>
            <w:bookmarkStart w:id="447" w:name="_Toc197335678"/>
            <w:r w:rsidRPr="00503189">
              <w:t>Table 1</w:t>
            </w:r>
            <w:r w:rsidR="00061650">
              <w:t>5</w:t>
            </w:r>
            <w:r w:rsidRPr="00503189">
              <w:t>: Goodness-of-Fit</w:t>
            </w:r>
            <w:bookmarkEnd w:id="447"/>
          </w:p>
        </w:tc>
      </w:tr>
      <w:tr w:rsidR="0024221E" w:rsidRPr="00503189" w14:paraId="02919CA4" w14:textId="77777777" w:rsidTr="00503189">
        <w:trPr>
          <w:cantSplit/>
        </w:trPr>
        <w:tc>
          <w:tcPr>
            <w:tcW w:w="1223" w:type="pct"/>
            <w:tcBorders>
              <w:top w:val="single" w:sz="4" w:space="0" w:color="auto"/>
              <w:bottom w:val="single" w:sz="4" w:space="0" w:color="auto"/>
            </w:tcBorders>
            <w:shd w:val="clear" w:color="auto" w:fill="auto"/>
            <w:vAlign w:val="bottom"/>
          </w:tcPr>
          <w:p w14:paraId="2FDBDAA6" w14:textId="77777777" w:rsidR="0024221E" w:rsidRPr="00503189" w:rsidRDefault="0024221E" w:rsidP="00503189">
            <w:pPr>
              <w:autoSpaceDE w:val="0"/>
              <w:autoSpaceDN w:val="0"/>
              <w:adjustRightInd w:val="0"/>
              <w:spacing w:after="0" w:line="360" w:lineRule="auto"/>
              <w:ind w:left="0" w:firstLine="0"/>
              <w:rPr>
                <w:rFonts w:cs="Times New Roman"/>
                <w:szCs w:val="24"/>
              </w:rPr>
            </w:pPr>
          </w:p>
        </w:tc>
        <w:tc>
          <w:tcPr>
            <w:tcW w:w="1434" w:type="pct"/>
            <w:tcBorders>
              <w:top w:val="single" w:sz="4" w:space="0" w:color="auto"/>
              <w:bottom w:val="single" w:sz="4" w:space="0" w:color="auto"/>
            </w:tcBorders>
            <w:shd w:val="clear" w:color="auto" w:fill="auto"/>
            <w:vAlign w:val="bottom"/>
          </w:tcPr>
          <w:p w14:paraId="205FDEF5"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Chi-Square</w:t>
            </w:r>
          </w:p>
        </w:tc>
        <w:tc>
          <w:tcPr>
            <w:tcW w:w="1171" w:type="pct"/>
            <w:tcBorders>
              <w:top w:val="single" w:sz="4" w:space="0" w:color="auto"/>
              <w:bottom w:val="single" w:sz="4" w:space="0" w:color="auto"/>
            </w:tcBorders>
            <w:shd w:val="clear" w:color="auto" w:fill="auto"/>
            <w:vAlign w:val="bottom"/>
          </w:tcPr>
          <w:p w14:paraId="18F92FE1"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proofErr w:type="spellStart"/>
            <w:r w:rsidRPr="00503189">
              <w:rPr>
                <w:rFonts w:cs="Times New Roman"/>
                <w:szCs w:val="24"/>
              </w:rPr>
              <w:t>df</w:t>
            </w:r>
            <w:proofErr w:type="spellEnd"/>
          </w:p>
        </w:tc>
        <w:tc>
          <w:tcPr>
            <w:tcW w:w="1172" w:type="pct"/>
            <w:tcBorders>
              <w:top w:val="single" w:sz="4" w:space="0" w:color="auto"/>
              <w:bottom w:val="single" w:sz="4" w:space="0" w:color="auto"/>
            </w:tcBorders>
            <w:shd w:val="clear" w:color="auto" w:fill="auto"/>
            <w:vAlign w:val="bottom"/>
          </w:tcPr>
          <w:p w14:paraId="2AAE7A2B"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Sig.</w:t>
            </w:r>
          </w:p>
        </w:tc>
      </w:tr>
      <w:tr w:rsidR="0024221E" w:rsidRPr="00503189" w14:paraId="4C0D7FB6" w14:textId="77777777" w:rsidTr="00503189">
        <w:trPr>
          <w:cantSplit/>
        </w:trPr>
        <w:tc>
          <w:tcPr>
            <w:tcW w:w="1223" w:type="pct"/>
            <w:tcBorders>
              <w:top w:val="single" w:sz="4" w:space="0" w:color="auto"/>
            </w:tcBorders>
            <w:shd w:val="clear" w:color="auto" w:fill="auto"/>
          </w:tcPr>
          <w:p w14:paraId="2732EAF7" w14:textId="77777777" w:rsidR="0024221E" w:rsidRPr="00503189" w:rsidRDefault="0024221E" w:rsidP="00503189">
            <w:pPr>
              <w:autoSpaceDE w:val="0"/>
              <w:autoSpaceDN w:val="0"/>
              <w:adjustRightInd w:val="0"/>
              <w:spacing w:after="0" w:line="360" w:lineRule="auto"/>
              <w:ind w:left="0" w:right="60" w:firstLine="0"/>
              <w:rPr>
                <w:rFonts w:cs="Times New Roman"/>
                <w:szCs w:val="24"/>
              </w:rPr>
            </w:pPr>
            <w:r w:rsidRPr="00503189">
              <w:rPr>
                <w:rFonts w:cs="Times New Roman"/>
                <w:szCs w:val="24"/>
              </w:rPr>
              <w:t>Pearson</w:t>
            </w:r>
          </w:p>
        </w:tc>
        <w:tc>
          <w:tcPr>
            <w:tcW w:w="1434" w:type="pct"/>
            <w:tcBorders>
              <w:top w:val="single" w:sz="4" w:space="0" w:color="auto"/>
            </w:tcBorders>
            <w:shd w:val="clear" w:color="auto" w:fill="auto"/>
          </w:tcPr>
          <w:p w14:paraId="676CBFBA" w14:textId="4636B832"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5</w:t>
            </w:r>
            <w:r w:rsidR="00187F04">
              <w:rPr>
                <w:rFonts w:cs="Times New Roman"/>
                <w:szCs w:val="24"/>
              </w:rPr>
              <w:t>05</w:t>
            </w:r>
            <w:r w:rsidRPr="00503189">
              <w:rPr>
                <w:rFonts w:cs="Times New Roman"/>
                <w:szCs w:val="24"/>
              </w:rPr>
              <w:t>.</w:t>
            </w:r>
            <w:r w:rsidR="00187F04">
              <w:rPr>
                <w:rFonts w:cs="Times New Roman"/>
                <w:szCs w:val="24"/>
              </w:rPr>
              <w:t>717</w:t>
            </w:r>
          </w:p>
        </w:tc>
        <w:tc>
          <w:tcPr>
            <w:tcW w:w="1171" w:type="pct"/>
            <w:tcBorders>
              <w:top w:val="single" w:sz="4" w:space="0" w:color="auto"/>
            </w:tcBorders>
            <w:shd w:val="clear" w:color="auto" w:fill="auto"/>
          </w:tcPr>
          <w:p w14:paraId="520423AD"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146</w:t>
            </w:r>
          </w:p>
        </w:tc>
        <w:tc>
          <w:tcPr>
            <w:tcW w:w="1172" w:type="pct"/>
            <w:tcBorders>
              <w:top w:val="single" w:sz="4" w:space="0" w:color="auto"/>
            </w:tcBorders>
            <w:shd w:val="clear" w:color="auto" w:fill="auto"/>
          </w:tcPr>
          <w:p w14:paraId="03D98D47"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.000</w:t>
            </w:r>
          </w:p>
        </w:tc>
      </w:tr>
      <w:tr w:rsidR="0024221E" w:rsidRPr="00503189" w14:paraId="4F7B6E8F" w14:textId="77777777" w:rsidTr="00503189">
        <w:trPr>
          <w:cantSplit/>
        </w:trPr>
        <w:tc>
          <w:tcPr>
            <w:tcW w:w="1223" w:type="pct"/>
            <w:tcBorders>
              <w:bottom w:val="single" w:sz="4" w:space="0" w:color="auto"/>
            </w:tcBorders>
            <w:shd w:val="clear" w:color="auto" w:fill="auto"/>
          </w:tcPr>
          <w:p w14:paraId="3CE93552" w14:textId="77777777" w:rsidR="0024221E" w:rsidRPr="00503189" w:rsidRDefault="0024221E" w:rsidP="00503189">
            <w:pPr>
              <w:autoSpaceDE w:val="0"/>
              <w:autoSpaceDN w:val="0"/>
              <w:adjustRightInd w:val="0"/>
              <w:spacing w:after="0" w:line="360" w:lineRule="auto"/>
              <w:ind w:left="0" w:right="60" w:firstLine="0"/>
              <w:rPr>
                <w:rFonts w:cs="Times New Roman"/>
                <w:szCs w:val="24"/>
              </w:rPr>
            </w:pPr>
            <w:r w:rsidRPr="00503189">
              <w:rPr>
                <w:rFonts w:cs="Times New Roman"/>
                <w:szCs w:val="24"/>
              </w:rPr>
              <w:t>Deviance</w:t>
            </w:r>
          </w:p>
        </w:tc>
        <w:tc>
          <w:tcPr>
            <w:tcW w:w="1434" w:type="pct"/>
            <w:tcBorders>
              <w:bottom w:val="single" w:sz="4" w:space="0" w:color="auto"/>
            </w:tcBorders>
            <w:shd w:val="clear" w:color="auto" w:fill="auto"/>
          </w:tcPr>
          <w:p w14:paraId="59AF5A36"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299.164</w:t>
            </w:r>
          </w:p>
        </w:tc>
        <w:tc>
          <w:tcPr>
            <w:tcW w:w="1171" w:type="pct"/>
            <w:tcBorders>
              <w:bottom w:val="single" w:sz="4" w:space="0" w:color="auto"/>
            </w:tcBorders>
            <w:shd w:val="clear" w:color="auto" w:fill="auto"/>
          </w:tcPr>
          <w:p w14:paraId="3724B823"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146</w:t>
            </w:r>
          </w:p>
        </w:tc>
        <w:tc>
          <w:tcPr>
            <w:tcW w:w="1172" w:type="pct"/>
            <w:tcBorders>
              <w:bottom w:val="single" w:sz="4" w:space="0" w:color="auto"/>
            </w:tcBorders>
            <w:shd w:val="clear" w:color="auto" w:fill="auto"/>
          </w:tcPr>
          <w:p w14:paraId="16B8ED7C" w14:textId="77777777" w:rsidR="0024221E" w:rsidRPr="00503189" w:rsidRDefault="0024221E" w:rsidP="00503189">
            <w:pPr>
              <w:autoSpaceDE w:val="0"/>
              <w:autoSpaceDN w:val="0"/>
              <w:adjustRightInd w:val="0"/>
              <w:spacing w:after="0" w:line="360" w:lineRule="auto"/>
              <w:ind w:left="0" w:right="60" w:firstLine="0"/>
              <w:jc w:val="center"/>
              <w:rPr>
                <w:rFonts w:cs="Times New Roman"/>
                <w:szCs w:val="24"/>
              </w:rPr>
            </w:pPr>
            <w:r w:rsidRPr="00503189">
              <w:rPr>
                <w:rFonts w:cs="Times New Roman"/>
                <w:szCs w:val="24"/>
              </w:rPr>
              <w:t>.000</w:t>
            </w:r>
          </w:p>
        </w:tc>
      </w:tr>
    </w:tbl>
    <w:p w14:paraId="4D4D4CD9" w14:textId="2076AFF9" w:rsidR="0024221E" w:rsidRPr="00A60B75" w:rsidRDefault="0024221E" w:rsidP="00772DAC">
      <w:pPr>
        <w:autoSpaceDE w:val="0"/>
        <w:autoSpaceDN w:val="0"/>
        <w:adjustRightInd w:val="0"/>
        <w:spacing w:after="0"/>
        <w:ind w:left="0" w:firstLine="0"/>
        <w:rPr>
          <w:rFonts w:cs="Times New Roman"/>
          <w:szCs w:val="24"/>
        </w:rPr>
      </w:pPr>
      <w:r>
        <w:rPr>
          <w:rFonts w:cs="Times New Roman"/>
          <w:szCs w:val="24"/>
        </w:rPr>
        <w:t>Source: Field</w:t>
      </w:r>
      <w:r w:rsidR="00F07AAE">
        <w:rPr>
          <w:rFonts w:cs="Times New Roman"/>
          <w:szCs w:val="24"/>
        </w:rPr>
        <w:t>work</w:t>
      </w:r>
      <w:r>
        <w:rPr>
          <w:rFonts w:cs="Times New Roman"/>
          <w:szCs w:val="24"/>
        </w:rPr>
        <w:t xml:space="preserve"> (2024).</w:t>
      </w:r>
    </w:p>
    <w:p w14:paraId="298A0610" w14:textId="0225FCAB" w:rsidR="0024221E" w:rsidRPr="001B6C12" w:rsidRDefault="00503189" w:rsidP="00503189">
      <w:pPr>
        <w:ind w:left="0" w:firstLine="0"/>
        <w:rPr>
          <w:rFonts w:cs="Times New Roman"/>
          <w:szCs w:val="24"/>
        </w:rPr>
      </w:pPr>
      <w:r>
        <w:rPr>
          <w:rFonts w:cs="Times New Roman"/>
          <w:szCs w:val="24"/>
        </w:rPr>
        <w:tab/>
      </w:r>
      <w:r w:rsidR="0024221E">
        <w:rPr>
          <w:rFonts w:cs="Times New Roman"/>
          <w:szCs w:val="24"/>
        </w:rPr>
        <w:t>From Table 1</w:t>
      </w:r>
      <w:r w:rsidR="00061650">
        <w:rPr>
          <w:rFonts w:cs="Times New Roman"/>
          <w:szCs w:val="24"/>
        </w:rPr>
        <w:t>5</w:t>
      </w:r>
      <w:r w:rsidR="0024221E">
        <w:rPr>
          <w:rFonts w:cs="Times New Roman"/>
          <w:szCs w:val="24"/>
        </w:rPr>
        <w:t xml:space="preserve">, the test revealed Pearson and Deviance </w:t>
      </w:r>
      <w:r w:rsidR="0024221E" w:rsidRPr="00A60B75">
        <w:rPr>
          <w:rFonts w:cs="Times New Roman"/>
          <w:szCs w:val="24"/>
        </w:rPr>
        <w:t>chi-square value</w:t>
      </w:r>
      <w:r w:rsidR="0024221E">
        <w:rPr>
          <w:rFonts w:cs="Times New Roman"/>
          <w:szCs w:val="24"/>
        </w:rPr>
        <w:t>s</w:t>
      </w:r>
      <w:r w:rsidR="0024221E" w:rsidRPr="00A60B75">
        <w:rPr>
          <w:rFonts w:cs="Times New Roman"/>
          <w:szCs w:val="24"/>
        </w:rPr>
        <w:t xml:space="preserve"> of </w:t>
      </w:r>
      <w:r w:rsidR="0024221E">
        <w:rPr>
          <w:rFonts w:cs="Times New Roman"/>
          <w:szCs w:val="24"/>
        </w:rPr>
        <w:t>589.466 and 299.164</w:t>
      </w:r>
      <w:r w:rsidR="00CA2BDE">
        <w:rPr>
          <w:rFonts w:cs="Times New Roman"/>
          <w:szCs w:val="24"/>
        </w:rPr>
        <w:t>,</w:t>
      </w:r>
      <w:r w:rsidR="0024221E">
        <w:rPr>
          <w:rFonts w:cs="Times New Roman"/>
          <w:szCs w:val="24"/>
        </w:rPr>
        <w:t xml:space="preserve"> respectively</w:t>
      </w:r>
      <w:r w:rsidR="0024221E" w:rsidRPr="00A60B75">
        <w:rPr>
          <w:rFonts w:cs="Times New Roman"/>
          <w:szCs w:val="24"/>
        </w:rPr>
        <w:t xml:space="preserve"> </w:t>
      </w:r>
      <w:r w:rsidR="0024221E">
        <w:rPr>
          <w:rFonts w:cs="Times New Roman"/>
          <w:szCs w:val="24"/>
        </w:rPr>
        <w:t xml:space="preserve">and </w:t>
      </w:r>
      <w:r w:rsidR="0024221E" w:rsidRPr="00A60B75">
        <w:rPr>
          <w:rFonts w:cs="Times New Roman"/>
          <w:szCs w:val="24"/>
        </w:rPr>
        <w:t>a significance level of .000</w:t>
      </w:r>
      <w:r w:rsidR="00CA2BDE">
        <w:rPr>
          <w:rFonts w:cs="Times New Roman"/>
          <w:szCs w:val="24"/>
        </w:rPr>
        <w:t>,</w:t>
      </w:r>
      <w:r w:rsidR="0024221E" w:rsidRPr="00A60B75">
        <w:rPr>
          <w:rFonts w:cs="Times New Roman"/>
          <w:szCs w:val="24"/>
        </w:rPr>
        <w:t xml:space="preserve"> </w:t>
      </w:r>
      <w:r w:rsidR="0024221E">
        <w:rPr>
          <w:rFonts w:cs="Times New Roman"/>
          <w:szCs w:val="24"/>
        </w:rPr>
        <w:t xml:space="preserve">each </w:t>
      </w:r>
      <w:r w:rsidR="0024221E" w:rsidRPr="00A60B75">
        <w:rPr>
          <w:rFonts w:cs="Times New Roman"/>
          <w:szCs w:val="24"/>
        </w:rPr>
        <w:t>larger than .</w:t>
      </w:r>
      <w:r w:rsidR="00566F1D" w:rsidRPr="00A60B75">
        <w:rPr>
          <w:rFonts w:cs="Times New Roman"/>
          <w:szCs w:val="24"/>
        </w:rPr>
        <w:t>05</w:t>
      </w:r>
      <w:r w:rsidR="00566F1D">
        <w:rPr>
          <w:rFonts w:cs="Times New Roman"/>
          <w:szCs w:val="24"/>
        </w:rPr>
        <w:t>, indicating</w:t>
      </w:r>
      <w:r w:rsidR="0024221E">
        <w:rPr>
          <w:rFonts w:cs="Times New Roman"/>
          <w:szCs w:val="24"/>
        </w:rPr>
        <w:t xml:space="preserve"> that</w:t>
      </w:r>
      <w:r w:rsidR="0024221E" w:rsidRPr="00A60B75">
        <w:rPr>
          <w:rFonts w:cs="Times New Roman"/>
          <w:szCs w:val="24"/>
        </w:rPr>
        <w:t xml:space="preserve"> the model </w:t>
      </w:r>
      <w:r w:rsidR="0024221E">
        <w:rPr>
          <w:rFonts w:cs="Times New Roman"/>
          <w:szCs w:val="24"/>
        </w:rPr>
        <w:t>h</w:t>
      </w:r>
      <w:r>
        <w:rPr>
          <w:rFonts w:cs="Times New Roman"/>
          <w:szCs w:val="24"/>
        </w:rPr>
        <w:t xml:space="preserve">ad predictive power. </w:t>
      </w:r>
      <w:r w:rsidR="0024221E" w:rsidRPr="00A60B75">
        <w:rPr>
          <w:rFonts w:cs="Times New Roman"/>
          <w:szCs w:val="24"/>
        </w:rPr>
        <w:t xml:space="preserve">The study </w:t>
      </w:r>
      <w:r w:rsidR="00CA2BDE">
        <w:rPr>
          <w:rFonts w:cs="Times New Roman"/>
          <w:szCs w:val="24"/>
        </w:rPr>
        <w:t>further determined</w:t>
      </w:r>
      <w:r w:rsidR="0024221E" w:rsidRPr="00A60B75">
        <w:rPr>
          <w:rFonts w:cs="Times New Roman"/>
          <w:szCs w:val="24"/>
        </w:rPr>
        <w:t xml:space="preserve"> the amount of variation in the dependent variable explained by the model with the help of the Cox &amp; Snell R Square, the Nagelkerke R Square and the McFadden R Square. The results </w:t>
      </w:r>
      <w:r w:rsidR="0024221E">
        <w:rPr>
          <w:rFonts w:cs="Times New Roman"/>
          <w:szCs w:val="24"/>
        </w:rPr>
        <w:t>are</w:t>
      </w:r>
      <w:r w:rsidR="0024221E" w:rsidRPr="00A60B75">
        <w:rPr>
          <w:rFonts w:cs="Times New Roman"/>
          <w:szCs w:val="24"/>
        </w:rPr>
        <w:t xml:space="preserve"> presented in </w:t>
      </w:r>
      <w:r w:rsidR="0024221E">
        <w:rPr>
          <w:rFonts w:cs="Times New Roman"/>
          <w:szCs w:val="24"/>
        </w:rPr>
        <w:t>T</w:t>
      </w:r>
      <w:r w:rsidR="0024221E" w:rsidRPr="00A60B75">
        <w:rPr>
          <w:rFonts w:cs="Times New Roman"/>
          <w:szCs w:val="24"/>
        </w:rPr>
        <w:t>able</w:t>
      </w:r>
      <w:r w:rsidR="0024221E">
        <w:rPr>
          <w:rFonts w:cs="Times New Roman"/>
          <w:szCs w:val="24"/>
        </w:rPr>
        <w:t xml:space="preserve"> 1</w:t>
      </w:r>
      <w:r w:rsidR="00061650">
        <w:rPr>
          <w:rFonts w:cs="Times New Roman"/>
          <w:szCs w:val="24"/>
        </w:rPr>
        <w:t>6</w:t>
      </w:r>
      <w:r w:rsidR="0024221E">
        <w:rPr>
          <w:rFonts w:cs="Times New Roman"/>
          <w:szCs w:val="24"/>
        </w:rPr>
        <w:t>.</w:t>
      </w:r>
      <w:r w:rsidR="0024221E" w:rsidRPr="00A60B75">
        <w:rPr>
          <w:rFonts w:cs="Times New Roman"/>
          <w:szCs w:val="24"/>
        </w:rPr>
        <w:t xml:space="preserve"> </w:t>
      </w:r>
    </w:p>
    <w:tbl>
      <w:tblPr>
        <w:tblW w:w="5000" w:type="pct"/>
        <w:tblCellMar>
          <w:left w:w="0" w:type="dxa"/>
          <w:right w:w="0" w:type="dxa"/>
        </w:tblCellMar>
        <w:tblLook w:val="0000" w:firstRow="0" w:lastRow="0" w:firstColumn="0" w:lastColumn="0" w:noHBand="0" w:noVBand="0"/>
      </w:tblPr>
      <w:tblGrid>
        <w:gridCol w:w="4450"/>
        <w:gridCol w:w="3136"/>
      </w:tblGrid>
      <w:tr w:rsidR="0024221E" w:rsidRPr="00503189" w14:paraId="2D5E394E" w14:textId="77777777" w:rsidTr="00503189">
        <w:trPr>
          <w:cantSplit/>
        </w:trPr>
        <w:tc>
          <w:tcPr>
            <w:tcW w:w="5000" w:type="pct"/>
            <w:gridSpan w:val="2"/>
            <w:tcBorders>
              <w:bottom w:val="single" w:sz="4" w:space="0" w:color="auto"/>
            </w:tcBorders>
            <w:shd w:val="clear" w:color="auto" w:fill="auto"/>
            <w:vAlign w:val="center"/>
          </w:tcPr>
          <w:p w14:paraId="2F175680" w14:textId="68F5AE99" w:rsidR="0024221E" w:rsidRPr="006316EB" w:rsidRDefault="0024221E" w:rsidP="001F0945">
            <w:pPr>
              <w:pStyle w:val="LT"/>
            </w:pPr>
            <w:bookmarkStart w:id="448" w:name="_Toc197335679"/>
            <w:r w:rsidRPr="006316EB">
              <w:t>Table 1</w:t>
            </w:r>
            <w:r w:rsidR="00061650">
              <w:t>6</w:t>
            </w:r>
            <w:r w:rsidRPr="006316EB">
              <w:t>: Pseudo R-Square</w:t>
            </w:r>
            <w:bookmarkEnd w:id="448"/>
          </w:p>
        </w:tc>
      </w:tr>
      <w:tr w:rsidR="0024221E" w:rsidRPr="00503189" w14:paraId="2FCF1005" w14:textId="77777777" w:rsidTr="00503189">
        <w:trPr>
          <w:cantSplit/>
        </w:trPr>
        <w:tc>
          <w:tcPr>
            <w:tcW w:w="2933" w:type="pct"/>
            <w:tcBorders>
              <w:top w:val="single" w:sz="4" w:space="0" w:color="auto"/>
            </w:tcBorders>
            <w:shd w:val="clear" w:color="auto" w:fill="auto"/>
          </w:tcPr>
          <w:p w14:paraId="12C91FC8" w14:textId="77777777" w:rsidR="0024221E" w:rsidRPr="00503189" w:rsidRDefault="0024221E" w:rsidP="00503189">
            <w:pPr>
              <w:autoSpaceDE w:val="0"/>
              <w:autoSpaceDN w:val="0"/>
              <w:adjustRightInd w:val="0"/>
              <w:spacing w:after="0" w:line="360" w:lineRule="auto"/>
              <w:ind w:left="0" w:right="60" w:firstLine="0"/>
              <w:rPr>
                <w:rFonts w:cs="Times New Roman"/>
                <w:szCs w:val="24"/>
              </w:rPr>
            </w:pPr>
            <w:r w:rsidRPr="00503189">
              <w:rPr>
                <w:rFonts w:cs="Times New Roman"/>
                <w:szCs w:val="24"/>
              </w:rPr>
              <w:t>Cox and Snell</w:t>
            </w:r>
          </w:p>
        </w:tc>
        <w:tc>
          <w:tcPr>
            <w:tcW w:w="2067" w:type="pct"/>
            <w:tcBorders>
              <w:top w:val="single" w:sz="4" w:space="0" w:color="auto"/>
            </w:tcBorders>
            <w:shd w:val="clear" w:color="auto" w:fill="auto"/>
          </w:tcPr>
          <w:p w14:paraId="48D50935" w14:textId="0649443C" w:rsidR="0024221E" w:rsidRPr="00503189" w:rsidRDefault="0024221E" w:rsidP="00503189">
            <w:pPr>
              <w:autoSpaceDE w:val="0"/>
              <w:autoSpaceDN w:val="0"/>
              <w:adjustRightInd w:val="0"/>
              <w:spacing w:after="0" w:line="360" w:lineRule="auto"/>
              <w:ind w:left="0" w:right="60" w:firstLine="0"/>
              <w:jc w:val="right"/>
              <w:rPr>
                <w:rFonts w:cs="Times New Roman"/>
                <w:szCs w:val="24"/>
              </w:rPr>
            </w:pPr>
            <w:r w:rsidRPr="00503189">
              <w:rPr>
                <w:rFonts w:cs="Times New Roman"/>
                <w:szCs w:val="24"/>
              </w:rPr>
              <w:t>.</w:t>
            </w:r>
            <w:r w:rsidR="00C83A23">
              <w:rPr>
                <w:rFonts w:cs="Times New Roman"/>
                <w:szCs w:val="24"/>
              </w:rPr>
              <w:t>3</w:t>
            </w:r>
            <w:r w:rsidRPr="00503189">
              <w:rPr>
                <w:rFonts w:cs="Times New Roman"/>
                <w:szCs w:val="24"/>
              </w:rPr>
              <w:t>9</w:t>
            </w:r>
            <w:r w:rsidR="00C83A23">
              <w:rPr>
                <w:rFonts w:cs="Times New Roman"/>
                <w:szCs w:val="24"/>
              </w:rPr>
              <w:t>4</w:t>
            </w:r>
          </w:p>
        </w:tc>
      </w:tr>
      <w:tr w:rsidR="0024221E" w:rsidRPr="00503189" w14:paraId="6A46FBDD" w14:textId="77777777" w:rsidTr="00503189">
        <w:trPr>
          <w:cantSplit/>
        </w:trPr>
        <w:tc>
          <w:tcPr>
            <w:tcW w:w="2933" w:type="pct"/>
            <w:shd w:val="clear" w:color="auto" w:fill="auto"/>
          </w:tcPr>
          <w:p w14:paraId="35A65A85" w14:textId="77777777" w:rsidR="0024221E" w:rsidRPr="00503189" w:rsidRDefault="0024221E" w:rsidP="00503189">
            <w:pPr>
              <w:autoSpaceDE w:val="0"/>
              <w:autoSpaceDN w:val="0"/>
              <w:adjustRightInd w:val="0"/>
              <w:spacing w:after="0" w:line="360" w:lineRule="auto"/>
              <w:ind w:left="0" w:right="60" w:firstLine="0"/>
              <w:rPr>
                <w:rFonts w:cs="Times New Roman"/>
                <w:szCs w:val="24"/>
              </w:rPr>
            </w:pPr>
            <w:r w:rsidRPr="00503189">
              <w:rPr>
                <w:rFonts w:cs="Times New Roman"/>
                <w:szCs w:val="24"/>
              </w:rPr>
              <w:t>Nagelkerke</w:t>
            </w:r>
          </w:p>
        </w:tc>
        <w:tc>
          <w:tcPr>
            <w:tcW w:w="2067" w:type="pct"/>
            <w:shd w:val="clear" w:color="auto" w:fill="auto"/>
          </w:tcPr>
          <w:p w14:paraId="49EB7DD4" w14:textId="030FD0FF" w:rsidR="0024221E" w:rsidRPr="00503189" w:rsidRDefault="0024221E" w:rsidP="00503189">
            <w:pPr>
              <w:autoSpaceDE w:val="0"/>
              <w:autoSpaceDN w:val="0"/>
              <w:adjustRightInd w:val="0"/>
              <w:spacing w:after="0" w:line="360" w:lineRule="auto"/>
              <w:ind w:left="0" w:right="60" w:firstLine="0"/>
              <w:jc w:val="right"/>
              <w:rPr>
                <w:rFonts w:cs="Times New Roman"/>
                <w:szCs w:val="24"/>
              </w:rPr>
            </w:pPr>
            <w:r w:rsidRPr="00503189">
              <w:rPr>
                <w:rFonts w:cs="Times New Roman"/>
                <w:szCs w:val="24"/>
              </w:rPr>
              <w:t>.4</w:t>
            </w:r>
            <w:r w:rsidR="00C83A23">
              <w:rPr>
                <w:rFonts w:cs="Times New Roman"/>
                <w:szCs w:val="24"/>
              </w:rPr>
              <w:t>76</w:t>
            </w:r>
          </w:p>
        </w:tc>
      </w:tr>
      <w:tr w:rsidR="0024221E" w:rsidRPr="00503189" w14:paraId="15825A70" w14:textId="77777777" w:rsidTr="00503189">
        <w:trPr>
          <w:cantSplit/>
        </w:trPr>
        <w:tc>
          <w:tcPr>
            <w:tcW w:w="2933" w:type="pct"/>
            <w:tcBorders>
              <w:bottom w:val="single" w:sz="4" w:space="0" w:color="auto"/>
            </w:tcBorders>
            <w:shd w:val="clear" w:color="auto" w:fill="auto"/>
          </w:tcPr>
          <w:p w14:paraId="403942EC" w14:textId="77777777" w:rsidR="0024221E" w:rsidRPr="00503189" w:rsidRDefault="0024221E" w:rsidP="00503189">
            <w:pPr>
              <w:autoSpaceDE w:val="0"/>
              <w:autoSpaceDN w:val="0"/>
              <w:adjustRightInd w:val="0"/>
              <w:spacing w:after="0" w:line="360" w:lineRule="auto"/>
              <w:ind w:left="0" w:right="60" w:firstLine="0"/>
              <w:rPr>
                <w:rFonts w:cs="Times New Roman"/>
                <w:szCs w:val="24"/>
              </w:rPr>
            </w:pPr>
            <w:r w:rsidRPr="00503189">
              <w:rPr>
                <w:rFonts w:cs="Times New Roman"/>
                <w:szCs w:val="24"/>
              </w:rPr>
              <w:t>McFadden</w:t>
            </w:r>
          </w:p>
        </w:tc>
        <w:tc>
          <w:tcPr>
            <w:tcW w:w="2067" w:type="pct"/>
            <w:tcBorders>
              <w:bottom w:val="single" w:sz="4" w:space="0" w:color="auto"/>
            </w:tcBorders>
            <w:shd w:val="clear" w:color="auto" w:fill="auto"/>
          </w:tcPr>
          <w:p w14:paraId="6FC93850" w14:textId="6641DFA9" w:rsidR="0024221E" w:rsidRPr="00503189" w:rsidRDefault="0024221E" w:rsidP="00503189">
            <w:pPr>
              <w:autoSpaceDE w:val="0"/>
              <w:autoSpaceDN w:val="0"/>
              <w:adjustRightInd w:val="0"/>
              <w:spacing w:after="0" w:line="360" w:lineRule="auto"/>
              <w:ind w:left="0" w:right="60" w:firstLine="0"/>
              <w:jc w:val="right"/>
              <w:rPr>
                <w:rFonts w:cs="Times New Roman"/>
                <w:szCs w:val="24"/>
              </w:rPr>
            </w:pPr>
            <w:r w:rsidRPr="00503189">
              <w:rPr>
                <w:rFonts w:cs="Times New Roman"/>
                <w:szCs w:val="24"/>
              </w:rPr>
              <w:t>.2</w:t>
            </w:r>
            <w:r w:rsidR="00C83A23">
              <w:rPr>
                <w:rFonts w:cs="Times New Roman"/>
                <w:szCs w:val="24"/>
              </w:rPr>
              <w:t>87</w:t>
            </w:r>
          </w:p>
        </w:tc>
      </w:tr>
    </w:tbl>
    <w:p w14:paraId="44D43A74" w14:textId="77777777" w:rsidR="0024221E" w:rsidRDefault="0024221E" w:rsidP="00772DAC">
      <w:pPr>
        <w:autoSpaceDE w:val="0"/>
        <w:autoSpaceDN w:val="0"/>
        <w:adjustRightInd w:val="0"/>
        <w:spacing w:after="0"/>
        <w:ind w:left="0" w:firstLine="0"/>
        <w:rPr>
          <w:rFonts w:cs="Times New Roman"/>
          <w:szCs w:val="24"/>
        </w:rPr>
      </w:pPr>
      <w:r>
        <w:rPr>
          <w:rFonts w:cs="Times New Roman"/>
          <w:szCs w:val="24"/>
        </w:rPr>
        <w:t xml:space="preserve">Source: Field survey, </w:t>
      </w:r>
      <w:r w:rsidR="00503189">
        <w:rPr>
          <w:rFonts w:cs="Times New Roman"/>
          <w:szCs w:val="24"/>
        </w:rPr>
        <w:t>(</w:t>
      </w:r>
      <w:r>
        <w:rPr>
          <w:rFonts w:cs="Times New Roman"/>
          <w:szCs w:val="24"/>
        </w:rPr>
        <w:t>2024</w:t>
      </w:r>
      <w:r w:rsidR="00503189">
        <w:rPr>
          <w:rFonts w:cs="Times New Roman"/>
          <w:szCs w:val="24"/>
        </w:rPr>
        <w:t>)</w:t>
      </w:r>
    </w:p>
    <w:p w14:paraId="396ADD81" w14:textId="7BE7436F" w:rsidR="00AD7B7E" w:rsidRPr="001F0945" w:rsidRDefault="00503189" w:rsidP="001F0945">
      <w:pPr>
        <w:autoSpaceDE w:val="0"/>
        <w:autoSpaceDN w:val="0"/>
        <w:adjustRightInd w:val="0"/>
        <w:spacing w:after="0"/>
        <w:ind w:left="0" w:firstLine="0"/>
        <w:rPr>
          <w:rFonts w:cs="Times New Roman"/>
          <w:szCs w:val="24"/>
        </w:rPr>
      </w:pPr>
      <w:r>
        <w:rPr>
          <w:rFonts w:cs="Times New Roman"/>
          <w:szCs w:val="24"/>
        </w:rPr>
        <w:tab/>
      </w:r>
      <w:r w:rsidR="0024221E" w:rsidRPr="00A60B75">
        <w:rPr>
          <w:rFonts w:cs="Times New Roman"/>
          <w:szCs w:val="24"/>
        </w:rPr>
        <w:t xml:space="preserve">From </w:t>
      </w:r>
      <w:r w:rsidR="0024221E">
        <w:rPr>
          <w:rFonts w:cs="Times New Roman"/>
          <w:szCs w:val="24"/>
        </w:rPr>
        <w:t>T</w:t>
      </w:r>
      <w:r w:rsidR="0024221E" w:rsidRPr="00A60B75">
        <w:rPr>
          <w:rFonts w:cs="Times New Roman"/>
          <w:szCs w:val="24"/>
        </w:rPr>
        <w:t xml:space="preserve">able </w:t>
      </w:r>
      <w:r w:rsidR="0024221E">
        <w:rPr>
          <w:rFonts w:cs="Times New Roman"/>
          <w:szCs w:val="24"/>
        </w:rPr>
        <w:t>1</w:t>
      </w:r>
      <w:r w:rsidR="00061650">
        <w:rPr>
          <w:rFonts w:cs="Times New Roman"/>
          <w:szCs w:val="24"/>
        </w:rPr>
        <w:t>6</w:t>
      </w:r>
      <w:r w:rsidR="0024221E">
        <w:rPr>
          <w:rFonts w:cs="Times New Roman"/>
          <w:szCs w:val="24"/>
        </w:rPr>
        <w:t>,</w:t>
      </w:r>
      <w:r w:rsidR="0024221E" w:rsidRPr="00A60B75">
        <w:rPr>
          <w:rFonts w:cs="Times New Roman"/>
          <w:szCs w:val="24"/>
        </w:rPr>
        <w:t xml:space="preserve"> </w:t>
      </w:r>
      <w:r w:rsidR="0024221E">
        <w:rPr>
          <w:rFonts w:cs="Times New Roman"/>
          <w:szCs w:val="24"/>
        </w:rPr>
        <w:t>t</w:t>
      </w:r>
      <w:r w:rsidR="0024221E" w:rsidRPr="00A60B75">
        <w:rPr>
          <w:rFonts w:cs="Times New Roman"/>
          <w:szCs w:val="24"/>
        </w:rPr>
        <w:t>he values .</w:t>
      </w:r>
      <w:r w:rsidR="00C83A23">
        <w:rPr>
          <w:rFonts w:cs="Times New Roman"/>
          <w:szCs w:val="24"/>
        </w:rPr>
        <w:t>394</w:t>
      </w:r>
      <w:r w:rsidR="0024221E" w:rsidRPr="00A60B75">
        <w:rPr>
          <w:rFonts w:cs="Times New Roman"/>
          <w:szCs w:val="24"/>
        </w:rPr>
        <w:t>, .</w:t>
      </w:r>
      <w:r w:rsidR="0024221E">
        <w:rPr>
          <w:rFonts w:cs="Times New Roman"/>
          <w:szCs w:val="24"/>
        </w:rPr>
        <w:t>4</w:t>
      </w:r>
      <w:r w:rsidR="00C83A23">
        <w:rPr>
          <w:rFonts w:cs="Times New Roman"/>
          <w:szCs w:val="24"/>
        </w:rPr>
        <w:t>76</w:t>
      </w:r>
      <w:r w:rsidR="0024221E" w:rsidRPr="00A60B75">
        <w:rPr>
          <w:rFonts w:cs="Times New Roman"/>
          <w:szCs w:val="24"/>
        </w:rPr>
        <w:t xml:space="preserve"> and .</w:t>
      </w:r>
      <w:r w:rsidR="0024221E">
        <w:rPr>
          <w:rFonts w:cs="Times New Roman"/>
          <w:szCs w:val="24"/>
        </w:rPr>
        <w:t>2</w:t>
      </w:r>
      <w:r w:rsidR="00C83A23">
        <w:rPr>
          <w:rFonts w:cs="Times New Roman"/>
          <w:szCs w:val="24"/>
        </w:rPr>
        <w:t>87</w:t>
      </w:r>
      <w:r w:rsidR="0024221E" w:rsidRPr="00A60B75">
        <w:rPr>
          <w:rFonts w:cs="Times New Roman"/>
          <w:szCs w:val="24"/>
        </w:rPr>
        <w:t xml:space="preserve"> of the Cox &amp; Snell R Square, the Nagelkerke R Square and the McFadden R Square indicated that about </w:t>
      </w:r>
      <w:r w:rsidR="00C83A23">
        <w:rPr>
          <w:rFonts w:cs="Times New Roman"/>
          <w:szCs w:val="24"/>
        </w:rPr>
        <w:t>39</w:t>
      </w:r>
      <w:r w:rsidR="0024221E" w:rsidRPr="00A60B75">
        <w:rPr>
          <w:rFonts w:cs="Times New Roman"/>
          <w:szCs w:val="24"/>
        </w:rPr>
        <w:t>.</w:t>
      </w:r>
      <w:r w:rsidR="00C83A23">
        <w:rPr>
          <w:rFonts w:cs="Times New Roman"/>
          <w:szCs w:val="24"/>
        </w:rPr>
        <w:t>4</w:t>
      </w:r>
      <w:r w:rsidR="0024221E" w:rsidRPr="00A60B75">
        <w:rPr>
          <w:rFonts w:cs="Times New Roman"/>
          <w:szCs w:val="24"/>
        </w:rPr>
        <w:t xml:space="preserve"> per cent, </w:t>
      </w:r>
      <w:r w:rsidR="0024221E">
        <w:rPr>
          <w:rFonts w:cs="Times New Roman"/>
          <w:szCs w:val="24"/>
        </w:rPr>
        <w:t>4</w:t>
      </w:r>
      <w:r w:rsidR="00C83A23">
        <w:rPr>
          <w:rFonts w:cs="Times New Roman"/>
          <w:szCs w:val="24"/>
        </w:rPr>
        <w:t>7</w:t>
      </w:r>
      <w:r w:rsidR="0024221E" w:rsidRPr="00A60B75">
        <w:rPr>
          <w:rFonts w:cs="Times New Roman"/>
          <w:szCs w:val="24"/>
        </w:rPr>
        <w:t>.</w:t>
      </w:r>
      <w:r w:rsidR="00C83A23">
        <w:rPr>
          <w:rFonts w:cs="Times New Roman"/>
          <w:szCs w:val="24"/>
        </w:rPr>
        <w:t>6</w:t>
      </w:r>
      <w:r w:rsidR="0024221E" w:rsidRPr="00A60B75">
        <w:rPr>
          <w:rFonts w:cs="Times New Roman"/>
          <w:szCs w:val="24"/>
        </w:rPr>
        <w:t xml:space="preserve"> per cent and </w:t>
      </w:r>
      <w:r w:rsidR="0024221E">
        <w:rPr>
          <w:rFonts w:cs="Times New Roman"/>
          <w:szCs w:val="24"/>
        </w:rPr>
        <w:t>2</w:t>
      </w:r>
      <w:r w:rsidR="00C83A23">
        <w:rPr>
          <w:rFonts w:cs="Times New Roman"/>
          <w:szCs w:val="24"/>
        </w:rPr>
        <w:t>8</w:t>
      </w:r>
      <w:r w:rsidR="0024221E" w:rsidRPr="00A60B75">
        <w:rPr>
          <w:rFonts w:cs="Times New Roman"/>
          <w:szCs w:val="24"/>
        </w:rPr>
        <w:t>.</w:t>
      </w:r>
      <w:r w:rsidR="0024221E">
        <w:rPr>
          <w:rFonts w:cs="Times New Roman"/>
          <w:szCs w:val="24"/>
        </w:rPr>
        <w:t>7</w:t>
      </w:r>
      <w:r w:rsidR="0024221E" w:rsidRPr="00A60B75">
        <w:rPr>
          <w:rFonts w:cs="Times New Roman"/>
          <w:szCs w:val="24"/>
        </w:rPr>
        <w:t xml:space="preserve"> per cent of the variations in the dependent variable </w:t>
      </w:r>
      <w:r w:rsidR="0024221E">
        <w:rPr>
          <w:rFonts w:cs="Times New Roman"/>
          <w:szCs w:val="24"/>
        </w:rPr>
        <w:t>were</w:t>
      </w:r>
      <w:r w:rsidR="0024221E" w:rsidRPr="00A60B75">
        <w:rPr>
          <w:rFonts w:cs="Times New Roman"/>
          <w:szCs w:val="24"/>
        </w:rPr>
        <w:t xml:space="preserve"> explained by th</w:t>
      </w:r>
      <w:r w:rsidR="0024221E">
        <w:rPr>
          <w:rFonts w:cs="Times New Roman"/>
          <w:szCs w:val="24"/>
        </w:rPr>
        <w:t>e independent variables. The final table, the parameter estimates</w:t>
      </w:r>
      <w:r w:rsidR="00CA2BDE">
        <w:rPr>
          <w:rFonts w:cs="Times New Roman"/>
          <w:szCs w:val="24"/>
        </w:rPr>
        <w:t>,</w:t>
      </w:r>
      <w:r w:rsidR="0024221E">
        <w:rPr>
          <w:rFonts w:cs="Times New Roman"/>
          <w:szCs w:val="24"/>
        </w:rPr>
        <w:t xml:space="preserve"> were presented in Table 1</w:t>
      </w:r>
      <w:r w:rsidR="00FA4B0C">
        <w:rPr>
          <w:rFonts w:cs="Times New Roman"/>
          <w:szCs w:val="24"/>
        </w:rPr>
        <w:t>7</w:t>
      </w:r>
      <w:r>
        <w:rPr>
          <w:rFonts w:cs="Times New Roman"/>
          <w:szCs w:val="24"/>
        </w:rPr>
        <w:t>.</w:t>
      </w:r>
    </w:p>
    <w:p w14:paraId="6FFA5E20" w14:textId="77777777" w:rsidR="00F96B9A" w:rsidRDefault="00F96B9A" w:rsidP="00AD7B7E">
      <w:pPr>
        <w:pStyle w:val="BodyText"/>
        <w:sectPr w:rsidR="00F96B9A" w:rsidSect="0081629E">
          <w:type w:val="continuous"/>
          <w:pgSz w:w="11906" w:h="16838" w:code="9"/>
          <w:pgMar w:top="1440" w:right="1440" w:bottom="1440" w:left="2880" w:header="720" w:footer="720" w:gutter="0"/>
          <w:cols w:space="720"/>
          <w:docGrid w:linePitch="360"/>
        </w:sectPr>
      </w:pPr>
    </w:p>
    <w:p w14:paraId="0331AF91" w14:textId="28FB4E93" w:rsidR="00503189" w:rsidRDefault="006316EB" w:rsidP="001F0945">
      <w:pPr>
        <w:pStyle w:val="LT"/>
      </w:pPr>
      <w:bookmarkStart w:id="449" w:name="_Toc197335680"/>
      <w:r>
        <w:lastRenderedPageBreak/>
        <w:t>Table 1</w:t>
      </w:r>
      <w:r w:rsidR="00FA4B0C">
        <w:t>7</w:t>
      </w:r>
      <w:r>
        <w:t xml:space="preserve">: </w:t>
      </w:r>
      <w:r w:rsidRPr="00507692">
        <w:t>Parameter Estimates</w:t>
      </w:r>
      <w:bookmarkEnd w:id="449"/>
    </w:p>
    <w:p w14:paraId="2428FD55" w14:textId="77777777" w:rsidR="0024221E" w:rsidRPr="00503189" w:rsidRDefault="0024221E" w:rsidP="00772DAC">
      <w:pPr>
        <w:autoSpaceDE w:val="0"/>
        <w:autoSpaceDN w:val="0"/>
        <w:adjustRightInd w:val="0"/>
        <w:spacing w:after="0" w:line="240" w:lineRule="auto"/>
        <w:ind w:left="0" w:firstLine="0"/>
        <w:rPr>
          <w:rFonts w:cs="Times New Roman"/>
          <w:sz w:val="2"/>
          <w:szCs w:val="24"/>
        </w:rPr>
      </w:pPr>
    </w:p>
    <w:p w14:paraId="538B6D70" w14:textId="77777777" w:rsidR="00503189" w:rsidRDefault="00503189" w:rsidP="00503189">
      <w:pPr>
        <w:pStyle w:val="Heading4"/>
        <w:spacing w:before="0" w:line="240" w:lineRule="auto"/>
        <w:ind w:left="0" w:firstLine="0"/>
        <w:sectPr w:rsidR="00503189" w:rsidSect="0081629E">
          <w:type w:val="continuous"/>
          <w:pgSz w:w="11906" w:h="16838" w:code="9"/>
          <w:pgMar w:top="1440" w:right="1440" w:bottom="1440" w:left="2880" w:header="720" w:footer="720" w:gutter="0"/>
          <w:cols w:space="720"/>
          <w:docGrid w:linePitch="360"/>
        </w:sect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3"/>
        <w:gridCol w:w="2754"/>
        <w:gridCol w:w="851"/>
        <w:gridCol w:w="416"/>
        <w:gridCol w:w="601"/>
        <w:gridCol w:w="1041"/>
      </w:tblGrid>
      <w:tr w:rsidR="00966429" w:rsidRPr="00622632" w14:paraId="08A757C6" w14:textId="77777777" w:rsidTr="001F0945">
        <w:tc>
          <w:tcPr>
            <w:tcW w:w="1280" w:type="pct"/>
            <w:tcBorders>
              <w:top w:val="single" w:sz="4" w:space="0" w:color="auto"/>
              <w:bottom w:val="single" w:sz="4" w:space="0" w:color="auto"/>
            </w:tcBorders>
          </w:tcPr>
          <w:p w14:paraId="3D5020EB" w14:textId="77777777" w:rsidR="00C83A23" w:rsidRPr="00622632" w:rsidRDefault="00C83A23" w:rsidP="001F0945">
            <w:pPr>
              <w:spacing w:line="240" w:lineRule="auto"/>
              <w:ind w:left="0" w:firstLine="0"/>
              <w:jc w:val="left"/>
              <w:rPr>
                <w:rFonts w:cs="Times New Roman"/>
              </w:rPr>
            </w:pPr>
            <w:r w:rsidRPr="00622632">
              <w:rPr>
                <w:rFonts w:cs="Times New Roman"/>
              </w:rPr>
              <w:t xml:space="preserve">Levels of Participation </w:t>
            </w:r>
          </w:p>
        </w:tc>
        <w:tc>
          <w:tcPr>
            <w:tcW w:w="1827" w:type="pct"/>
            <w:tcBorders>
              <w:top w:val="single" w:sz="4" w:space="0" w:color="auto"/>
              <w:bottom w:val="single" w:sz="4" w:space="0" w:color="auto"/>
            </w:tcBorders>
          </w:tcPr>
          <w:p w14:paraId="460BAD64" w14:textId="4B87DDD6" w:rsidR="00C83A23" w:rsidRPr="00622632" w:rsidRDefault="00C83A23" w:rsidP="00C83A23">
            <w:pPr>
              <w:spacing w:line="240" w:lineRule="auto"/>
              <w:ind w:left="0" w:firstLine="0"/>
              <w:rPr>
                <w:rFonts w:cs="Times New Roman"/>
              </w:rPr>
            </w:pPr>
            <w:r w:rsidRPr="00622632">
              <w:rPr>
                <w:rFonts w:cs="Times New Roman"/>
              </w:rPr>
              <w:t xml:space="preserve">Variables </w:t>
            </w:r>
          </w:p>
        </w:tc>
        <w:tc>
          <w:tcPr>
            <w:tcW w:w="573" w:type="pct"/>
            <w:tcBorders>
              <w:top w:val="single" w:sz="4" w:space="0" w:color="auto"/>
              <w:bottom w:val="single" w:sz="4" w:space="0" w:color="auto"/>
            </w:tcBorders>
          </w:tcPr>
          <w:p w14:paraId="49079CE2" w14:textId="77777777" w:rsidR="00C83A23" w:rsidRPr="00622632" w:rsidRDefault="00C83A23" w:rsidP="00C81B17">
            <w:pPr>
              <w:spacing w:line="240" w:lineRule="auto"/>
              <w:ind w:left="0" w:firstLine="0"/>
              <w:jc w:val="right"/>
              <w:rPr>
                <w:rFonts w:cs="Times New Roman"/>
              </w:rPr>
            </w:pPr>
            <w:r w:rsidRPr="00622632">
              <w:rPr>
                <w:rFonts w:cs="Times New Roman"/>
              </w:rPr>
              <w:t>B</w:t>
            </w:r>
          </w:p>
        </w:tc>
        <w:tc>
          <w:tcPr>
            <w:tcW w:w="267" w:type="pct"/>
            <w:tcBorders>
              <w:top w:val="single" w:sz="4" w:space="0" w:color="auto"/>
              <w:bottom w:val="single" w:sz="4" w:space="0" w:color="auto"/>
            </w:tcBorders>
          </w:tcPr>
          <w:p w14:paraId="441A75D9" w14:textId="77777777" w:rsidR="00C83A23" w:rsidRPr="00622632" w:rsidRDefault="00C83A23" w:rsidP="00C81B17">
            <w:pPr>
              <w:spacing w:line="240" w:lineRule="auto"/>
              <w:ind w:left="0" w:firstLine="0"/>
              <w:rPr>
                <w:rFonts w:cs="Times New Roman"/>
              </w:rPr>
            </w:pPr>
            <w:proofErr w:type="spellStart"/>
            <w:r w:rsidRPr="00622632">
              <w:rPr>
                <w:rFonts w:cs="Times New Roman"/>
              </w:rPr>
              <w:t>df</w:t>
            </w:r>
            <w:proofErr w:type="spellEnd"/>
          </w:p>
        </w:tc>
        <w:tc>
          <w:tcPr>
            <w:tcW w:w="385" w:type="pct"/>
            <w:tcBorders>
              <w:top w:val="single" w:sz="4" w:space="0" w:color="auto"/>
              <w:bottom w:val="single" w:sz="4" w:space="0" w:color="auto"/>
            </w:tcBorders>
          </w:tcPr>
          <w:p w14:paraId="4627E750" w14:textId="77777777" w:rsidR="00C83A23" w:rsidRPr="00622632" w:rsidRDefault="00C83A23" w:rsidP="00C81B17">
            <w:pPr>
              <w:spacing w:line="240" w:lineRule="auto"/>
              <w:ind w:left="0" w:firstLine="0"/>
              <w:rPr>
                <w:rFonts w:cs="Times New Roman"/>
              </w:rPr>
            </w:pPr>
            <w:r w:rsidRPr="00622632">
              <w:rPr>
                <w:rFonts w:cs="Times New Roman"/>
              </w:rPr>
              <w:t>Sig</w:t>
            </w:r>
          </w:p>
        </w:tc>
        <w:tc>
          <w:tcPr>
            <w:tcW w:w="667" w:type="pct"/>
            <w:tcBorders>
              <w:top w:val="single" w:sz="4" w:space="0" w:color="auto"/>
              <w:bottom w:val="single" w:sz="4" w:space="0" w:color="auto"/>
            </w:tcBorders>
          </w:tcPr>
          <w:p w14:paraId="03E1CDF8" w14:textId="77777777" w:rsidR="00C83A23" w:rsidRPr="00622632" w:rsidRDefault="00C83A23" w:rsidP="00C81B17">
            <w:pPr>
              <w:spacing w:line="240" w:lineRule="auto"/>
              <w:ind w:left="0" w:firstLine="0"/>
              <w:rPr>
                <w:rFonts w:cs="Times New Roman"/>
              </w:rPr>
            </w:pPr>
            <w:r w:rsidRPr="00622632">
              <w:rPr>
                <w:rFonts w:cs="Times New Roman"/>
              </w:rPr>
              <w:t>Exp(B)</w:t>
            </w:r>
          </w:p>
        </w:tc>
      </w:tr>
      <w:tr w:rsidR="00966429" w:rsidRPr="00622632" w14:paraId="2E93326F" w14:textId="77777777" w:rsidTr="001F0945">
        <w:tc>
          <w:tcPr>
            <w:tcW w:w="1280" w:type="pct"/>
            <w:tcBorders>
              <w:top w:val="single" w:sz="4" w:space="0" w:color="auto"/>
            </w:tcBorders>
          </w:tcPr>
          <w:p w14:paraId="16DEEEA5" w14:textId="77777777" w:rsidR="00C83A23" w:rsidRPr="00622632" w:rsidRDefault="00C83A23" w:rsidP="00C83A23">
            <w:pPr>
              <w:spacing w:line="240" w:lineRule="auto"/>
              <w:ind w:left="0" w:firstLine="0"/>
              <w:rPr>
                <w:rFonts w:cs="Times New Roman"/>
              </w:rPr>
            </w:pPr>
            <w:r w:rsidRPr="00622632">
              <w:rPr>
                <w:rFonts w:cs="Times New Roman"/>
              </w:rPr>
              <w:t xml:space="preserve">Non-Participation </w:t>
            </w:r>
          </w:p>
        </w:tc>
        <w:tc>
          <w:tcPr>
            <w:tcW w:w="1827" w:type="pct"/>
            <w:tcBorders>
              <w:top w:val="single" w:sz="4" w:space="0" w:color="auto"/>
            </w:tcBorders>
          </w:tcPr>
          <w:p w14:paraId="0175EDC3" w14:textId="77777777" w:rsidR="00C83A23" w:rsidRPr="00622632" w:rsidRDefault="00C83A23" w:rsidP="00C83A23">
            <w:pPr>
              <w:spacing w:line="240" w:lineRule="auto"/>
              <w:ind w:left="0" w:firstLine="0"/>
              <w:rPr>
                <w:rFonts w:cs="Times New Roman"/>
                <w:sz w:val="22"/>
              </w:rPr>
            </w:pPr>
            <w:r w:rsidRPr="00622632">
              <w:rPr>
                <w:rFonts w:cs="Times New Roman"/>
                <w:sz w:val="22"/>
              </w:rPr>
              <w:t>Intercept</w:t>
            </w:r>
          </w:p>
        </w:tc>
        <w:tc>
          <w:tcPr>
            <w:tcW w:w="573" w:type="pct"/>
            <w:tcBorders>
              <w:top w:val="single" w:sz="4" w:space="0" w:color="auto"/>
            </w:tcBorders>
          </w:tcPr>
          <w:p w14:paraId="242EFFB3" w14:textId="77777777" w:rsidR="00C83A23" w:rsidRPr="00622632" w:rsidRDefault="00C83A23" w:rsidP="00C81B17">
            <w:pPr>
              <w:spacing w:line="240" w:lineRule="auto"/>
              <w:ind w:left="0" w:firstLine="0"/>
              <w:rPr>
                <w:rFonts w:cs="Times New Roman"/>
                <w:sz w:val="22"/>
              </w:rPr>
            </w:pPr>
            <w:r w:rsidRPr="00622632">
              <w:rPr>
                <w:rFonts w:cs="Times New Roman"/>
                <w:sz w:val="22"/>
              </w:rPr>
              <w:t>-3.081</w:t>
            </w:r>
          </w:p>
        </w:tc>
        <w:tc>
          <w:tcPr>
            <w:tcW w:w="267" w:type="pct"/>
            <w:tcBorders>
              <w:top w:val="single" w:sz="4" w:space="0" w:color="auto"/>
            </w:tcBorders>
          </w:tcPr>
          <w:p w14:paraId="3A142FCD"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Borders>
              <w:top w:val="single" w:sz="4" w:space="0" w:color="auto"/>
            </w:tcBorders>
          </w:tcPr>
          <w:p w14:paraId="337A8C2D" w14:textId="77777777" w:rsidR="00C83A23" w:rsidRPr="00622632" w:rsidRDefault="00C83A23" w:rsidP="00C81B17">
            <w:pPr>
              <w:spacing w:line="240" w:lineRule="auto"/>
              <w:ind w:left="0" w:firstLine="0"/>
              <w:rPr>
                <w:rFonts w:cs="Times New Roman"/>
                <w:sz w:val="22"/>
              </w:rPr>
            </w:pPr>
            <w:r w:rsidRPr="00622632">
              <w:rPr>
                <w:rFonts w:cs="Times New Roman"/>
                <w:sz w:val="22"/>
              </w:rPr>
              <w:t>.033</w:t>
            </w:r>
          </w:p>
        </w:tc>
        <w:tc>
          <w:tcPr>
            <w:tcW w:w="667" w:type="pct"/>
            <w:tcBorders>
              <w:top w:val="single" w:sz="4" w:space="0" w:color="auto"/>
            </w:tcBorders>
            <w:vAlign w:val="center"/>
          </w:tcPr>
          <w:p w14:paraId="7F605B15" w14:textId="77777777" w:rsidR="00C83A23" w:rsidRPr="00622632" w:rsidRDefault="00C83A23" w:rsidP="00C81B17">
            <w:pPr>
              <w:spacing w:line="240" w:lineRule="auto"/>
              <w:ind w:left="0" w:firstLine="0"/>
              <w:rPr>
                <w:rFonts w:cs="Times New Roman"/>
                <w:sz w:val="22"/>
              </w:rPr>
            </w:pPr>
          </w:p>
        </w:tc>
      </w:tr>
      <w:tr w:rsidR="00966429" w:rsidRPr="00622632" w14:paraId="39F0607F" w14:textId="77777777" w:rsidTr="001F0945">
        <w:tc>
          <w:tcPr>
            <w:tcW w:w="1280" w:type="pct"/>
          </w:tcPr>
          <w:p w14:paraId="6002A543" w14:textId="77777777" w:rsidR="00C83A23" w:rsidRPr="00622632" w:rsidRDefault="00C83A23" w:rsidP="00C83A23">
            <w:pPr>
              <w:spacing w:line="240" w:lineRule="auto"/>
              <w:rPr>
                <w:rFonts w:cs="Times New Roman"/>
              </w:rPr>
            </w:pPr>
          </w:p>
        </w:tc>
        <w:tc>
          <w:tcPr>
            <w:tcW w:w="1827" w:type="pct"/>
          </w:tcPr>
          <w:p w14:paraId="608AEC7B" w14:textId="77777777" w:rsidR="00C83A23" w:rsidRPr="00622632" w:rsidRDefault="00C83A23" w:rsidP="00C83A23">
            <w:pPr>
              <w:spacing w:line="240" w:lineRule="auto"/>
              <w:ind w:left="0" w:firstLine="0"/>
              <w:rPr>
                <w:rFonts w:cs="Times New Roman"/>
                <w:sz w:val="22"/>
              </w:rPr>
            </w:pPr>
            <w:r>
              <w:rPr>
                <w:rFonts w:cs="Times New Roman"/>
                <w:sz w:val="22"/>
              </w:rPr>
              <w:t>Duration of stay</w:t>
            </w:r>
          </w:p>
        </w:tc>
        <w:tc>
          <w:tcPr>
            <w:tcW w:w="573" w:type="pct"/>
          </w:tcPr>
          <w:p w14:paraId="4C9F0F29" w14:textId="2A39CC58" w:rsidR="00C83A23" w:rsidRPr="00622632" w:rsidRDefault="00C81B17" w:rsidP="00C81B17">
            <w:pPr>
              <w:spacing w:line="240" w:lineRule="auto"/>
              <w:ind w:left="0" w:firstLine="0"/>
              <w:rPr>
                <w:rFonts w:cs="Times New Roman"/>
                <w:sz w:val="22"/>
              </w:rPr>
            </w:pPr>
            <w:r>
              <w:rPr>
                <w:rFonts w:cs="Times New Roman"/>
                <w:sz w:val="22"/>
              </w:rPr>
              <w:t>.</w:t>
            </w:r>
            <w:r w:rsidR="00C83A23" w:rsidRPr="00622632">
              <w:rPr>
                <w:rFonts w:cs="Times New Roman"/>
                <w:sz w:val="22"/>
              </w:rPr>
              <w:t>066</w:t>
            </w:r>
          </w:p>
        </w:tc>
        <w:tc>
          <w:tcPr>
            <w:tcW w:w="267" w:type="pct"/>
          </w:tcPr>
          <w:p w14:paraId="0D1587FE"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0E0EC490" w14:textId="77777777" w:rsidR="00C83A23" w:rsidRPr="00622632" w:rsidRDefault="00C83A23" w:rsidP="00C81B17">
            <w:pPr>
              <w:spacing w:line="240" w:lineRule="auto"/>
              <w:ind w:left="0" w:firstLine="0"/>
              <w:rPr>
                <w:rFonts w:cs="Times New Roman"/>
                <w:sz w:val="22"/>
              </w:rPr>
            </w:pPr>
            <w:r w:rsidRPr="00622632">
              <w:rPr>
                <w:rFonts w:cs="Times New Roman"/>
                <w:sz w:val="22"/>
              </w:rPr>
              <w:t>.020</w:t>
            </w:r>
          </w:p>
        </w:tc>
        <w:tc>
          <w:tcPr>
            <w:tcW w:w="667" w:type="pct"/>
          </w:tcPr>
          <w:p w14:paraId="67977F02" w14:textId="77777777" w:rsidR="00C83A23" w:rsidRPr="00622632" w:rsidRDefault="00C83A23" w:rsidP="00C81B17">
            <w:pPr>
              <w:spacing w:line="240" w:lineRule="auto"/>
              <w:ind w:left="0" w:firstLine="0"/>
              <w:rPr>
                <w:rFonts w:cs="Times New Roman"/>
                <w:sz w:val="22"/>
              </w:rPr>
            </w:pPr>
            <w:r w:rsidRPr="00622632">
              <w:rPr>
                <w:rFonts w:cs="Times New Roman"/>
                <w:sz w:val="22"/>
              </w:rPr>
              <w:t>1.069</w:t>
            </w:r>
          </w:p>
        </w:tc>
      </w:tr>
      <w:tr w:rsidR="00966429" w:rsidRPr="00622632" w14:paraId="7B96A7C4" w14:textId="77777777" w:rsidTr="001F0945">
        <w:tc>
          <w:tcPr>
            <w:tcW w:w="1280" w:type="pct"/>
          </w:tcPr>
          <w:p w14:paraId="55B2A9C6" w14:textId="77777777" w:rsidR="00C83A23" w:rsidRPr="00622632" w:rsidRDefault="00C83A23" w:rsidP="00C83A23">
            <w:pPr>
              <w:spacing w:line="240" w:lineRule="auto"/>
              <w:rPr>
                <w:rFonts w:cs="Times New Roman"/>
              </w:rPr>
            </w:pPr>
          </w:p>
        </w:tc>
        <w:tc>
          <w:tcPr>
            <w:tcW w:w="1827" w:type="pct"/>
          </w:tcPr>
          <w:p w14:paraId="4227EF44" w14:textId="77777777" w:rsidR="00C83A23" w:rsidRPr="00622632" w:rsidRDefault="00C83A23" w:rsidP="00C83A23">
            <w:pPr>
              <w:spacing w:line="240" w:lineRule="auto"/>
              <w:ind w:left="0" w:firstLine="0"/>
              <w:rPr>
                <w:rFonts w:cs="Times New Roman"/>
                <w:sz w:val="22"/>
              </w:rPr>
            </w:pPr>
            <w:r w:rsidRPr="00622632">
              <w:rPr>
                <w:rFonts w:cs="Times New Roman"/>
                <w:sz w:val="22"/>
              </w:rPr>
              <w:t>[belong to a group=.00]</w:t>
            </w:r>
          </w:p>
        </w:tc>
        <w:tc>
          <w:tcPr>
            <w:tcW w:w="573" w:type="pct"/>
          </w:tcPr>
          <w:p w14:paraId="1112D17B" w14:textId="77777777" w:rsidR="00C83A23" w:rsidRPr="00622632" w:rsidRDefault="00C83A23" w:rsidP="00C81B17">
            <w:pPr>
              <w:spacing w:line="240" w:lineRule="auto"/>
              <w:ind w:left="0" w:firstLine="0"/>
              <w:rPr>
                <w:rFonts w:cs="Times New Roman"/>
                <w:sz w:val="22"/>
              </w:rPr>
            </w:pPr>
            <w:r w:rsidRPr="00622632">
              <w:rPr>
                <w:rFonts w:cs="Times New Roman"/>
                <w:sz w:val="22"/>
              </w:rPr>
              <w:t>20.629</w:t>
            </w:r>
          </w:p>
        </w:tc>
        <w:tc>
          <w:tcPr>
            <w:tcW w:w="267" w:type="pct"/>
          </w:tcPr>
          <w:p w14:paraId="19FB23FE"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52A0859D" w14:textId="77777777" w:rsidR="00C83A23" w:rsidRPr="00622632" w:rsidRDefault="00C83A23" w:rsidP="00C81B17">
            <w:pPr>
              <w:spacing w:line="240" w:lineRule="auto"/>
              <w:ind w:left="0" w:firstLine="0"/>
              <w:rPr>
                <w:rFonts w:cs="Times New Roman"/>
                <w:sz w:val="22"/>
              </w:rPr>
            </w:pPr>
            <w:r w:rsidRPr="00622632">
              <w:rPr>
                <w:rFonts w:cs="Times New Roman"/>
                <w:sz w:val="22"/>
              </w:rPr>
              <w:t>.994</w:t>
            </w:r>
          </w:p>
        </w:tc>
        <w:tc>
          <w:tcPr>
            <w:tcW w:w="667" w:type="pct"/>
          </w:tcPr>
          <w:p w14:paraId="7332B6AB" w14:textId="77777777" w:rsidR="00C83A23" w:rsidRPr="00622632" w:rsidRDefault="00C83A23" w:rsidP="00C81B17">
            <w:pPr>
              <w:spacing w:line="240" w:lineRule="auto"/>
              <w:ind w:left="0" w:firstLine="0"/>
              <w:rPr>
                <w:rFonts w:cs="Times New Roman"/>
                <w:sz w:val="22"/>
              </w:rPr>
            </w:pPr>
            <w:r w:rsidRPr="00622632">
              <w:rPr>
                <w:rFonts w:cs="Times New Roman"/>
                <w:sz w:val="22"/>
              </w:rPr>
              <w:t>9099.063</w:t>
            </w:r>
          </w:p>
        </w:tc>
      </w:tr>
      <w:tr w:rsidR="00966429" w:rsidRPr="00622632" w14:paraId="73AAD893" w14:textId="77777777" w:rsidTr="001F0945">
        <w:tc>
          <w:tcPr>
            <w:tcW w:w="1280" w:type="pct"/>
          </w:tcPr>
          <w:p w14:paraId="5DAF0EE6" w14:textId="77777777" w:rsidR="00C83A23" w:rsidRPr="00622632" w:rsidRDefault="00C83A23" w:rsidP="00C83A23">
            <w:pPr>
              <w:spacing w:line="240" w:lineRule="auto"/>
              <w:rPr>
                <w:rFonts w:cs="Times New Roman"/>
              </w:rPr>
            </w:pPr>
          </w:p>
        </w:tc>
        <w:tc>
          <w:tcPr>
            <w:tcW w:w="1827" w:type="pct"/>
          </w:tcPr>
          <w:p w14:paraId="1FDB81C5" w14:textId="77777777" w:rsidR="00C83A23" w:rsidRPr="00622632" w:rsidRDefault="00C83A23" w:rsidP="00C83A23">
            <w:pPr>
              <w:spacing w:line="240" w:lineRule="auto"/>
              <w:ind w:left="0" w:firstLine="0"/>
              <w:rPr>
                <w:rFonts w:cs="Times New Roman"/>
                <w:sz w:val="22"/>
              </w:rPr>
            </w:pPr>
            <w:r w:rsidRPr="00622632">
              <w:rPr>
                <w:rFonts w:cs="Times New Roman"/>
                <w:sz w:val="22"/>
              </w:rPr>
              <w:t>[belong to a group=1.00]</w:t>
            </w:r>
          </w:p>
        </w:tc>
        <w:tc>
          <w:tcPr>
            <w:tcW w:w="573" w:type="pct"/>
          </w:tcPr>
          <w:p w14:paraId="430E31D7" w14:textId="0FFAF947" w:rsidR="00C83A23" w:rsidRPr="00622632" w:rsidRDefault="00C83A23" w:rsidP="00C81B17">
            <w:pPr>
              <w:spacing w:line="240" w:lineRule="auto"/>
              <w:ind w:left="0" w:firstLine="0"/>
              <w:rPr>
                <w:rFonts w:cs="Times New Roman"/>
                <w:sz w:val="22"/>
              </w:rPr>
            </w:pPr>
            <w:r w:rsidRPr="00622632">
              <w:rPr>
                <w:rFonts w:cs="Times New Roman"/>
                <w:sz w:val="22"/>
                <w:vertAlign w:val="superscript"/>
              </w:rPr>
              <w:t>c</w:t>
            </w:r>
          </w:p>
        </w:tc>
        <w:tc>
          <w:tcPr>
            <w:tcW w:w="267" w:type="pct"/>
          </w:tcPr>
          <w:p w14:paraId="129AE5B1"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p>
        </w:tc>
        <w:tc>
          <w:tcPr>
            <w:tcW w:w="385" w:type="pct"/>
          </w:tcPr>
          <w:p w14:paraId="5B6A6FF2"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1D557D0B"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r>
      <w:tr w:rsidR="00966429" w:rsidRPr="00622632" w14:paraId="748CD6EB" w14:textId="77777777" w:rsidTr="001F0945">
        <w:tc>
          <w:tcPr>
            <w:tcW w:w="1280" w:type="pct"/>
          </w:tcPr>
          <w:p w14:paraId="7C436779" w14:textId="77777777" w:rsidR="00C83A23" w:rsidRPr="00622632" w:rsidRDefault="00C83A23" w:rsidP="00C83A23">
            <w:pPr>
              <w:spacing w:line="240" w:lineRule="auto"/>
              <w:rPr>
                <w:rFonts w:cs="Times New Roman"/>
              </w:rPr>
            </w:pPr>
          </w:p>
        </w:tc>
        <w:tc>
          <w:tcPr>
            <w:tcW w:w="1827" w:type="pct"/>
          </w:tcPr>
          <w:p w14:paraId="40E598B3"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education=1.00]</w:t>
            </w:r>
          </w:p>
        </w:tc>
        <w:tc>
          <w:tcPr>
            <w:tcW w:w="573" w:type="pct"/>
          </w:tcPr>
          <w:p w14:paraId="431FDBBA" w14:textId="77777777" w:rsidR="00C83A23" w:rsidRPr="00622632" w:rsidRDefault="00C83A23" w:rsidP="00C81B17">
            <w:pPr>
              <w:spacing w:line="240" w:lineRule="auto"/>
              <w:ind w:left="0" w:firstLine="0"/>
              <w:rPr>
                <w:rFonts w:cs="Times New Roman"/>
                <w:sz w:val="22"/>
              </w:rPr>
            </w:pPr>
            <w:r w:rsidRPr="00622632">
              <w:rPr>
                <w:rFonts w:cs="Times New Roman"/>
                <w:sz w:val="22"/>
              </w:rPr>
              <w:t>.970</w:t>
            </w:r>
          </w:p>
        </w:tc>
        <w:tc>
          <w:tcPr>
            <w:tcW w:w="267" w:type="pct"/>
          </w:tcPr>
          <w:p w14:paraId="383D3A19"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1FEAAE85" w14:textId="77777777" w:rsidR="00C83A23" w:rsidRPr="00622632" w:rsidRDefault="00C83A23" w:rsidP="00C81B17">
            <w:pPr>
              <w:spacing w:line="240" w:lineRule="auto"/>
              <w:ind w:left="0" w:firstLine="0"/>
              <w:rPr>
                <w:rFonts w:cs="Times New Roman"/>
                <w:sz w:val="22"/>
              </w:rPr>
            </w:pPr>
            <w:r w:rsidRPr="00622632">
              <w:rPr>
                <w:rFonts w:cs="Times New Roman"/>
                <w:sz w:val="22"/>
              </w:rPr>
              <w:t>.022</w:t>
            </w:r>
          </w:p>
        </w:tc>
        <w:tc>
          <w:tcPr>
            <w:tcW w:w="667" w:type="pct"/>
          </w:tcPr>
          <w:p w14:paraId="0935EB34" w14:textId="77777777" w:rsidR="00C83A23" w:rsidRPr="00622632" w:rsidRDefault="00C83A23" w:rsidP="00C81B17">
            <w:pPr>
              <w:spacing w:line="240" w:lineRule="auto"/>
              <w:ind w:left="0" w:firstLine="0"/>
              <w:rPr>
                <w:rFonts w:cs="Times New Roman"/>
                <w:sz w:val="22"/>
              </w:rPr>
            </w:pPr>
            <w:r w:rsidRPr="00622632">
              <w:rPr>
                <w:rFonts w:cs="Times New Roman"/>
                <w:sz w:val="22"/>
              </w:rPr>
              <w:t>2.637</w:t>
            </w:r>
          </w:p>
        </w:tc>
      </w:tr>
      <w:tr w:rsidR="00966429" w:rsidRPr="00622632" w14:paraId="678A40BA" w14:textId="77777777" w:rsidTr="001F0945">
        <w:tc>
          <w:tcPr>
            <w:tcW w:w="1280" w:type="pct"/>
          </w:tcPr>
          <w:p w14:paraId="5A1DFBF1" w14:textId="77777777" w:rsidR="00C83A23" w:rsidRPr="00622632" w:rsidRDefault="00C83A23" w:rsidP="00C83A23">
            <w:pPr>
              <w:spacing w:line="240" w:lineRule="auto"/>
              <w:rPr>
                <w:rFonts w:cs="Times New Roman"/>
              </w:rPr>
            </w:pPr>
          </w:p>
        </w:tc>
        <w:tc>
          <w:tcPr>
            <w:tcW w:w="1827" w:type="pct"/>
          </w:tcPr>
          <w:p w14:paraId="4B572F15"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education=2.00]</w:t>
            </w:r>
          </w:p>
        </w:tc>
        <w:tc>
          <w:tcPr>
            <w:tcW w:w="573" w:type="pct"/>
          </w:tcPr>
          <w:p w14:paraId="6AB60CFF" w14:textId="77777777" w:rsidR="00C83A23" w:rsidRPr="00622632" w:rsidRDefault="00C83A23" w:rsidP="00C81B17">
            <w:pPr>
              <w:spacing w:line="240" w:lineRule="auto"/>
              <w:ind w:left="0" w:firstLine="0"/>
              <w:rPr>
                <w:rFonts w:cs="Times New Roman"/>
                <w:sz w:val="22"/>
              </w:rPr>
            </w:pPr>
            <w:r w:rsidRPr="00622632">
              <w:rPr>
                <w:rFonts w:cs="Times New Roman"/>
                <w:sz w:val="22"/>
              </w:rPr>
              <w:t>19.245</w:t>
            </w:r>
          </w:p>
        </w:tc>
        <w:tc>
          <w:tcPr>
            <w:tcW w:w="267" w:type="pct"/>
          </w:tcPr>
          <w:p w14:paraId="651D80B4"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37DF7313" w14:textId="77777777" w:rsidR="00C83A23" w:rsidRPr="00622632" w:rsidRDefault="00C83A23" w:rsidP="00C81B17">
            <w:pPr>
              <w:spacing w:line="240" w:lineRule="auto"/>
              <w:ind w:left="0" w:firstLine="0"/>
              <w:rPr>
                <w:rFonts w:cs="Times New Roman"/>
                <w:sz w:val="22"/>
              </w:rPr>
            </w:pPr>
            <w:r w:rsidRPr="00622632">
              <w:rPr>
                <w:rFonts w:cs="Times New Roman"/>
                <w:sz w:val="22"/>
              </w:rPr>
              <w:t>.000</w:t>
            </w:r>
          </w:p>
        </w:tc>
        <w:tc>
          <w:tcPr>
            <w:tcW w:w="667" w:type="pct"/>
          </w:tcPr>
          <w:p w14:paraId="124E7925" w14:textId="77777777" w:rsidR="00C83A23" w:rsidRPr="00622632" w:rsidRDefault="00C83A23" w:rsidP="00C81B17">
            <w:pPr>
              <w:spacing w:line="240" w:lineRule="auto"/>
              <w:ind w:left="0" w:firstLine="0"/>
              <w:rPr>
                <w:rFonts w:cs="Times New Roman"/>
                <w:sz w:val="22"/>
              </w:rPr>
            </w:pPr>
            <w:r w:rsidRPr="00622632">
              <w:rPr>
                <w:rFonts w:cs="Times New Roman"/>
                <w:sz w:val="22"/>
              </w:rPr>
              <w:t>2280.640</w:t>
            </w:r>
          </w:p>
        </w:tc>
      </w:tr>
      <w:tr w:rsidR="00966429" w:rsidRPr="00622632" w14:paraId="3A447689" w14:textId="77777777" w:rsidTr="001F0945">
        <w:tc>
          <w:tcPr>
            <w:tcW w:w="1280" w:type="pct"/>
          </w:tcPr>
          <w:p w14:paraId="3DE219EE" w14:textId="77777777" w:rsidR="00C83A23" w:rsidRPr="00622632" w:rsidRDefault="00C83A23" w:rsidP="00C83A23">
            <w:pPr>
              <w:spacing w:line="240" w:lineRule="auto"/>
              <w:rPr>
                <w:rFonts w:cs="Times New Roman"/>
              </w:rPr>
            </w:pPr>
          </w:p>
        </w:tc>
        <w:tc>
          <w:tcPr>
            <w:tcW w:w="1827" w:type="pct"/>
          </w:tcPr>
          <w:p w14:paraId="26098AB1"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education=4.00]</w:t>
            </w:r>
          </w:p>
        </w:tc>
        <w:tc>
          <w:tcPr>
            <w:tcW w:w="573" w:type="pct"/>
          </w:tcPr>
          <w:p w14:paraId="571A69DD"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r w:rsidRPr="00622632">
              <w:rPr>
                <w:rFonts w:cs="Times New Roman"/>
                <w:sz w:val="22"/>
                <w:vertAlign w:val="superscript"/>
              </w:rPr>
              <w:t>c</w:t>
            </w:r>
          </w:p>
        </w:tc>
        <w:tc>
          <w:tcPr>
            <w:tcW w:w="267" w:type="pct"/>
          </w:tcPr>
          <w:p w14:paraId="2B5C1AA7"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p>
        </w:tc>
        <w:tc>
          <w:tcPr>
            <w:tcW w:w="385" w:type="pct"/>
          </w:tcPr>
          <w:p w14:paraId="07774A92"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0674649C"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r>
      <w:tr w:rsidR="00966429" w:rsidRPr="00622632" w14:paraId="3912FB21" w14:textId="77777777" w:rsidTr="001F0945">
        <w:tc>
          <w:tcPr>
            <w:tcW w:w="1280" w:type="pct"/>
          </w:tcPr>
          <w:p w14:paraId="6F8432A5" w14:textId="77777777" w:rsidR="00C83A23" w:rsidRPr="00622632" w:rsidRDefault="00C83A23" w:rsidP="00C83A23">
            <w:pPr>
              <w:spacing w:line="240" w:lineRule="auto"/>
              <w:ind w:left="0" w:firstLine="0"/>
              <w:rPr>
                <w:rFonts w:cs="Times New Roman"/>
              </w:rPr>
            </w:pPr>
            <w:r w:rsidRPr="00622632">
              <w:rPr>
                <w:rFonts w:cs="Times New Roman"/>
              </w:rPr>
              <w:t xml:space="preserve">Tokensim </w:t>
            </w:r>
          </w:p>
        </w:tc>
        <w:tc>
          <w:tcPr>
            <w:tcW w:w="1827" w:type="pct"/>
          </w:tcPr>
          <w:p w14:paraId="3D97CBB8" w14:textId="77777777" w:rsidR="00C83A23" w:rsidRPr="00622632" w:rsidRDefault="00C83A23" w:rsidP="00C83A23">
            <w:pPr>
              <w:spacing w:line="240" w:lineRule="auto"/>
              <w:ind w:left="0" w:firstLine="0"/>
              <w:rPr>
                <w:rFonts w:cs="Times New Roman"/>
                <w:sz w:val="22"/>
              </w:rPr>
            </w:pPr>
            <w:r w:rsidRPr="00622632">
              <w:rPr>
                <w:rFonts w:cs="Times New Roman"/>
                <w:sz w:val="22"/>
              </w:rPr>
              <w:t>Intercept</w:t>
            </w:r>
          </w:p>
        </w:tc>
        <w:tc>
          <w:tcPr>
            <w:tcW w:w="573" w:type="pct"/>
          </w:tcPr>
          <w:p w14:paraId="036F1B5A" w14:textId="77777777" w:rsidR="00C83A23" w:rsidRPr="00622632" w:rsidRDefault="00C83A23" w:rsidP="00C81B17">
            <w:pPr>
              <w:spacing w:line="240" w:lineRule="auto"/>
              <w:ind w:left="0" w:firstLine="0"/>
              <w:rPr>
                <w:rFonts w:cs="Times New Roman"/>
                <w:sz w:val="22"/>
              </w:rPr>
            </w:pPr>
            <w:r w:rsidRPr="00622632">
              <w:rPr>
                <w:rFonts w:cs="Times New Roman"/>
                <w:sz w:val="22"/>
              </w:rPr>
              <w:t>.941</w:t>
            </w:r>
          </w:p>
        </w:tc>
        <w:tc>
          <w:tcPr>
            <w:tcW w:w="267" w:type="pct"/>
          </w:tcPr>
          <w:p w14:paraId="58790670"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35F8E01D" w14:textId="77777777" w:rsidR="00C83A23" w:rsidRPr="00622632" w:rsidRDefault="00C83A23" w:rsidP="00C81B17">
            <w:pPr>
              <w:spacing w:line="240" w:lineRule="auto"/>
              <w:ind w:left="0" w:firstLine="0"/>
              <w:rPr>
                <w:rFonts w:cs="Times New Roman"/>
                <w:sz w:val="22"/>
              </w:rPr>
            </w:pPr>
            <w:r w:rsidRPr="00622632">
              <w:rPr>
                <w:rFonts w:cs="Times New Roman"/>
                <w:sz w:val="22"/>
              </w:rPr>
              <w:t>.524</w:t>
            </w:r>
          </w:p>
        </w:tc>
        <w:tc>
          <w:tcPr>
            <w:tcW w:w="667" w:type="pct"/>
            <w:vAlign w:val="center"/>
          </w:tcPr>
          <w:p w14:paraId="27BA81D1" w14:textId="77777777" w:rsidR="00C83A23" w:rsidRPr="00622632" w:rsidRDefault="00C83A23" w:rsidP="00C81B17">
            <w:pPr>
              <w:spacing w:line="240" w:lineRule="auto"/>
              <w:ind w:left="0" w:firstLine="0"/>
              <w:rPr>
                <w:rFonts w:cs="Times New Roman"/>
                <w:sz w:val="22"/>
              </w:rPr>
            </w:pPr>
          </w:p>
        </w:tc>
      </w:tr>
      <w:tr w:rsidR="00966429" w:rsidRPr="00622632" w14:paraId="510F718E" w14:textId="77777777" w:rsidTr="001F0945">
        <w:tc>
          <w:tcPr>
            <w:tcW w:w="1280" w:type="pct"/>
          </w:tcPr>
          <w:p w14:paraId="2838F06A" w14:textId="77777777" w:rsidR="00C83A23" w:rsidRPr="00622632" w:rsidRDefault="00C83A23" w:rsidP="00C83A23">
            <w:pPr>
              <w:spacing w:line="240" w:lineRule="auto"/>
              <w:rPr>
                <w:rFonts w:cs="Times New Roman"/>
              </w:rPr>
            </w:pPr>
          </w:p>
        </w:tc>
        <w:tc>
          <w:tcPr>
            <w:tcW w:w="1827" w:type="pct"/>
          </w:tcPr>
          <w:p w14:paraId="2B6BDAAA" w14:textId="77777777" w:rsidR="00C83A23" w:rsidRPr="00622632" w:rsidRDefault="00C83A23" w:rsidP="00C83A23">
            <w:pPr>
              <w:spacing w:line="240" w:lineRule="auto"/>
              <w:ind w:left="0" w:firstLine="0"/>
              <w:rPr>
                <w:rFonts w:cs="Times New Roman"/>
                <w:sz w:val="22"/>
              </w:rPr>
            </w:pPr>
            <w:r>
              <w:rPr>
                <w:rFonts w:cs="Times New Roman"/>
                <w:sz w:val="22"/>
              </w:rPr>
              <w:t>Duration of stay</w:t>
            </w:r>
          </w:p>
        </w:tc>
        <w:tc>
          <w:tcPr>
            <w:tcW w:w="573" w:type="pct"/>
          </w:tcPr>
          <w:p w14:paraId="63B08286" w14:textId="77777777" w:rsidR="00C83A23" w:rsidRPr="00622632" w:rsidRDefault="00C83A23" w:rsidP="00C81B17">
            <w:pPr>
              <w:spacing w:line="240" w:lineRule="auto"/>
              <w:ind w:left="0" w:firstLine="0"/>
              <w:rPr>
                <w:rFonts w:cs="Times New Roman"/>
                <w:sz w:val="22"/>
              </w:rPr>
            </w:pPr>
            <w:r w:rsidRPr="00622632">
              <w:rPr>
                <w:rFonts w:cs="Times New Roman"/>
                <w:sz w:val="22"/>
              </w:rPr>
              <w:t>-.018</w:t>
            </w:r>
          </w:p>
        </w:tc>
        <w:tc>
          <w:tcPr>
            <w:tcW w:w="267" w:type="pct"/>
          </w:tcPr>
          <w:p w14:paraId="058C358F"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6EEF717C" w14:textId="77777777" w:rsidR="00C83A23" w:rsidRPr="00622632" w:rsidRDefault="00C83A23" w:rsidP="00C81B17">
            <w:pPr>
              <w:spacing w:line="240" w:lineRule="auto"/>
              <w:ind w:left="0" w:firstLine="0"/>
              <w:rPr>
                <w:rFonts w:cs="Times New Roman"/>
                <w:sz w:val="22"/>
              </w:rPr>
            </w:pPr>
            <w:r w:rsidRPr="00622632">
              <w:rPr>
                <w:rFonts w:cs="Times New Roman"/>
                <w:sz w:val="22"/>
              </w:rPr>
              <w:t>.543</w:t>
            </w:r>
          </w:p>
        </w:tc>
        <w:tc>
          <w:tcPr>
            <w:tcW w:w="667" w:type="pct"/>
          </w:tcPr>
          <w:p w14:paraId="72E18746" w14:textId="77777777" w:rsidR="00C83A23" w:rsidRPr="00622632" w:rsidRDefault="00C83A23" w:rsidP="00C81B17">
            <w:pPr>
              <w:spacing w:line="240" w:lineRule="auto"/>
              <w:ind w:left="0" w:firstLine="0"/>
              <w:rPr>
                <w:rFonts w:cs="Times New Roman"/>
                <w:sz w:val="22"/>
              </w:rPr>
            </w:pPr>
            <w:r w:rsidRPr="00622632">
              <w:rPr>
                <w:rFonts w:cs="Times New Roman"/>
                <w:sz w:val="22"/>
              </w:rPr>
              <w:t>.982</w:t>
            </w:r>
          </w:p>
        </w:tc>
      </w:tr>
      <w:tr w:rsidR="00966429" w:rsidRPr="00622632" w14:paraId="3A991489" w14:textId="77777777" w:rsidTr="001F0945">
        <w:tc>
          <w:tcPr>
            <w:tcW w:w="1280" w:type="pct"/>
          </w:tcPr>
          <w:p w14:paraId="5884286E" w14:textId="77777777" w:rsidR="00C83A23" w:rsidRPr="00622632" w:rsidRDefault="00C83A23" w:rsidP="00C83A23">
            <w:pPr>
              <w:spacing w:line="240" w:lineRule="auto"/>
              <w:rPr>
                <w:rFonts w:cs="Times New Roman"/>
              </w:rPr>
            </w:pPr>
          </w:p>
        </w:tc>
        <w:tc>
          <w:tcPr>
            <w:tcW w:w="1827" w:type="pct"/>
          </w:tcPr>
          <w:p w14:paraId="610FE79D" w14:textId="77777777" w:rsidR="00C83A23" w:rsidRPr="00622632" w:rsidRDefault="00C83A23" w:rsidP="00C83A23">
            <w:pPr>
              <w:spacing w:line="240" w:lineRule="auto"/>
              <w:ind w:left="0" w:firstLine="0"/>
              <w:rPr>
                <w:rFonts w:cs="Times New Roman"/>
                <w:sz w:val="22"/>
              </w:rPr>
            </w:pPr>
            <w:r w:rsidRPr="00622632">
              <w:rPr>
                <w:rFonts w:cs="Times New Roman"/>
                <w:sz w:val="22"/>
              </w:rPr>
              <w:t>[belong to a group=.00]</w:t>
            </w:r>
          </w:p>
        </w:tc>
        <w:tc>
          <w:tcPr>
            <w:tcW w:w="573" w:type="pct"/>
          </w:tcPr>
          <w:p w14:paraId="3A356234" w14:textId="77777777" w:rsidR="00C83A23" w:rsidRPr="00622632" w:rsidRDefault="00C83A23" w:rsidP="00C81B17">
            <w:pPr>
              <w:spacing w:line="240" w:lineRule="auto"/>
              <w:ind w:left="0" w:firstLine="0"/>
              <w:rPr>
                <w:rFonts w:cs="Times New Roman"/>
                <w:sz w:val="22"/>
              </w:rPr>
            </w:pPr>
            <w:r w:rsidRPr="00622632">
              <w:rPr>
                <w:rFonts w:cs="Times New Roman"/>
                <w:sz w:val="22"/>
              </w:rPr>
              <w:t>16.186</w:t>
            </w:r>
          </w:p>
        </w:tc>
        <w:tc>
          <w:tcPr>
            <w:tcW w:w="267" w:type="pct"/>
          </w:tcPr>
          <w:p w14:paraId="2D053B82"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3CC8C32B" w14:textId="77777777" w:rsidR="00C83A23" w:rsidRPr="00622632" w:rsidRDefault="00C83A23" w:rsidP="00C81B17">
            <w:pPr>
              <w:spacing w:line="240" w:lineRule="auto"/>
              <w:ind w:left="0" w:firstLine="0"/>
              <w:rPr>
                <w:rFonts w:cs="Times New Roman"/>
                <w:sz w:val="22"/>
              </w:rPr>
            </w:pPr>
            <w:r w:rsidRPr="00622632">
              <w:rPr>
                <w:rFonts w:cs="Times New Roman"/>
                <w:sz w:val="22"/>
              </w:rPr>
              <w:t>.996</w:t>
            </w:r>
          </w:p>
        </w:tc>
        <w:tc>
          <w:tcPr>
            <w:tcW w:w="667" w:type="pct"/>
          </w:tcPr>
          <w:p w14:paraId="7CF41365" w14:textId="77777777" w:rsidR="00C83A23" w:rsidRPr="00622632" w:rsidRDefault="00C83A23" w:rsidP="00C81B17">
            <w:pPr>
              <w:spacing w:line="240" w:lineRule="auto"/>
              <w:ind w:left="0" w:firstLine="0"/>
              <w:rPr>
                <w:rFonts w:cs="Times New Roman"/>
                <w:sz w:val="22"/>
              </w:rPr>
            </w:pPr>
            <w:r w:rsidRPr="00622632">
              <w:rPr>
                <w:rFonts w:cs="Times New Roman"/>
                <w:sz w:val="22"/>
              </w:rPr>
              <w:t>1070.922</w:t>
            </w:r>
          </w:p>
        </w:tc>
      </w:tr>
      <w:tr w:rsidR="00966429" w:rsidRPr="00622632" w14:paraId="1FD2536E" w14:textId="77777777" w:rsidTr="001F0945">
        <w:tc>
          <w:tcPr>
            <w:tcW w:w="1280" w:type="pct"/>
          </w:tcPr>
          <w:p w14:paraId="1DB59594" w14:textId="77777777" w:rsidR="00C83A23" w:rsidRPr="00622632" w:rsidRDefault="00C83A23" w:rsidP="00C83A23">
            <w:pPr>
              <w:spacing w:line="240" w:lineRule="auto"/>
              <w:rPr>
                <w:rFonts w:cs="Times New Roman"/>
              </w:rPr>
            </w:pPr>
          </w:p>
        </w:tc>
        <w:tc>
          <w:tcPr>
            <w:tcW w:w="1827" w:type="pct"/>
          </w:tcPr>
          <w:p w14:paraId="5A37FF05" w14:textId="77777777" w:rsidR="00C83A23" w:rsidRPr="00622632" w:rsidRDefault="00C83A23" w:rsidP="00C83A23">
            <w:pPr>
              <w:spacing w:line="240" w:lineRule="auto"/>
              <w:ind w:left="0" w:firstLine="0"/>
              <w:rPr>
                <w:rFonts w:cs="Times New Roman"/>
                <w:sz w:val="22"/>
              </w:rPr>
            </w:pPr>
            <w:r w:rsidRPr="00622632">
              <w:rPr>
                <w:rFonts w:cs="Times New Roman"/>
                <w:sz w:val="22"/>
              </w:rPr>
              <w:t>[belong to a group=1.00]</w:t>
            </w:r>
          </w:p>
        </w:tc>
        <w:tc>
          <w:tcPr>
            <w:tcW w:w="573" w:type="pct"/>
          </w:tcPr>
          <w:p w14:paraId="313F3BC2" w14:textId="329B6EEB" w:rsidR="00C83A23" w:rsidRPr="00622632" w:rsidRDefault="00C83A23" w:rsidP="00C81B17">
            <w:pPr>
              <w:spacing w:line="240" w:lineRule="auto"/>
              <w:ind w:left="0" w:firstLine="0"/>
              <w:rPr>
                <w:rFonts w:cs="Times New Roman"/>
                <w:sz w:val="22"/>
              </w:rPr>
            </w:pPr>
            <w:r w:rsidRPr="00622632">
              <w:rPr>
                <w:rFonts w:cs="Times New Roman"/>
                <w:sz w:val="22"/>
                <w:vertAlign w:val="superscript"/>
              </w:rPr>
              <w:t>c</w:t>
            </w:r>
          </w:p>
        </w:tc>
        <w:tc>
          <w:tcPr>
            <w:tcW w:w="267" w:type="pct"/>
          </w:tcPr>
          <w:p w14:paraId="61E44C41"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p>
        </w:tc>
        <w:tc>
          <w:tcPr>
            <w:tcW w:w="385" w:type="pct"/>
          </w:tcPr>
          <w:p w14:paraId="0E4E3E18"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6AB0E872"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r>
      <w:tr w:rsidR="00966429" w:rsidRPr="00622632" w14:paraId="1DC1BFD4" w14:textId="77777777" w:rsidTr="001F0945">
        <w:tc>
          <w:tcPr>
            <w:tcW w:w="1280" w:type="pct"/>
          </w:tcPr>
          <w:p w14:paraId="62D759A8" w14:textId="77777777" w:rsidR="00C83A23" w:rsidRPr="00622632" w:rsidRDefault="00C83A23" w:rsidP="00C83A23">
            <w:pPr>
              <w:spacing w:line="240" w:lineRule="auto"/>
              <w:rPr>
                <w:rFonts w:cs="Times New Roman"/>
              </w:rPr>
            </w:pPr>
          </w:p>
        </w:tc>
        <w:tc>
          <w:tcPr>
            <w:tcW w:w="1827" w:type="pct"/>
          </w:tcPr>
          <w:p w14:paraId="7A9772CC"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education=1.00]</w:t>
            </w:r>
          </w:p>
        </w:tc>
        <w:tc>
          <w:tcPr>
            <w:tcW w:w="573" w:type="pct"/>
          </w:tcPr>
          <w:p w14:paraId="1F1BE41D" w14:textId="6DF38753" w:rsidR="00C83A23" w:rsidRPr="00622632" w:rsidRDefault="00C83A23" w:rsidP="00C81B17">
            <w:pPr>
              <w:spacing w:line="240" w:lineRule="auto"/>
              <w:ind w:left="0" w:firstLine="0"/>
              <w:rPr>
                <w:rFonts w:cs="Times New Roman"/>
                <w:sz w:val="22"/>
              </w:rPr>
            </w:pPr>
            <w:r w:rsidRPr="00622632">
              <w:rPr>
                <w:rFonts w:cs="Times New Roman"/>
                <w:sz w:val="22"/>
              </w:rPr>
              <w:t>251</w:t>
            </w:r>
          </w:p>
        </w:tc>
        <w:tc>
          <w:tcPr>
            <w:tcW w:w="267" w:type="pct"/>
          </w:tcPr>
          <w:p w14:paraId="0C0AE483"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18ED1D01" w14:textId="77777777" w:rsidR="00C83A23" w:rsidRPr="00622632" w:rsidRDefault="00C83A23" w:rsidP="00C81B17">
            <w:pPr>
              <w:spacing w:line="240" w:lineRule="auto"/>
              <w:ind w:left="0" w:firstLine="0"/>
              <w:rPr>
                <w:rFonts w:cs="Times New Roman"/>
                <w:sz w:val="22"/>
              </w:rPr>
            </w:pPr>
            <w:r w:rsidRPr="00622632">
              <w:rPr>
                <w:rFonts w:cs="Times New Roman"/>
                <w:sz w:val="22"/>
              </w:rPr>
              <w:t>.562</w:t>
            </w:r>
          </w:p>
        </w:tc>
        <w:tc>
          <w:tcPr>
            <w:tcW w:w="667" w:type="pct"/>
          </w:tcPr>
          <w:p w14:paraId="5B7E77AB" w14:textId="77777777" w:rsidR="00C83A23" w:rsidRPr="00622632" w:rsidRDefault="00C83A23" w:rsidP="00C81B17">
            <w:pPr>
              <w:spacing w:line="240" w:lineRule="auto"/>
              <w:ind w:left="0" w:firstLine="0"/>
              <w:rPr>
                <w:rFonts w:cs="Times New Roman"/>
                <w:sz w:val="22"/>
              </w:rPr>
            </w:pPr>
            <w:r w:rsidRPr="00622632">
              <w:rPr>
                <w:rFonts w:cs="Times New Roman"/>
                <w:sz w:val="22"/>
              </w:rPr>
              <w:t>1.285</w:t>
            </w:r>
          </w:p>
        </w:tc>
      </w:tr>
      <w:tr w:rsidR="00966429" w:rsidRPr="00622632" w14:paraId="79D931A3" w14:textId="77777777" w:rsidTr="001F0945">
        <w:tc>
          <w:tcPr>
            <w:tcW w:w="1280" w:type="pct"/>
          </w:tcPr>
          <w:p w14:paraId="2CE8E04A" w14:textId="77777777" w:rsidR="00C83A23" w:rsidRPr="00622632" w:rsidRDefault="00C83A23" w:rsidP="00C83A23">
            <w:pPr>
              <w:spacing w:line="240" w:lineRule="auto"/>
              <w:rPr>
                <w:rFonts w:cs="Times New Roman"/>
              </w:rPr>
            </w:pPr>
          </w:p>
        </w:tc>
        <w:tc>
          <w:tcPr>
            <w:tcW w:w="1827" w:type="pct"/>
          </w:tcPr>
          <w:p w14:paraId="7CF13A2A"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education=2.00]</w:t>
            </w:r>
          </w:p>
        </w:tc>
        <w:tc>
          <w:tcPr>
            <w:tcW w:w="573" w:type="pct"/>
          </w:tcPr>
          <w:p w14:paraId="4D5161CE" w14:textId="280F4C6C" w:rsidR="00C83A23" w:rsidRPr="00622632" w:rsidRDefault="00C83A23" w:rsidP="00C81B17">
            <w:pPr>
              <w:spacing w:line="240" w:lineRule="auto"/>
              <w:ind w:left="0" w:firstLine="0"/>
              <w:rPr>
                <w:rFonts w:cs="Times New Roman"/>
                <w:sz w:val="22"/>
              </w:rPr>
            </w:pPr>
            <w:r w:rsidRPr="00622632">
              <w:rPr>
                <w:rFonts w:cs="Times New Roman"/>
                <w:sz w:val="22"/>
              </w:rPr>
              <w:t>1.669</w:t>
            </w:r>
          </w:p>
        </w:tc>
        <w:tc>
          <w:tcPr>
            <w:tcW w:w="267" w:type="pct"/>
          </w:tcPr>
          <w:p w14:paraId="4622021D"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21B7EA0E"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279AD48F" w14:textId="77777777" w:rsidR="00C83A23" w:rsidRPr="00622632" w:rsidRDefault="00C83A23" w:rsidP="00C81B17">
            <w:pPr>
              <w:spacing w:line="240" w:lineRule="auto"/>
              <w:ind w:left="0" w:firstLine="0"/>
              <w:rPr>
                <w:rFonts w:cs="Times New Roman"/>
                <w:sz w:val="22"/>
              </w:rPr>
            </w:pPr>
            <w:r w:rsidRPr="00622632">
              <w:rPr>
                <w:rFonts w:cs="Times New Roman"/>
                <w:sz w:val="22"/>
              </w:rPr>
              <w:t>2573.851</w:t>
            </w:r>
          </w:p>
        </w:tc>
      </w:tr>
      <w:tr w:rsidR="00966429" w:rsidRPr="00622632" w14:paraId="0874A99D" w14:textId="77777777" w:rsidTr="001F0945">
        <w:tc>
          <w:tcPr>
            <w:tcW w:w="1280" w:type="pct"/>
          </w:tcPr>
          <w:p w14:paraId="1C522331" w14:textId="77777777" w:rsidR="00C83A23" w:rsidRPr="00622632" w:rsidRDefault="00C83A23" w:rsidP="00C83A23">
            <w:pPr>
              <w:spacing w:line="240" w:lineRule="auto"/>
              <w:rPr>
                <w:rFonts w:cs="Times New Roman"/>
              </w:rPr>
            </w:pPr>
          </w:p>
        </w:tc>
        <w:tc>
          <w:tcPr>
            <w:tcW w:w="1827" w:type="pct"/>
          </w:tcPr>
          <w:p w14:paraId="161CD4B6"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education=4.00]</w:t>
            </w:r>
          </w:p>
        </w:tc>
        <w:tc>
          <w:tcPr>
            <w:tcW w:w="573" w:type="pct"/>
          </w:tcPr>
          <w:p w14:paraId="6B190FA6"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r w:rsidRPr="00622632">
              <w:rPr>
                <w:rFonts w:cs="Times New Roman"/>
                <w:sz w:val="22"/>
                <w:vertAlign w:val="superscript"/>
              </w:rPr>
              <w:t>c</w:t>
            </w:r>
          </w:p>
        </w:tc>
        <w:tc>
          <w:tcPr>
            <w:tcW w:w="267" w:type="pct"/>
          </w:tcPr>
          <w:p w14:paraId="3B7A42B9"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p>
        </w:tc>
        <w:tc>
          <w:tcPr>
            <w:tcW w:w="385" w:type="pct"/>
          </w:tcPr>
          <w:p w14:paraId="5C5E90F1"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32EB504F"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r>
      <w:tr w:rsidR="00966429" w:rsidRPr="00622632" w14:paraId="1C5F8769" w14:textId="77777777" w:rsidTr="001F0945">
        <w:tc>
          <w:tcPr>
            <w:tcW w:w="1280" w:type="pct"/>
          </w:tcPr>
          <w:p w14:paraId="7E9BA760" w14:textId="77777777" w:rsidR="00C83A23" w:rsidRPr="00622632" w:rsidRDefault="00C83A23" w:rsidP="00C83A23">
            <w:pPr>
              <w:spacing w:line="240" w:lineRule="auto"/>
              <w:ind w:left="0" w:firstLine="0"/>
              <w:rPr>
                <w:rFonts w:cs="Times New Roman"/>
              </w:rPr>
            </w:pPr>
            <w:r w:rsidRPr="00622632">
              <w:rPr>
                <w:rFonts w:cs="Times New Roman"/>
              </w:rPr>
              <w:t>Citizen Power</w:t>
            </w:r>
          </w:p>
        </w:tc>
        <w:tc>
          <w:tcPr>
            <w:tcW w:w="1827" w:type="pct"/>
          </w:tcPr>
          <w:p w14:paraId="347108AF" w14:textId="77777777" w:rsidR="00C83A23" w:rsidRPr="00622632" w:rsidRDefault="00C83A23" w:rsidP="00C83A23">
            <w:pPr>
              <w:spacing w:line="240" w:lineRule="auto"/>
              <w:ind w:left="0" w:firstLine="0"/>
              <w:rPr>
                <w:rFonts w:cs="Times New Roman"/>
                <w:sz w:val="22"/>
              </w:rPr>
            </w:pPr>
            <w:r w:rsidRPr="00622632">
              <w:rPr>
                <w:rFonts w:cs="Times New Roman"/>
                <w:sz w:val="22"/>
              </w:rPr>
              <w:t>Intercept</w:t>
            </w:r>
          </w:p>
        </w:tc>
        <w:tc>
          <w:tcPr>
            <w:tcW w:w="573" w:type="pct"/>
          </w:tcPr>
          <w:p w14:paraId="6F66F052" w14:textId="77777777" w:rsidR="00C83A23" w:rsidRPr="00622632" w:rsidRDefault="00C83A23" w:rsidP="00C81B17">
            <w:pPr>
              <w:spacing w:line="240" w:lineRule="auto"/>
              <w:ind w:left="0" w:firstLine="0"/>
              <w:rPr>
                <w:rFonts w:cs="Times New Roman"/>
                <w:sz w:val="22"/>
              </w:rPr>
            </w:pPr>
            <w:r w:rsidRPr="00622632">
              <w:rPr>
                <w:rFonts w:cs="Times New Roman"/>
                <w:sz w:val="22"/>
              </w:rPr>
              <w:t>3.081</w:t>
            </w:r>
          </w:p>
        </w:tc>
        <w:tc>
          <w:tcPr>
            <w:tcW w:w="267" w:type="pct"/>
          </w:tcPr>
          <w:p w14:paraId="5B1E7652"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3AADFD6F" w14:textId="77777777" w:rsidR="00C83A23" w:rsidRPr="00622632" w:rsidRDefault="00C83A23" w:rsidP="00C81B17">
            <w:pPr>
              <w:spacing w:line="240" w:lineRule="auto"/>
              <w:ind w:left="0" w:firstLine="0"/>
              <w:rPr>
                <w:rFonts w:cs="Times New Roman"/>
                <w:sz w:val="22"/>
              </w:rPr>
            </w:pPr>
            <w:r w:rsidRPr="00622632">
              <w:rPr>
                <w:rFonts w:cs="Times New Roman"/>
                <w:sz w:val="22"/>
              </w:rPr>
              <w:t>.033</w:t>
            </w:r>
          </w:p>
        </w:tc>
        <w:tc>
          <w:tcPr>
            <w:tcW w:w="667" w:type="pct"/>
            <w:vAlign w:val="center"/>
          </w:tcPr>
          <w:p w14:paraId="3FE05667" w14:textId="77777777" w:rsidR="00C83A23" w:rsidRPr="00622632" w:rsidRDefault="00C83A23" w:rsidP="00C81B17">
            <w:pPr>
              <w:spacing w:line="240" w:lineRule="auto"/>
              <w:ind w:left="0" w:firstLine="0"/>
              <w:rPr>
                <w:rFonts w:cs="Times New Roman"/>
                <w:sz w:val="22"/>
              </w:rPr>
            </w:pPr>
          </w:p>
        </w:tc>
      </w:tr>
      <w:tr w:rsidR="00966429" w:rsidRPr="00622632" w14:paraId="71A30C0A" w14:textId="77777777" w:rsidTr="001F0945">
        <w:tc>
          <w:tcPr>
            <w:tcW w:w="1280" w:type="pct"/>
          </w:tcPr>
          <w:p w14:paraId="17DA8064" w14:textId="77777777" w:rsidR="00C83A23" w:rsidRPr="00622632" w:rsidRDefault="00C83A23" w:rsidP="00C83A23">
            <w:pPr>
              <w:spacing w:line="240" w:lineRule="auto"/>
              <w:rPr>
                <w:rFonts w:cs="Times New Roman"/>
              </w:rPr>
            </w:pPr>
          </w:p>
        </w:tc>
        <w:tc>
          <w:tcPr>
            <w:tcW w:w="1827" w:type="pct"/>
          </w:tcPr>
          <w:p w14:paraId="347C4D7A" w14:textId="77777777" w:rsidR="00C83A23" w:rsidRPr="00622632" w:rsidRDefault="00C83A23" w:rsidP="00C83A23">
            <w:pPr>
              <w:spacing w:line="240" w:lineRule="auto"/>
              <w:ind w:left="0" w:firstLine="0"/>
              <w:rPr>
                <w:rFonts w:cs="Times New Roman"/>
                <w:sz w:val="22"/>
              </w:rPr>
            </w:pPr>
            <w:r>
              <w:rPr>
                <w:rFonts w:cs="Times New Roman"/>
                <w:sz w:val="22"/>
              </w:rPr>
              <w:t>Duration of stay</w:t>
            </w:r>
          </w:p>
        </w:tc>
        <w:tc>
          <w:tcPr>
            <w:tcW w:w="573" w:type="pct"/>
          </w:tcPr>
          <w:p w14:paraId="1FB5104C" w14:textId="77777777" w:rsidR="00C83A23" w:rsidRPr="00622632" w:rsidRDefault="00C83A23" w:rsidP="00C81B17">
            <w:pPr>
              <w:spacing w:line="240" w:lineRule="auto"/>
              <w:ind w:left="0" w:firstLine="0"/>
              <w:rPr>
                <w:rFonts w:cs="Times New Roman"/>
                <w:sz w:val="22"/>
              </w:rPr>
            </w:pPr>
            <w:r w:rsidRPr="00622632">
              <w:rPr>
                <w:rFonts w:cs="Times New Roman"/>
                <w:sz w:val="22"/>
              </w:rPr>
              <w:t>-.066</w:t>
            </w:r>
          </w:p>
        </w:tc>
        <w:tc>
          <w:tcPr>
            <w:tcW w:w="267" w:type="pct"/>
          </w:tcPr>
          <w:p w14:paraId="003EF853"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0AC92AEC" w14:textId="77777777" w:rsidR="00C83A23" w:rsidRPr="00622632" w:rsidRDefault="00C83A23" w:rsidP="00C81B17">
            <w:pPr>
              <w:spacing w:line="240" w:lineRule="auto"/>
              <w:ind w:left="0" w:firstLine="0"/>
              <w:rPr>
                <w:rFonts w:cs="Times New Roman"/>
                <w:sz w:val="22"/>
              </w:rPr>
            </w:pPr>
            <w:r w:rsidRPr="00622632">
              <w:rPr>
                <w:rFonts w:cs="Times New Roman"/>
                <w:sz w:val="22"/>
              </w:rPr>
              <w:t>.020</w:t>
            </w:r>
          </w:p>
        </w:tc>
        <w:tc>
          <w:tcPr>
            <w:tcW w:w="667" w:type="pct"/>
          </w:tcPr>
          <w:p w14:paraId="62805E00" w14:textId="77777777" w:rsidR="00C83A23" w:rsidRPr="00622632" w:rsidRDefault="00C83A23" w:rsidP="00C81B17">
            <w:pPr>
              <w:spacing w:line="240" w:lineRule="auto"/>
              <w:ind w:left="0" w:firstLine="0"/>
              <w:rPr>
                <w:rFonts w:cs="Times New Roman"/>
                <w:sz w:val="22"/>
              </w:rPr>
            </w:pPr>
            <w:r w:rsidRPr="00622632">
              <w:rPr>
                <w:rFonts w:cs="Times New Roman"/>
                <w:sz w:val="22"/>
              </w:rPr>
              <w:t>.936</w:t>
            </w:r>
          </w:p>
        </w:tc>
      </w:tr>
      <w:tr w:rsidR="00966429" w:rsidRPr="00622632" w14:paraId="6DE08CA1" w14:textId="77777777" w:rsidTr="001F0945">
        <w:tc>
          <w:tcPr>
            <w:tcW w:w="1280" w:type="pct"/>
          </w:tcPr>
          <w:p w14:paraId="1711DBB0" w14:textId="77777777" w:rsidR="00C83A23" w:rsidRPr="00622632" w:rsidRDefault="00C83A23" w:rsidP="00C83A23">
            <w:pPr>
              <w:spacing w:line="240" w:lineRule="auto"/>
              <w:rPr>
                <w:rFonts w:cs="Times New Roman"/>
              </w:rPr>
            </w:pPr>
          </w:p>
        </w:tc>
        <w:tc>
          <w:tcPr>
            <w:tcW w:w="1827" w:type="pct"/>
          </w:tcPr>
          <w:p w14:paraId="2325B2C0" w14:textId="77777777" w:rsidR="00C83A23" w:rsidRPr="00622632" w:rsidRDefault="00C83A23" w:rsidP="00C83A23">
            <w:pPr>
              <w:spacing w:line="240" w:lineRule="auto"/>
              <w:ind w:left="0" w:firstLine="0"/>
              <w:rPr>
                <w:rFonts w:cs="Times New Roman"/>
                <w:sz w:val="22"/>
              </w:rPr>
            </w:pPr>
            <w:r w:rsidRPr="00622632">
              <w:rPr>
                <w:rFonts w:cs="Times New Roman"/>
                <w:sz w:val="22"/>
              </w:rPr>
              <w:t>[belong to a group=.00]</w:t>
            </w:r>
          </w:p>
        </w:tc>
        <w:tc>
          <w:tcPr>
            <w:tcW w:w="573" w:type="pct"/>
          </w:tcPr>
          <w:p w14:paraId="784731FC" w14:textId="77777777" w:rsidR="00C83A23" w:rsidRPr="00622632" w:rsidRDefault="00C83A23" w:rsidP="00C81B17">
            <w:pPr>
              <w:spacing w:line="240" w:lineRule="auto"/>
              <w:ind w:left="0" w:firstLine="0"/>
              <w:rPr>
                <w:rFonts w:cs="Times New Roman"/>
                <w:sz w:val="22"/>
              </w:rPr>
            </w:pPr>
            <w:r w:rsidRPr="00622632">
              <w:rPr>
                <w:rFonts w:cs="Times New Roman"/>
                <w:sz w:val="22"/>
              </w:rPr>
              <w:t>-19.629</w:t>
            </w:r>
          </w:p>
        </w:tc>
        <w:tc>
          <w:tcPr>
            <w:tcW w:w="267" w:type="pct"/>
          </w:tcPr>
          <w:p w14:paraId="5E558043"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112683F4" w14:textId="77777777" w:rsidR="00C83A23" w:rsidRPr="00622632" w:rsidRDefault="00C83A23" w:rsidP="00C81B17">
            <w:pPr>
              <w:spacing w:line="240" w:lineRule="auto"/>
              <w:ind w:left="0" w:firstLine="0"/>
              <w:rPr>
                <w:rFonts w:cs="Times New Roman"/>
                <w:sz w:val="22"/>
              </w:rPr>
            </w:pPr>
            <w:r w:rsidRPr="00622632">
              <w:rPr>
                <w:rFonts w:cs="Times New Roman"/>
                <w:sz w:val="22"/>
              </w:rPr>
              <w:t>.991</w:t>
            </w:r>
          </w:p>
        </w:tc>
        <w:tc>
          <w:tcPr>
            <w:tcW w:w="667" w:type="pct"/>
          </w:tcPr>
          <w:p w14:paraId="0DA0D38D" w14:textId="77777777" w:rsidR="00C83A23" w:rsidRPr="00622632" w:rsidRDefault="00C83A23" w:rsidP="00C81B17">
            <w:pPr>
              <w:spacing w:line="240" w:lineRule="auto"/>
              <w:ind w:left="0" w:firstLine="0"/>
              <w:rPr>
                <w:rFonts w:cs="Times New Roman"/>
                <w:sz w:val="22"/>
              </w:rPr>
            </w:pPr>
            <w:r w:rsidRPr="00622632">
              <w:rPr>
                <w:rFonts w:cs="Times New Roman"/>
                <w:sz w:val="22"/>
              </w:rPr>
              <w:t>2.987E-9</w:t>
            </w:r>
          </w:p>
        </w:tc>
      </w:tr>
      <w:tr w:rsidR="00966429" w:rsidRPr="00622632" w14:paraId="7275D91D" w14:textId="77777777" w:rsidTr="001F0945">
        <w:tc>
          <w:tcPr>
            <w:tcW w:w="1280" w:type="pct"/>
          </w:tcPr>
          <w:p w14:paraId="5A7FF678" w14:textId="77777777" w:rsidR="00C83A23" w:rsidRPr="00622632" w:rsidRDefault="00C83A23" w:rsidP="00C83A23">
            <w:pPr>
              <w:spacing w:line="240" w:lineRule="auto"/>
              <w:rPr>
                <w:rFonts w:cs="Times New Roman"/>
              </w:rPr>
            </w:pPr>
          </w:p>
        </w:tc>
        <w:tc>
          <w:tcPr>
            <w:tcW w:w="1827" w:type="pct"/>
          </w:tcPr>
          <w:p w14:paraId="7A1F4EB4" w14:textId="77777777" w:rsidR="00C83A23" w:rsidRPr="00622632" w:rsidRDefault="00C83A23" w:rsidP="00C83A23">
            <w:pPr>
              <w:spacing w:line="240" w:lineRule="auto"/>
              <w:ind w:left="0" w:firstLine="0"/>
              <w:rPr>
                <w:rFonts w:cs="Times New Roman"/>
                <w:sz w:val="22"/>
              </w:rPr>
            </w:pPr>
            <w:r w:rsidRPr="00622632">
              <w:rPr>
                <w:rFonts w:cs="Times New Roman"/>
                <w:sz w:val="22"/>
              </w:rPr>
              <w:t>[belong to a group=1.00]</w:t>
            </w:r>
          </w:p>
        </w:tc>
        <w:tc>
          <w:tcPr>
            <w:tcW w:w="573" w:type="pct"/>
          </w:tcPr>
          <w:p w14:paraId="1E1B4BED"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r w:rsidRPr="00622632">
              <w:rPr>
                <w:rFonts w:cs="Times New Roman"/>
                <w:sz w:val="22"/>
                <w:vertAlign w:val="superscript"/>
              </w:rPr>
              <w:t>b</w:t>
            </w:r>
          </w:p>
        </w:tc>
        <w:tc>
          <w:tcPr>
            <w:tcW w:w="267" w:type="pct"/>
          </w:tcPr>
          <w:p w14:paraId="183C7261"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p>
        </w:tc>
        <w:tc>
          <w:tcPr>
            <w:tcW w:w="385" w:type="pct"/>
          </w:tcPr>
          <w:p w14:paraId="61FCBE51"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381E036A"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r>
      <w:tr w:rsidR="00966429" w:rsidRPr="00622632" w14:paraId="51B6AA95" w14:textId="77777777" w:rsidTr="001F0945">
        <w:tc>
          <w:tcPr>
            <w:tcW w:w="1280" w:type="pct"/>
          </w:tcPr>
          <w:p w14:paraId="2E17250C" w14:textId="77777777" w:rsidR="00C83A23" w:rsidRPr="00622632" w:rsidRDefault="00C83A23" w:rsidP="00C83A23">
            <w:pPr>
              <w:spacing w:line="240" w:lineRule="auto"/>
              <w:rPr>
                <w:rFonts w:cs="Times New Roman"/>
              </w:rPr>
            </w:pPr>
          </w:p>
        </w:tc>
        <w:tc>
          <w:tcPr>
            <w:tcW w:w="1827" w:type="pct"/>
          </w:tcPr>
          <w:p w14:paraId="48F50C69"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education=1.00]</w:t>
            </w:r>
          </w:p>
        </w:tc>
        <w:tc>
          <w:tcPr>
            <w:tcW w:w="573" w:type="pct"/>
          </w:tcPr>
          <w:p w14:paraId="7BE9E3D2" w14:textId="77777777" w:rsidR="00C83A23" w:rsidRPr="00622632" w:rsidRDefault="00C83A23" w:rsidP="00C81B17">
            <w:pPr>
              <w:spacing w:line="240" w:lineRule="auto"/>
              <w:ind w:left="0" w:firstLine="0"/>
              <w:rPr>
                <w:rFonts w:cs="Times New Roman"/>
                <w:sz w:val="22"/>
              </w:rPr>
            </w:pPr>
            <w:r w:rsidRPr="00622632">
              <w:rPr>
                <w:rFonts w:cs="Times New Roman"/>
                <w:sz w:val="22"/>
              </w:rPr>
              <w:t>-.970</w:t>
            </w:r>
          </w:p>
        </w:tc>
        <w:tc>
          <w:tcPr>
            <w:tcW w:w="267" w:type="pct"/>
          </w:tcPr>
          <w:p w14:paraId="56D5DAA9"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65326A79" w14:textId="77777777" w:rsidR="00C83A23" w:rsidRPr="00622632" w:rsidRDefault="00C83A23" w:rsidP="00C81B17">
            <w:pPr>
              <w:spacing w:line="240" w:lineRule="auto"/>
              <w:ind w:left="0" w:firstLine="0"/>
              <w:rPr>
                <w:rFonts w:cs="Times New Roman"/>
                <w:sz w:val="22"/>
              </w:rPr>
            </w:pPr>
            <w:r w:rsidRPr="00622632">
              <w:rPr>
                <w:rFonts w:cs="Times New Roman"/>
                <w:sz w:val="22"/>
              </w:rPr>
              <w:t>.022</w:t>
            </w:r>
          </w:p>
        </w:tc>
        <w:tc>
          <w:tcPr>
            <w:tcW w:w="667" w:type="pct"/>
          </w:tcPr>
          <w:p w14:paraId="5A2B7F12" w14:textId="77777777" w:rsidR="00C83A23" w:rsidRPr="00622632" w:rsidRDefault="00C83A23" w:rsidP="00C81B17">
            <w:pPr>
              <w:spacing w:line="240" w:lineRule="auto"/>
              <w:ind w:left="0" w:firstLine="0"/>
              <w:rPr>
                <w:rFonts w:cs="Times New Roman"/>
                <w:sz w:val="22"/>
              </w:rPr>
            </w:pPr>
            <w:r w:rsidRPr="00622632">
              <w:rPr>
                <w:rFonts w:cs="Times New Roman"/>
                <w:sz w:val="22"/>
              </w:rPr>
              <w:t>.379</w:t>
            </w:r>
          </w:p>
        </w:tc>
      </w:tr>
      <w:tr w:rsidR="00966429" w:rsidRPr="00622632" w14:paraId="51E6AE2D" w14:textId="77777777" w:rsidTr="001F0945">
        <w:tc>
          <w:tcPr>
            <w:tcW w:w="1280" w:type="pct"/>
          </w:tcPr>
          <w:p w14:paraId="67BAF62F" w14:textId="77777777" w:rsidR="00C83A23" w:rsidRPr="00622632" w:rsidRDefault="00C83A23" w:rsidP="00C83A23">
            <w:pPr>
              <w:spacing w:line="240" w:lineRule="auto"/>
              <w:rPr>
                <w:rFonts w:cs="Times New Roman"/>
              </w:rPr>
            </w:pPr>
          </w:p>
        </w:tc>
        <w:tc>
          <w:tcPr>
            <w:tcW w:w="1827" w:type="pct"/>
          </w:tcPr>
          <w:p w14:paraId="0A836409"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education=2.00]</w:t>
            </w:r>
          </w:p>
        </w:tc>
        <w:tc>
          <w:tcPr>
            <w:tcW w:w="573" w:type="pct"/>
          </w:tcPr>
          <w:p w14:paraId="6DA16384" w14:textId="24912CBF" w:rsidR="00C83A23" w:rsidRPr="00622632" w:rsidRDefault="00C83A23" w:rsidP="00C81B17">
            <w:pPr>
              <w:spacing w:line="240" w:lineRule="auto"/>
              <w:ind w:left="0" w:firstLine="0"/>
              <w:rPr>
                <w:rFonts w:cs="Times New Roman"/>
                <w:sz w:val="22"/>
              </w:rPr>
            </w:pPr>
            <w:r w:rsidRPr="00622632">
              <w:rPr>
                <w:rFonts w:cs="Times New Roman"/>
                <w:sz w:val="22"/>
              </w:rPr>
              <w:t>18.245</w:t>
            </w:r>
          </w:p>
        </w:tc>
        <w:tc>
          <w:tcPr>
            <w:tcW w:w="267" w:type="pct"/>
          </w:tcPr>
          <w:p w14:paraId="6373AC46" w14:textId="77777777" w:rsidR="00C83A23" w:rsidRPr="00622632" w:rsidRDefault="00C83A23" w:rsidP="00C81B17">
            <w:pPr>
              <w:spacing w:line="240" w:lineRule="auto"/>
              <w:ind w:left="0" w:firstLine="0"/>
              <w:rPr>
                <w:rFonts w:cs="Times New Roman"/>
                <w:sz w:val="22"/>
              </w:rPr>
            </w:pPr>
            <w:r w:rsidRPr="00622632">
              <w:rPr>
                <w:rFonts w:cs="Times New Roman"/>
                <w:sz w:val="22"/>
              </w:rPr>
              <w:t>1</w:t>
            </w:r>
          </w:p>
        </w:tc>
        <w:tc>
          <w:tcPr>
            <w:tcW w:w="385" w:type="pct"/>
          </w:tcPr>
          <w:p w14:paraId="67A4D3DE"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3960CEB4" w14:textId="77777777" w:rsidR="00C83A23" w:rsidRPr="00622632" w:rsidRDefault="00C83A23" w:rsidP="00C81B17">
            <w:pPr>
              <w:spacing w:line="240" w:lineRule="auto"/>
              <w:ind w:left="0" w:firstLine="0"/>
              <w:rPr>
                <w:rFonts w:cs="Times New Roman"/>
                <w:sz w:val="22"/>
              </w:rPr>
            </w:pPr>
            <w:r w:rsidRPr="00622632">
              <w:rPr>
                <w:rFonts w:cs="Times New Roman"/>
                <w:sz w:val="22"/>
              </w:rPr>
              <w:t>1.192E-8</w:t>
            </w:r>
          </w:p>
        </w:tc>
      </w:tr>
      <w:tr w:rsidR="00966429" w:rsidRPr="00622632" w14:paraId="2A9FD92C" w14:textId="77777777" w:rsidTr="001F0945">
        <w:tc>
          <w:tcPr>
            <w:tcW w:w="1280" w:type="pct"/>
          </w:tcPr>
          <w:p w14:paraId="19B4C593" w14:textId="77777777" w:rsidR="00C83A23" w:rsidRPr="00622632" w:rsidRDefault="00C83A23" w:rsidP="00C83A23">
            <w:pPr>
              <w:spacing w:line="240" w:lineRule="auto"/>
              <w:rPr>
                <w:rFonts w:cs="Times New Roman"/>
              </w:rPr>
            </w:pPr>
          </w:p>
        </w:tc>
        <w:tc>
          <w:tcPr>
            <w:tcW w:w="1827" w:type="pct"/>
          </w:tcPr>
          <w:p w14:paraId="470C47FB" w14:textId="77777777" w:rsidR="00C83A23" w:rsidRPr="00622632" w:rsidRDefault="00C83A23" w:rsidP="00C83A23">
            <w:pPr>
              <w:spacing w:line="240" w:lineRule="auto"/>
              <w:ind w:left="0" w:firstLine="0"/>
              <w:rPr>
                <w:rFonts w:cs="Times New Roman"/>
                <w:sz w:val="22"/>
              </w:rPr>
            </w:pPr>
            <w:r w:rsidRPr="00622632">
              <w:rPr>
                <w:rFonts w:cs="Times New Roman"/>
                <w:sz w:val="22"/>
              </w:rPr>
              <w:t>[level of education=4.00]</w:t>
            </w:r>
          </w:p>
        </w:tc>
        <w:tc>
          <w:tcPr>
            <w:tcW w:w="573" w:type="pct"/>
          </w:tcPr>
          <w:p w14:paraId="3D324F23"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r w:rsidRPr="00622632">
              <w:rPr>
                <w:rFonts w:cs="Times New Roman"/>
                <w:sz w:val="22"/>
                <w:vertAlign w:val="superscript"/>
              </w:rPr>
              <w:t>b</w:t>
            </w:r>
          </w:p>
        </w:tc>
        <w:tc>
          <w:tcPr>
            <w:tcW w:w="267" w:type="pct"/>
          </w:tcPr>
          <w:p w14:paraId="4E12BB38" w14:textId="77777777" w:rsidR="00C83A23" w:rsidRPr="00622632" w:rsidRDefault="00C83A23" w:rsidP="00C81B17">
            <w:pPr>
              <w:spacing w:line="240" w:lineRule="auto"/>
              <w:ind w:left="0" w:firstLine="0"/>
              <w:rPr>
                <w:rFonts w:cs="Times New Roman"/>
                <w:sz w:val="22"/>
              </w:rPr>
            </w:pPr>
            <w:r w:rsidRPr="00622632">
              <w:rPr>
                <w:rFonts w:cs="Times New Roman"/>
                <w:sz w:val="22"/>
              </w:rPr>
              <w:t>0</w:t>
            </w:r>
          </w:p>
        </w:tc>
        <w:tc>
          <w:tcPr>
            <w:tcW w:w="385" w:type="pct"/>
          </w:tcPr>
          <w:p w14:paraId="3FA53473"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c>
          <w:tcPr>
            <w:tcW w:w="667" w:type="pct"/>
          </w:tcPr>
          <w:p w14:paraId="3FDA0934" w14:textId="77777777" w:rsidR="00C83A23" w:rsidRPr="00622632" w:rsidRDefault="00C83A23" w:rsidP="00C81B17">
            <w:pPr>
              <w:spacing w:line="240" w:lineRule="auto"/>
              <w:ind w:left="0" w:firstLine="0"/>
              <w:rPr>
                <w:rFonts w:cs="Times New Roman"/>
                <w:sz w:val="22"/>
              </w:rPr>
            </w:pPr>
            <w:r w:rsidRPr="00622632">
              <w:rPr>
                <w:rFonts w:cs="Times New Roman"/>
                <w:sz w:val="22"/>
              </w:rPr>
              <w:t>.</w:t>
            </w:r>
          </w:p>
        </w:tc>
      </w:tr>
    </w:tbl>
    <w:p w14:paraId="0234E162" w14:textId="77777777" w:rsidR="00966429" w:rsidRDefault="00966429" w:rsidP="00966429">
      <w:pPr>
        <w:spacing w:after="0" w:line="240" w:lineRule="auto"/>
        <w:ind w:left="0" w:firstLine="0"/>
        <w:rPr>
          <w:rFonts w:cs="Times New Roman"/>
        </w:rPr>
      </w:pPr>
      <w:r w:rsidRPr="00622632">
        <w:rPr>
          <w:rFonts w:cs="Times New Roman"/>
        </w:rPr>
        <w:t>b. This parameter is set to zero because it is redundant.</w:t>
      </w:r>
    </w:p>
    <w:p w14:paraId="41B72ECD" w14:textId="77777777" w:rsidR="00966429" w:rsidRDefault="00966429" w:rsidP="00966429">
      <w:pPr>
        <w:spacing w:after="0" w:line="240" w:lineRule="auto"/>
        <w:ind w:left="0" w:firstLine="0"/>
        <w:rPr>
          <w:rFonts w:cs="Times New Roman"/>
        </w:rPr>
      </w:pPr>
      <w:r>
        <w:rPr>
          <w:rFonts w:cs="Times New Roman"/>
        </w:rPr>
        <w:t>c. floating point overflow occurred while computing this statistic. Its value is therefore set to system missing.</w:t>
      </w:r>
    </w:p>
    <w:p w14:paraId="72F9EFF4" w14:textId="52E29B75" w:rsidR="00F96B9A" w:rsidRDefault="0024221E" w:rsidP="00D2504A">
      <w:pPr>
        <w:autoSpaceDE w:val="0"/>
        <w:autoSpaceDN w:val="0"/>
        <w:adjustRightInd w:val="0"/>
        <w:spacing w:after="0"/>
        <w:ind w:left="0" w:firstLine="0"/>
        <w:rPr>
          <w:rFonts w:cs="Times New Roman"/>
          <w:szCs w:val="24"/>
        </w:rPr>
        <w:sectPr w:rsidR="00F96B9A" w:rsidSect="0081629E">
          <w:type w:val="continuous"/>
          <w:pgSz w:w="11906" w:h="16838" w:code="9"/>
          <w:pgMar w:top="1440" w:right="1440" w:bottom="1440" w:left="2880" w:header="720" w:footer="720" w:gutter="0"/>
          <w:cols w:space="720"/>
          <w:docGrid w:linePitch="360"/>
        </w:sectPr>
      </w:pPr>
      <w:r>
        <w:rPr>
          <w:rFonts w:cs="Times New Roman"/>
          <w:szCs w:val="24"/>
        </w:rPr>
        <w:t>Source: Field</w:t>
      </w:r>
      <w:r w:rsidR="00F96B9A">
        <w:rPr>
          <w:rFonts w:cs="Times New Roman"/>
          <w:szCs w:val="24"/>
        </w:rPr>
        <w:t>work</w:t>
      </w:r>
      <w:r>
        <w:rPr>
          <w:rFonts w:cs="Times New Roman"/>
          <w:szCs w:val="24"/>
        </w:rPr>
        <w:t xml:space="preserve"> </w:t>
      </w:r>
      <w:r w:rsidR="00503189">
        <w:rPr>
          <w:rFonts w:cs="Times New Roman"/>
          <w:szCs w:val="24"/>
        </w:rPr>
        <w:t>(</w:t>
      </w:r>
      <w:r>
        <w:rPr>
          <w:rFonts w:cs="Times New Roman"/>
          <w:szCs w:val="24"/>
        </w:rPr>
        <w:t>2024</w:t>
      </w:r>
      <w:r w:rsidR="00503189">
        <w:rPr>
          <w:rFonts w:cs="Times New Roman"/>
          <w:szCs w:val="24"/>
        </w:rPr>
        <w:t>)</w:t>
      </w:r>
      <w:r>
        <w:rPr>
          <w:rFonts w:cs="Times New Roman"/>
          <w:szCs w:val="24"/>
        </w:rPr>
        <w:t>.</w:t>
      </w:r>
      <w:r w:rsidR="00503189">
        <w:rPr>
          <w:rFonts w:cs="Times New Roman"/>
          <w:szCs w:val="24"/>
        </w:rPr>
        <w:tab/>
      </w:r>
    </w:p>
    <w:p w14:paraId="6AD3DC4E" w14:textId="2F1D8008" w:rsidR="0024221E" w:rsidRDefault="00CA2BDE" w:rsidP="00754D26">
      <w:pPr>
        <w:spacing w:after="0"/>
        <w:ind w:left="0"/>
        <w:rPr>
          <w:rFonts w:cs="Times New Roman"/>
          <w:szCs w:val="24"/>
        </w:rPr>
      </w:pPr>
      <w:r>
        <w:rPr>
          <w:rFonts w:cs="Times New Roman"/>
          <w:szCs w:val="24"/>
        </w:rPr>
        <w:t>Multinomial logistic regression was performed to analyse the factors that</w:t>
      </w:r>
      <w:r w:rsidR="0024221E" w:rsidRPr="00A60B75">
        <w:rPr>
          <w:rFonts w:cs="Times New Roman"/>
          <w:szCs w:val="24"/>
        </w:rPr>
        <w:t xml:space="preserve"> enhanced community participation in the </w:t>
      </w:r>
      <w:r w:rsidR="00003C1F">
        <w:rPr>
          <w:rFonts w:cs="Times New Roman"/>
          <w:szCs w:val="24"/>
        </w:rPr>
        <w:t xml:space="preserve">management process at </w:t>
      </w:r>
      <w:r>
        <w:rPr>
          <w:rFonts w:cs="Times New Roman"/>
          <w:szCs w:val="24"/>
        </w:rPr>
        <w:t>Bobiri and Southern Scarp Forest Reserv</w:t>
      </w:r>
      <w:r w:rsidR="00003C1F">
        <w:rPr>
          <w:rFonts w:cs="Times New Roman"/>
          <w:szCs w:val="24"/>
        </w:rPr>
        <w:t>e</w:t>
      </w:r>
      <w:r w:rsidR="0024221E" w:rsidRPr="00A60B75">
        <w:rPr>
          <w:rFonts w:cs="Times New Roman"/>
          <w:szCs w:val="24"/>
        </w:rPr>
        <w:t xml:space="preserve">. The model contained </w:t>
      </w:r>
      <w:r w:rsidR="0024221E">
        <w:rPr>
          <w:rFonts w:cs="Times New Roman"/>
          <w:szCs w:val="24"/>
        </w:rPr>
        <w:t>three</w:t>
      </w:r>
      <w:r w:rsidR="0024221E" w:rsidRPr="00A60B75">
        <w:rPr>
          <w:rFonts w:cs="Times New Roman"/>
          <w:szCs w:val="24"/>
        </w:rPr>
        <w:t xml:space="preserve"> independent variables, i.e., </w:t>
      </w:r>
      <w:r w:rsidR="00003C1F">
        <w:rPr>
          <w:rFonts w:cs="Times New Roman"/>
          <w:szCs w:val="24"/>
        </w:rPr>
        <w:t>duration of stay</w:t>
      </w:r>
      <w:r w:rsidR="0024221E" w:rsidRPr="00A60B75">
        <w:rPr>
          <w:rFonts w:cs="Times New Roman"/>
          <w:szCs w:val="24"/>
        </w:rPr>
        <w:t xml:space="preserve">, level of education of residents and a resident belonging to a group. </w:t>
      </w:r>
      <w:r>
        <w:rPr>
          <w:rFonts w:cs="Times New Roman"/>
          <w:szCs w:val="24"/>
        </w:rPr>
        <w:t>Table 1</w:t>
      </w:r>
      <w:r w:rsidR="007E426C">
        <w:rPr>
          <w:rFonts w:cs="Times New Roman"/>
          <w:szCs w:val="24"/>
        </w:rPr>
        <w:t>7</w:t>
      </w:r>
      <w:r>
        <w:rPr>
          <w:rFonts w:cs="Times New Roman"/>
          <w:szCs w:val="24"/>
        </w:rPr>
        <w:t xml:space="preserve"> show</w:t>
      </w:r>
      <w:r w:rsidR="00003C1F">
        <w:rPr>
          <w:rFonts w:cs="Times New Roman"/>
          <w:szCs w:val="24"/>
        </w:rPr>
        <w:t>ed</w:t>
      </w:r>
      <w:r w:rsidR="0024221E" w:rsidRPr="00A60B75">
        <w:rPr>
          <w:rFonts w:cs="Times New Roman"/>
          <w:szCs w:val="24"/>
        </w:rPr>
        <w:t xml:space="preserve"> that all the predictor variables in the model contributed to the variations in the predicted variable</w:t>
      </w:r>
      <w:r>
        <w:rPr>
          <w:rFonts w:cs="Times New Roman"/>
          <w:szCs w:val="24"/>
        </w:rPr>
        <w:t>. T</w:t>
      </w:r>
      <w:r w:rsidR="0024221E">
        <w:rPr>
          <w:rFonts w:cs="Times New Roman"/>
          <w:szCs w:val="24"/>
        </w:rPr>
        <w:t>hese contributions</w:t>
      </w:r>
      <w:r w:rsidR="0024221E" w:rsidRPr="00A60B75">
        <w:rPr>
          <w:rFonts w:cs="Times New Roman"/>
          <w:szCs w:val="24"/>
        </w:rPr>
        <w:t xml:space="preserve"> w</w:t>
      </w:r>
      <w:r w:rsidR="0024221E">
        <w:rPr>
          <w:rFonts w:cs="Times New Roman"/>
          <w:szCs w:val="24"/>
        </w:rPr>
        <w:t>ere</w:t>
      </w:r>
      <w:r w:rsidR="0024221E" w:rsidRPr="00A60B75">
        <w:rPr>
          <w:rFonts w:cs="Times New Roman"/>
          <w:szCs w:val="24"/>
        </w:rPr>
        <w:t xml:space="preserve"> statistically significant </w:t>
      </w:r>
      <w:r w:rsidR="0024221E">
        <w:rPr>
          <w:rFonts w:cs="Times New Roman"/>
          <w:szCs w:val="24"/>
        </w:rPr>
        <w:t xml:space="preserve">at </w:t>
      </w:r>
      <w:r w:rsidR="00003C1F">
        <w:rPr>
          <w:rFonts w:cs="Times New Roman"/>
          <w:szCs w:val="24"/>
        </w:rPr>
        <w:t>α</w:t>
      </w:r>
      <w:r w:rsidR="0024221E">
        <w:rPr>
          <w:rFonts w:cs="Times New Roman"/>
          <w:szCs w:val="24"/>
        </w:rPr>
        <w:t>&lt;.0</w:t>
      </w:r>
      <w:r w:rsidR="00484134">
        <w:rPr>
          <w:rFonts w:cs="Times New Roman"/>
          <w:szCs w:val="24"/>
        </w:rPr>
        <w:t>.05</w:t>
      </w:r>
    </w:p>
    <w:p w14:paraId="0D007EF9" w14:textId="3AD1FD0A" w:rsidR="00F07AAE" w:rsidRDefault="00503189" w:rsidP="00F80757">
      <w:pPr>
        <w:spacing w:after="0"/>
        <w:ind w:left="0" w:firstLine="0"/>
        <w:rPr>
          <w:rFonts w:cs="Times New Roman"/>
          <w:szCs w:val="24"/>
        </w:rPr>
      </w:pPr>
      <w:r>
        <w:rPr>
          <w:rFonts w:cs="Times New Roman"/>
          <w:szCs w:val="24"/>
        </w:rPr>
        <w:tab/>
      </w:r>
      <w:r w:rsidR="00966429">
        <w:rPr>
          <w:rFonts w:cs="Times New Roman"/>
          <w:szCs w:val="24"/>
        </w:rPr>
        <w:t>A</w:t>
      </w:r>
      <w:r w:rsidR="0024221E" w:rsidRPr="00A60B75">
        <w:rPr>
          <w:rFonts w:cs="Times New Roman"/>
          <w:szCs w:val="24"/>
        </w:rPr>
        <w:t xml:space="preserve">n odds ratio of </w:t>
      </w:r>
      <w:r w:rsidR="00966429">
        <w:rPr>
          <w:rFonts w:cs="Times New Roman"/>
          <w:szCs w:val="24"/>
        </w:rPr>
        <w:t xml:space="preserve">&gt;1 indicates that </w:t>
      </w:r>
      <w:r w:rsidR="008E4DBF">
        <w:rPr>
          <w:rFonts w:cs="Times New Roman"/>
          <w:szCs w:val="24"/>
        </w:rPr>
        <w:t>farmers have greater odds of participating in the highest</w:t>
      </w:r>
      <w:r w:rsidR="00F80940">
        <w:rPr>
          <w:rFonts w:cs="Times New Roman"/>
          <w:szCs w:val="24"/>
        </w:rPr>
        <w:t xml:space="preserve"> category, that is citizen power while an odds ratio &lt;1 signifies that farmers would participate in the lowest category, non-</w:t>
      </w:r>
      <w:r w:rsidR="00F80940">
        <w:rPr>
          <w:rFonts w:cs="Times New Roman"/>
          <w:szCs w:val="24"/>
        </w:rPr>
        <w:lastRenderedPageBreak/>
        <w:t xml:space="preserve">participation. </w:t>
      </w:r>
      <w:r w:rsidR="00F80757">
        <w:rPr>
          <w:rFonts w:cs="Times New Roman"/>
          <w:szCs w:val="24"/>
        </w:rPr>
        <w:t>D</w:t>
      </w:r>
      <w:r w:rsidR="00484134">
        <w:rPr>
          <w:rFonts w:cs="Times New Roman"/>
          <w:szCs w:val="24"/>
        </w:rPr>
        <w:t>uration of stay</w:t>
      </w:r>
      <w:r w:rsidR="0024221E" w:rsidRPr="00A60B75">
        <w:rPr>
          <w:rFonts w:cs="Times New Roman"/>
          <w:szCs w:val="24"/>
        </w:rPr>
        <w:t xml:space="preserve">, </w:t>
      </w:r>
      <w:r w:rsidR="00F80757">
        <w:rPr>
          <w:rFonts w:cs="Times New Roman"/>
          <w:szCs w:val="24"/>
        </w:rPr>
        <w:t>with an initial odd ratio of 1.069 meant that, an increase in the years of stay of a farmer brings about 1.069 increase in the farmer’s chances of participating in the category of citizen power.</w:t>
      </w:r>
      <w:r w:rsidR="00D15435">
        <w:rPr>
          <w:rFonts w:cs="Times New Roman"/>
          <w:szCs w:val="24"/>
        </w:rPr>
        <w:t xml:space="preserve"> </w:t>
      </w:r>
      <w:r w:rsidR="00F07AAE">
        <w:rPr>
          <w:rFonts w:cs="Times New Roman"/>
          <w:szCs w:val="24"/>
        </w:rPr>
        <w:t>Hence, the more years a member stayed meant a</w:t>
      </w:r>
      <w:r w:rsidR="00F80757">
        <w:rPr>
          <w:rFonts w:cs="Times New Roman"/>
          <w:szCs w:val="24"/>
        </w:rPr>
        <w:t>n increase in the</w:t>
      </w:r>
      <w:r w:rsidR="00F07AAE">
        <w:rPr>
          <w:rFonts w:cs="Times New Roman"/>
          <w:szCs w:val="24"/>
        </w:rPr>
        <w:t xml:space="preserve"> chance of having citizen control.</w:t>
      </w:r>
    </w:p>
    <w:p w14:paraId="1943658A" w14:textId="21D78EB0" w:rsidR="00D15435" w:rsidRPr="00ED2E9A" w:rsidRDefault="00D15435" w:rsidP="00AC1E7B">
      <w:pPr>
        <w:spacing w:after="0"/>
        <w:ind w:left="0"/>
        <w:rPr>
          <w:rFonts w:cs="Times New Roman"/>
          <w:color w:val="FF0000"/>
          <w:szCs w:val="24"/>
        </w:rPr>
      </w:pPr>
      <w:r w:rsidRPr="00AC1E7B">
        <w:rPr>
          <w:rFonts w:cs="Times New Roman"/>
          <w:szCs w:val="24"/>
        </w:rPr>
        <w:t xml:space="preserve">It came to light </w:t>
      </w:r>
      <w:r w:rsidR="00BF49D6" w:rsidRPr="00AC1E7B">
        <w:rPr>
          <w:rFonts w:cs="Times New Roman"/>
          <w:szCs w:val="24"/>
        </w:rPr>
        <w:t xml:space="preserve">from the focus group discussion </w:t>
      </w:r>
      <w:r w:rsidR="00F07AAE" w:rsidRPr="00AC1E7B">
        <w:rPr>
          <w:rFonts w:cs="Times New Roman"/>
          <w:szCs w:val="24"/>
        </w:rPr>
        <w:t>3, comprising of cocoa farmers</w:t>
      </w:r>
      <w:r w:rsidR="00BF49D6" w:rsidRPr="00AC1E7B">
        <w:rPr>
          <w:rFonts w:cs="Times New Roman"/>
          <w:szCs w:val="24"/>
        </w:rPr>
        <w:t xml:space="preserve"> at SSFR </w:t>
      </w:r>
      <w:r w:rsidR="00F07AAE" w:rsidRPr="00AC1E7B">
        <w:rPr>
          <w:rFonts w:cs="Times New Roman"/>
          <w:szCs w:val="24"/>
        </w:rPr>
        <w:t>on 15</w:t>
      </w:r>
      <w:r w:rsidR="00F07AAE" w:rsidRPr="00AC1E7B">
        <w:rPr>
          <w:rFonts w:cs="Times New Roman"/>
          <w:szCs w:val="24"/>
          <w:vertAlign w:val="superscript"/>
        </w:rPr>
        <w:t>th</w:t>
      </w:r>
      <w:r w:rsidR="00F07AAE" w:rsidRPr="00AC1E7B">
        <w:rPr>
          <w:rFonts w:cs="Times New Roman"/>
          <w:szCs w:val="24"/>
        </w:rPr>
        <w:t xml:space="preserve"> March 2024 </w:t>
      </w:r>
      <w:r w:rsidRPr="00AC1E7B">
        <w:rPr>
          <w:rFonts w:cs="Times New Roman"/>
          <w:szCs w:val="24"/>
        </w:rPr>
        <w:t>that community members who had stayed in the study area for a long period</w:t>
      </w:r>
      <w:r w:rsidR="0010099A" w:rsidRPr="00AC1E7B">
        <w:rPr>
          <w:rFonts w:cs="Times New Roman"/>
          <w:szCs w:val="24"/>
        </w:rPr>
        <w:t xml:space="preserve"> </w:t>
      </w:r>
      <w:r w:rsidR="00AC1E7B">
        <w:t>perceived that the</w:t>
      </w:r>
      <w:r w:rsidR="00F80757">
        <w:t xml:space="preserve"> intangible benefits from the reserve and were willing to participate in its management </w:t>
      </w:r>
      <w:r w:rsidR="00AC1E7B">
        <w:t xml:space="preserve">were argued by the Social Exchange Theory. Additionally, the discussion revealed that </w:t>
      </w:r>
      <w:r w:rsidR="00F80757">
        <w:t xml:space="preserve">even though </w:t>
      </w:r>
      <w:r w:rsidR="00AC1E7B">
        <w:t>some members assumed that the responsibility for forest management could be passed on to newer residents or younger generations</w:t>
      </w:r>
      <w:r w:rsidR="00F80757">
        <w:t>, they were still willing to help because they believed in leaving the resource intact for their grandchildren</w:t>
      </w:r>
      <w:r w:rsidR="00AC1E7B">
        <w:t>.</w:t>
      </w:r>
      <w:r w:rsidR="007E5029" w:rsidRPr="00ED2E9A">
        <w:rPr>
          <w:rFonts w:cs="Times New Roman"/>
          <w:color w:val="FF0000"/>
          <w:szCs w:val="24"/>
        </w:rPr>
        <w:t xml:space="preserve"> </w:t>
      </w:r>
    </w:p>
    <w:p w14:paraId="02F70B56" w14:textId="1DC538A5" w:rsidR="00CA445E" w:rsidRDefault="0024221E" w:rsidP="007E5029">
      <w:pPr>
        <w:spacing w:after="0"/>
        <w:ind w:left="0"/>
        <w:rPr>
          <w:rFonts w:cs="Times New Roman"/>
          <w:szCs w:val="24"/>
        </w:rPr>
      </w:pPr>
      <w:r w:rsidRPr="00A60B75">
        <w:rPr>
          <w:rFonts w:cs="Times New Roman"/>
          <w:szCs w:val="24"/>
        </w:rPr>
        <w:t xml:space="preserve"> </w:t>
      </w:r>
      <w:r>
        <w:rPr>
          <w:rFonts w:cs="Times New Roman"/>
          <w:szCs w:val="24"/>
        </w:rPr>
        <w:t>In the context of levels of education</w:t>
      </w:r>
      <w:r w:rsidR="00F80757">
        <w:rPr>
          <w:rFonts w:cs="Times New Roman"/>
          <w:szCs w:val="24"/>
        </w:rPr>
        <w:t>,</w:t>
      </w:r>
      <w:r>
        <w:rPr>
          <w:rFonts w:cs="Times New Roman"/>
          <w:szCs w:val="24"/>
        </w:rPr>
        <w:t xml:space="preserve"> an odd ratio of </w:t>
      </w:r>
      <w:r w:rsidR="00F80757">
        <w:rPr>
          <w:rFonts w:cs="Times New Roman"/>
          <w:szCs w:val="24"/>
        </w:rPr>
        <w:t>2</w:t>
      </w:r>
      <w:r>
        <w:rPr>
          <w:rFonts w:cs="Times New Roman"/>
          <w:szCs w:val="24"/>
        </w:rPr>
        <w:t>.3</w:t>
      </w:r>
      <w:r w:rsidR="00F80757">
        <w:rPr>
          <w:rFonts w:cs="Times New Roman"/>
          <w:szCs w:val="24"/>
        </w:rPr>
        <w:t>67</w:t>
      </w:r>
      <w:r>
        <w:rPr>
          <w:rFonts w:cs="Times New Roman"/>
          <w:szCs w:val="24"/>
        </w:rPr>
        <w:t xml:space="preserve">, a resident's increase in </w:t>
      </w:r>
      <w:r w:rsidR="00F80757">
        <w:rPr>
          <w:rFonts w:cs="Times New Roman"/>
          <w:szCs w:val="24"/>
        </w:rPr>
        <w:t xml:space="preserve">the level of </w:t>
      </w:r>
      <w:r>
        <w:rPr>
          <w:rFonts w:cs="Times New Roman"/>
          <w:szCs w:val="24"/>
        </w:rPr>
        <w:t xml:space="preserve">education brought about a </w:t>
      </w:r>
      <w:r w:rsidR="00F80757">
        <w:rPr>
          <w:rFonts w:cs="Times New Roman"/>
          <w:szCs w:val="24"/>
        </w:rPr>
        <w:t>2</w:t>
      </w:r>
      <w:r>
        <w:rPr>
          <w:rFonts w:cs="Times New Roman"/>
          <w:szCs w:val="24"/>
        </w:rPr>
        <w:t>.3</w:t>
      </w:r>
      <w:r w:rsidR="00F80757">
        <w:rPr>
          <w:rFonts w:cs="Times New Roman"/>
          <w:szCs w:val="24"/>
        </w:rPr>
        <w:t>67</w:t>
      </w:r>
      <w:r>
        <w:rPr>
          <w:rFonts w:cs="Times New Roman"/>
          <w:szCs w:val="24"/>
        </w:rPr>
        <w:t xml:space="preserve"> </w:t>
      </w:r>
      <w:r w:rsidR="00F80757">
        <w:rPr>
          <w:rFonts w:cs="Times New Roman"/>
          <w:szCs w:val="24"/>
        </w:rPr>
        <w:t>reduction</w:t>
      </w:r>
      <w:r>
        <w:rPr>
          <w:rFonts w:cs="Times New Roman"/>
          <w:szCs w:val="24"/>
        </w:rPr>
        <w:t xml:space="preserve"> in their engagement in the non-participation category. </w:t>
      </w:r>
      <w:r w:rsidR="00F07AAE">
        <w:rPr>
          <w:rFonts w:cs="Times New Roman"/>
          <w:szCs w:val="24"/>
        </w:rPr>
        <w:t xml:space="preserve">This meant that as a community member improved upon his/her education from primary to secondary, the member’s chances of having citizen </w:t>
      </w:r>
      <w:r w:rsidR="00ED2E9A">
        <w:rPr>
          <w:rFonts w:cs="Times New Roman"/>
          <w:szCs w:val="24"/>
        </w:rPr>
        <w:t>power</w:t>
      </w:r>
      <w:r w:rsidR="00F07AAE">
        <w:rPr>
          <w:rFonts w:cs="Times New Roman"/>
          <w:szCs w:val="24"/>
        </w:rPr>
        <w:t xml:space="preserve"> </w:t>
      </w:r>
      <w:r w:rsidR="00ED2E9A">
        <w:rPr>
          <w:rFonts w:cs="Times New Roman"/>
          <w:szCs w:val="24"/>
        </w:rPr>
        <w:t>in</w:t>
      </w:r>
      <w:r w:rsidR="00F07AAE">
        <w:rPr>
          <w:rFonts w:cs="Times New Roman"/>
          <w:szCs w:val="24"/>
        </w:rPr>
        <w:t xml:space="preserve"> the management of the reserve increased by </w:t>
      </w:r>
      <w:r w:rsidR="00F80757">
        <w:rPr>
          <w:rFonts w:cs="Times New Roman"/>
          <w:szCs w:val="24"/>
        </w:rPr>
        <w:t>2</w:t>
      </w:r>
      <w:r w:rsidR="00F07AAE">
        <w:rPr>
          <w:rFonts w:cs="Times New Roman"/>
          <w:szCs w:val="24"/>
        </w:rPr>
        <w:t>.3</w:t>
      </w:r>
      <w:r w:rsidR="00F80757">
        <w:rPr>
          <w:rFonts w:cs="Times New Roman"/>
          <w:szCs w:val="24"/>
        </w:rPr>
        <w:t>67</w:t>
      </w:r>
      <w:r w:rsidR="00F07AAE">
        <w:rPr>
          <w:rFonts w:cs="Times New Roman"/>
          <w:szCs w:val="24"/>
        </w:rPr>
        <w:t xml:space="preserve">. </w:t>
      </w:r>
      <w:r w:rsidR="00CA445E">
        <w:rPr>
          <w:rFonts w:cs="Times New Roman"/>
          <w:szCs w:val="24"/>
        </w:rPr>
        <w:t xml:space="preserve">Responses from the </w:t>
      </w:r>
      <w:r w:rsidR="00CD3695">
        <w:rPr>
          <w:rFonts w:cs="Times New Roman"/>
          <w:szCs w:val="24"/>
        </w:rPr>
        <w:t>interview schedule</w:t>
      </w:r>
      <w:r w:rsidR="00CA445E">
        <w:rPr>
          <w:rFonts w:cs="Times New Roman"/>
          <w:szCs w:val="24"/>
        </w:rPr>
        <w:t xml:space="preserve"> revealed that participants with a high level of education</w:t>
      </w:r>
      <w:r w:rsidR="00920549">
        <w:rPr>
          <w:rFonts w:cs="Times New Roman"/>
          <w:szCs w:val="24"/>
        </w:rPr>
        <w:t xml:space="preserve"> </w:t>
      </w:r>
      <w:r w:rsidR="00CD3695">
        <w:rPr>
          <w:rFonts w:cs="Times New Roman"/>
          <w:szCs w:val="24"/>
        </w:rPr>
        <w:t>appreciated the aim of the FSD to ensure sustainable forestry while growing timber for revenue generation.</w:t>
      </w:r>
      <w:r w:rsidR="00920549">
        <w:rPr>
          <w:rFonts w:cs="Times New Roman"/>
          <w:szCs w:val="24"/>
        </w:rPr>
        <w:t xml:space="preserve"> </w:t>
      </w:r>
    </w:p>
    <w:p w14:paraId="7C2D2274" w14:textId="3D622E14" w:rsidR="0038773C" w:rsidRDefault="00342FD7" w:rsidP="007E5029">
      <w:pPr>
        <w:spacing w:after="0"/>
        <w:ind w:left="0"/>
        <w:rPr>
          <w:rFonts w:cs="Times New Roman"/>
          <w:szCs w:val="24"/>
        </w:rPr>
      </w:pPr>
      <w:r>
        <w:rPr>
          <w:rFonts w:cs="Times New Roman"/>
          <w:szCs w:val="24"/>
        </w:rPr>
        <w:t>More</w:t>
      </w:r>
      <w:r w:rsidR="00CD3695">
        <w:rPr>
          <w:rFonts w:cs="Times New Roman"/>
          <w:szCs w:val="24"/>
        </w:rPr>
        <w:t>over</w:t>
      </w:r>
      <w:r w:rsidR="0024221E">
        <w:rPr>
          <w:rFonts w:cs="Times New Roman"/>
          <w:szCs w:val="24"/>
        </w:rPr>
        <w:t xml:space="preserve">, the odds of residents reducing their engagement in the non-participation section </w:t>
      </w:r>
      <w:r w:rsidR="00484134">
        <w:rPr>
          <w:rFonts w:cs="Times New Roman"/>
          <w:szCs w:val="24"/>
        </w:rPr>
        <w:t>and engag</w:t>
      </w:r>
      <w:r w:rsidR="00981F96">
        <w:rPr>
          <w:rFonts w:cs="Times New Roman"/>
          <w:szCs w:val="24"/>
        </w:rPr>
        <w:t xml:space="preserve">ing more in the level of citizen power </w:t>
      </w:r>
      <w:r w:rsidR="0024221E">
        <w:rPr>
          <w:rFonts w:cs="Times New Roman"/>
          <w:szCs w:val="24"/>
        </w:rPr>
        <w:t xml:space="preserve">were </w:t>
      </w:r>
      <w:r w:rsidR="00A135C8">
        <w:rPr>
          <w:rFonts w:cs="Times New Roman"/>
          <w:szCs w:val="24"/>
        </w:rPr>
        <w:t>increased</w:t>
      </w:r>
      <w:r w:rsidR="0024221E">
        <w:rPr>
          <w:rFonts w:cs="Times New Roman"/>
          <w:szCs w:val="24"/>
        </w:rPr>
        <w:t xml:space="preserve"> by </w:t>
      </w:r>
      <w:r w:rsidR="00F80757">
        <w:rPr>
          <w:rFonts w:cs="Times New Roman"/>
          <w:szCs w:val="24"/>
        </w:rPr>
        <w:t>9099</w:t>
      </w:r>
      <w:r w:rsidR="0024221E">
        <w:rPr>
          <w:rFonts w:cs="Times New Roman"/>
          <w:szCs w:val="24"/>
        </w:rPr>
        <w:t>.</w:t>
      </w:r>
      <w:r w:rsidR="00F80757">
        <w:rPr>
          <w:rFonts w:cs="Times New Roman"/>
          <w:szCs w:val="24"/>
        </w:rPr>
        <w:t>0</w:t>
      </w:r>
      <w:r w:rsidR="00A135C8">
        <w:rPr>
          <w:rFonts w:cs="Times New Roman"/>
          <w:szCs w:val="24"/>
        </w:rPr>
        <w:t>63</w:t>
      </w:r>
      <w:r w:rsidR="0024221E">
        <w:rPr>
          <w:rFonts w:cs="Times New Roman"/>
          <w:szCs w:val="24"/>
        </w:rPr>
        <w:t xml:space="preserve"> </w:t>
      </w:r>
      <w:r w:rsidR="00A135C8">
        <w:rPr>
          <w:rFonts w:cs="Times New Roman"/>
          <w:szCs w:val="24"/>
        </w:rPr>
        <w:t>when</w:t>
      </w:r>
      <w:r w:rsidR="0024221E">
        <w:rPr>
          <w:rFonts w:cs="Times New Roman"/>
          <w:szCs w:val="24"/>
        </w:rPr>
        <w:t xml:space="preserve"> they joined a user group.</w:t>
      </w:r>
      <w:r w:rsidR="0038773C">
        <w:rPr>
          <w:rFonts w:cs="Times New Roman"/>
          <w:szCs w:val="24"/>
        </w:rPr>
        <w:t xml:space="preserve"> </w:t>
      </w:r>
      <w:r w:rsidR="00652D67">
        <w:rPr>
          <w:rFonts w:cs="Times New Roman"/>
          <w:szCs w:val="24"/>
        </w:rPr>
        <w:t>Results from the f</w:t>
      </w:r>
      <w:r w:rsidR="0038773C">
        <w:rPr>
          <w:rFonts w:cs="Times New Roman"/>
          <w:szCs w:val="24"/>
        </w:rPr>
        <w:t xml:space="preserve">ocus </w:t>
      </w:r>
      <w:r w:rsidR="0038773C">
        <w:rPr>
          <w:rFonts w:cs="Times New Roman"/>
          <w:szCs w:val="24"/>
        </w:rPr>
        <w:lastRenderedPageBreak/>
        <w:t xml:space="preserve">group discussion 1 </w:t>
      </w:r>
      <w:r w:rsidR="00652D67">
        <w:rPr>
          <w:rFonts w:cs="Times New Roman"/>
          <w:szCs w:val="24"/>
        </w:rPr>
        <w:t xml:space="preserve">indicated that the FSD found it convenient </w:t>
      </w:r>
      <w:r w:rsidR="001E47FB">
        <w:rPr>
          <w:rFonts w:cs="Times New Roman"/>
          <w:szCs w:val="24"/>
        </w:rPr>
        <w:t>to engage</w:t>
      </w:r>
      <w:r w:rsidR="00652D67">
        <w:rPr>
          <w:rFonts w:cs="Times New Roman"/>
          <w:szCs w:val="24"/>
        </w:rPr>
        <w:t xml:space="preserve"> group</w:t>
      </w:r>
      <w:r w:rsidR="00AD5658">
        <w:rPr>
          <w:rFonts w:cs="Times New Roman"/>
          <w:szCs w:val="24"/>
        </w:rPr>
        <w:t>s</w:t>
      </w:r>
      <w:r w:rsidR="00652D67">
        <w:rPr>
          <w:rFonts w:cs="Times New Roman"/>
          <w:szCs w:val="24"/>
        </w:rPr>
        <w:t xml:space="preserve"> to </w:t>
      </w:r>
      <w:r w:rsidR="00D34368">
        <w:rPr>
          <w:rFonts w:cs="Times New Roman"/>
          <w:szCs w:val="24"/>
        </w:rPr>
        <w:t xml:space="preserve">help in the management process. This usually enhanced their capacity, deepened their understanding and encouraged shared interests within the group which motivated them to participate. </w:t>
      </w:r>
      <w:r w:rsidR="00ED2E9A">
        <w:rPr>
          <w:rFonts w:cs="Times New Roman"/>
          <w:szCs w:val="24"/>
        </w:rPr>
        <w:t>Therefore, a community member’s chances of having citizen power in the management of a reserve</w:t>
      </w:r>
      <w:r w:rsidR="00A135C8">
        <w:rPr>
          <w:rFonts w:cs="Times New Roman"/>
          <w:szCs w:val="24"/>
        </w:rPr>
        <w:t xml:space="preserve"> increased by joining a </w:t>
      </w:r>
      <w:r w:rsidR="00FC7D67">
        <w:rPr>
          <w:rFonts w:cs="Times New Roman"/>
          <w:szCs w:val="24"/>
        </w:rPr>
        <w:t>user group.</w:t>
      </w:r>
    </w:p>
    <w:p w14:paraId="5CB796C4" w14:textId="68E31380" w:rsidR="0024221E" w:rsidRPr="00A60B75" w:rsidRDefault="0024221E" w:rsidP="007E5029">
      <w:pPr>
        <w:spacing w:after="0"/>
        <w:ind w:left="0"/>
        <w:rPr>
          <w:rFonts w:cs="Times New Roman"/>
          <w:szCs w:val="24"/>
        </w:rPr>
      </w:pPr>
      <w:r>
        <w:rPr>
          <w:rFonts w:cs="Times New Roman"/>
          <w:szCs w:val="24"/>
        </w:rPr>
        <w:t>T</w:t>
      </w:r>
      <w:r w:rsidRPr="00A60B75">
        <w:rPr>
          <w:rFonts w:cs="Times New Roman"/>
          <w:szCs w:val="24"/>
        </w:rPr>
        <w:t xml:space="preserve">herefore, </w:t>
      </w:r>
      <w:r w:rsidR="00981F96">
        <w:rPr>
          <w:rFonts w:cs="Times New Roman"/>
          <w:szCs w:val="24"/>
        </w:rPr>
        <w:t>duration of stay</w:t>
      </w:r>
      <w:r>
        <w:rPr>
          <w:rFonts w:cs="Times New Roman"/>
          <w:szCs w:val="24"/>
        </w:rPr>
        <w:t xml:space="preserve">, attaining a higher level of education and joining a group </w:t>
      </w:r>
      <w:r w:rsidR="00FC7D67">
        <w:rPr>
          <w:rFonts w:cs="Times New Roman"/>
          <w:szCs w:val="24"/>
        </w:rPr>
        <w:t>contributed to</w:t>
      </w:r>
      <w:r>
        <w:rPr>
          <w:rFonts w:cs="Times New Roman"/>
          <w:szCs w:val="24"/>
        </w:rPr>
        <w:t xml:space="preserve"> residents' participation in the </w:t>
      </w:r>
      <w:r w:rsidR="00E2129D">
        <w:rPr>
          <w:rFonts w:cs="Times New Roman"/>
          <w:szCs w:val="24"/>
        </w:rPr>
        <w:t>management</w:t>
      </w:r>
      <w:r>
        <w:rPr>
          <w:rFonts w:cs="Times New Roman"/>
          <w:szCs w:val="24"/>
        </w:rPr>
        <w:t xml:space="preserve"> process at the </w:t>
      </w:r>
      <w:r w:rsidRPr="00A60B75">
        <w:rPr>
          <w:rFonts w:cs="Times New Roman"/>
          <w:szCs w:val="24"/>
        </w:rPr>
        <w:t>Bobiri and Southern Scarp Forest Res</w:t>
      </w:r>
      <w:r>
        <w:rPr>
          <w:rFonts w:cs="Times New Roman"/>
          <w:szCs w:val="24"/>
        </w:rPr>
        <w:t>e</w:t>
      </w:r>
      <w:r w:rsidRPr="00A60B75">
        <w:rPr>
          <w:rFonts w:cs="Times New Roman"/>
          <w:szCs w:val="24"/>
        </w:rPr>
        <w:t>rves.</w:t>
      </w:r>
    </w:p>
    <w:p w14:paraId="0A1FD5EB" w14:textId="11AC06E4" w:rsidR="0024221E" w:rsidRPr="00A60B75" w:rsidRDefault="008B4679" w:rsidP="008B4679">
      <w:pPr>
        <w:ind w:left="0"/>
        <w:rPr>
          <w:rFonts w:cs="Times New Roman"/>
          <w:szCs w:val="24"/>
        </w:rPr>
      </w:pPr>
      <w:r>
        <w:rPr>
          <w:rFonts w:cs="Times New Roman"/>
          <w:szCs w:val="24"/>
        </w:rPr>
        <w:t>T</w:t>
      </w:r>
      <w:r w:rsidR="0024221E" w:rsidRPr="00A60B75">
        <w:rPr>
          <w:rFonts w:cs="Times New Roman"/>
          <w:szCs w:val="24"/>
        </w:rPr>
        <w:t xml:space="preserve">he findings </w:t>
      </w:r>
      <w:r>
        <w:rPr>
          <w:rFonts w:cs="Times New Roman"/>
          <w:szCs w:val="24"/>
        </w:rPr>
        <w:t xml:space="preserve">of this study </w:t>
      </w:r>
      <w:r w:rsidR="0024221E" w:rsidRPr="00A60B75">
        <w:rPr>
          <w:rFonts w:cs="Times New Roman"/>
          <w:szCs w:val="24"/>
        </w:rPr>
        <w:t xml:space="preserve">were in tandem with </w:t>
      </w:r>
      <w:r w:rsidR="001E47FB">
        <w:rPr>
          <w:rFonts w:cs="Times New Roman"/>
          <w:szCs w:val="24"/>
        </w:rPr>
        <w:t xml:space="preserve">the study by </w:t>
      </w:r>
      <w:r w:rsidRPr="008B4679">
        <w:rPr>
          <w:rFonts w:cs="Times New Roman"/>
          <w:szCs w:val="24"/>
        </w:rPr>
        <w:t xml:space="preserve">Chiwaya and </w:t>
      </w:r>
      <w:proofErr w:type="spellStart"/>
      <w:r w:rsidRPr="008B4679">
        <w:rPr>
          <w:rFonts w:cs="Times New Roman"/>
          <w:szCs w:val="24"/>
        </w:rPr>
        <w:t>Mzuza</w:t>
      </w:r>
      <w:proofErr w:type="spellEnd"/>
      <w:r w:rsidRPr="008B4679">
        <w:rPr>
          <w:rFonts w:cs="Times New Roman"/>
          <w:szCs w:val="24"/>
        </w:rPr>
        <w:t xml:space="preserve"> (2022) who revealed that duration of stay influenced the chances of community members participating in forestry management in the </w:t>
      </w:r>
      <w:proofErr w:type="spellStart"/>
      <w:r w:rsidRPr="008B4679">
        <w:rPr>
          <w:rFonts w:cs="Times New Roman"/>
          <w:szCs w:val="24"/>
        </w:rPr>
        <w:t>Chiradzulu</w:t>
      </w:r>
      <w:proofErr w:type="spellEnd"/>
      <w:r w:rsidRPr="008B4679">
        <w:rPr>
          <w:rFonts w:cs="Times New Roman"/>
          <w:szCs w:val="24"/>
        </w:rPr>
        <w:t xml:space="preserve"> District in Malawi. </w:t>
      </w:r>
      <w:r>
        <w:rPr>
          <w:rFonts w:cs="Times New Roman"/>
          <w:szCs w:val="24"/>
        </w:rPr>
        <w:t xml:space="preserve">The findings were also in line with </w:t>
      </w:r>
      <w:proofErr w:type="spellStart"/>
      <w:r w:rsidR="001E47FB">
        <w:rPr>
          <w:rFonts w:cs="Times New Roman"/>
          <w:szCs w:val="24"/>
        </w:rPr>
        <w:t>Savari</w:t>
      </w:r>
      <w:proofErr w:type="spellEnd"/>
      <w:r w:rsidR="001E47FB">
        <w:rPr>
          <w:rFonts w:cs="Times New Roman"/>
          <w:szCs w:val="24"/>
        </w:rPr>
        <w:t xml:space="preserve"> et al. (2019) who found that a higher level of education increased a farmer's chances of participating in the management of forests in Iran. Furthermore, the results of this study confirmed the results by </w:t>
      </w:r>
      <w:proofErr w:type="spellStart"/>
      <w:r w:rsidR="001E47FB">
        <w:rPr>
          <w:rFonts w:cs="Times New Roman"/>
          <w:szCs w:val="24"/>
        </w:rPr>
        <w:t>Phonchaluen</w:t>
      </w:r>
      <w:proofErr w:type="spellEnd"/>
      <w:r w:rsidR="001E47FB">
        <w:rPr>
          <w:rFonts w:cs="Times New Roman"/>
          <w:szCs w:val="24"/>
        </w:rPr>
        <w:t xml:space="preserve"> et al. (2023) who noted that households who belong</w:t>
      </w:r>
      <w:r w:rsidR="00FC7D67">
        <w:rPr>
          <w:rFonts w:cs="Times New Roman"/>
          <w:szCs w:val="24"/>
        </w:rPr>
        <w:t>ed</w:t>
      </w:r>
      <w:r w:rsidR="001E47FB">
        <w:rPr>
          <w:rFonts w:cs="Times New Roman"/>
          <w:szCs w:val="24"/>
        </w:rPr>
        <w:t xml:space="preserve"> to groups participated in the forest conservation of Northern Upland of Laos P.D.R. </w:t>
      </w:r>
    </w:p>
    <w:p w14:paraId="025E3D64" w14:textId="77777777" w:rsidR="0024221E" w:rsidRDefault="0024221E" w:rsidP="00772DAC">
      <w:pPr>
        <w:pStyle w:val="BodyText"/>
        <w:ind w:left="0" w:firstLine="0"/>
      </w:pPr>
    </w:p>
    <w:p w14:paraId="7465CE76" w14:textId="77777777" w:rsidR="0024221E" w:rsidRDefault="0024221E" w:rsidP="00EA2B7F"/>
    <w:p w14:paraId="0C7889BF" w14:textId="67DBE98A" w:rsidR="00691343" w:rsidRDefault="00691343" w:rsidP="00503189">
      <w:pPr>
        <w:pStyle w:val="Heading1"/>
        <w:spacing w:before="0"/>
        <w:ind w:left="0"/>
      </w:pPr>
      <w:bookmarkStart w:id="450" w:name="_Toc202197697"/>
      <w:r>
        <w:lastRenderedPageBreak/>
        <w:t xml:space="preserve">Chapter </w:t>
      </w:r>
      <w:r w:rsidR="00524774">
        <w:t>NINE</w:t>
      </w:r>
      <w:bookmarkEnd w:id="450"/>
    </w:p>
    <w:p w14:paraId="07492D4C" w14:textId="77777777" w:rsidR="00691343" w:rsidRDefault="001E747C" w:rsidP="00503189">
      <w:pPr>
        <w:pStyle w:val="Heading1"/>
        <w:spacing w:before="0"/>
        <w:ind w:left="0"/>
      </w:pPr>
      <w:bookmarkStart w:id="451" w:name="_Toc202197698"/>
      <w:r>
        <w:t>SUMMARY, CONCLUSIONS AND RECOMMENDATIONS</w:t>
      </w:r>
      <w:bookmarkEnd w:id="451"/>
    </w:p>
    <w:p w14:paraId="1D5B65F9" w14:textId="77777777" w:rsidR="00691343" w:rsidRDefault="00691343" w:rsidP="00772DAC">
      <w:pPr>
        <w:pStyle w:val="Heading2"/>
        <w:ind w:left="0"/>
      </w:pPr>
      <w:bookmarkStart w:id="452" w:name="_Toc202197699"/>
      <w:r>
        <w:t>Introduction</w:t>
      </w:r>
      <w:bookmarkEnd w:id="452"/>
    </w:p>
    <w:p w14:paraId="5663BF1F" w14:textId="77777777" w:rsidR="00945C94" w:rsidRDefault="00503189" w:rsidP="00945C94">
      <w:pPr>
        <w:spacing w:after="0"/>
        <w:ind w:left="0" w:firstLine="0"/>
        <w:rPr>
          <w:rFonts w:cs="Times New Roman"/>
          <w:szCs w:val="24"/>
        </w:rPr>
      </w:pPr>
      <w:r>
        <w:rPr>
          <w:rFonts w:cs="Times New Roman"/>
          <w:szCs w:val="24"/>
        </w:rPr>
        <w:tab/>
      </w:r>
      <w:r w:rsidR="00945C94">
        <w:rPr>
          <w:rFonts w:cs="Times New Roman"/>
          <w:szCs w:val="24"/>
        </w:rPr>
        <w:t>The successful involvement of people who reside in and around forests plays a crucial role, reinforcing that their successful participation is critical in advancing sustainable development. Furthermore, to protect forest resources and promote sustainable development</w:t>
      </w:r>
      <w:r w:rsidR="00945C94" w:rsidRPr="00755289">
        <w:rPr>
          <w:rFonts w:cs="Times New Roman"/>
          <w:szCs w:val="24"/>
        </w:rPr>
        <w:t xml:space="preserve">, </w:t>
      </w:r>
      <w:r w:rsidR="00945C94">
        <w:rPr>
          <w:rFonts w:cs="Times New Roman"/>
          <w:szCs w:val="24"/>
        </w:rPr>
        <w:t xml:space="preserve">there is a need to </w:t>
      </w:r>
      <w:r w:rsidR="00945C94" w:rsidRPr="00755289">
        <w:rPr>
          <w:rFonts w:cs="Times New Roman"/>
          <w:szCs w:val="24"/>
        </w:rPr>
        <w:t xml:space="preserve">solicit </w:t>
      </w:r>
      <w:r w:rsidR="00945C94">
        <w:rPr>
          <w:rFonts w:cs="Times New Roman"/>
          <w:szCs w:val="24"/>
        </w:rPr>
        <w:t xml:space="preserve">the involvement of </w:t>
      </w:r>
      <w:r w:rsidR="00945C94" w:rsidRPr="00755289">
        <w:rPr>
          <w:rFonts w:cs="Times New Roman"/>
          <w:szCs w:val="24"/>
        </w:rPr>
        <w:t>all</w:t>
      </w:r>
      <w:r w:rsidR="00945C94">
        <w:rPr>
          <w:rFonts w:cs="Times New Roman"/>
          <w:szCs w:val="24"/>
        </w:rPr>
        <w:t xml:space="preserve"> individuals</w:t>
      </w:r>
      <w:r w:rsidR="00945C94" w:rsidRPr="00755289">
        <w:rPr>
          <w:rFonts w:cs="Times New Roman"/>
          <w:szCs w:val="24"/>
        </w:rPr>
        <w:t xml:space="preserve">, </w:t>
      </w:r>
      <w:r w:rsidR="00945C94">
        <w:rPr>
          <w:rFonts w:cs="Times New Roman"/>
          <w:szCs w:val="24"/>
        </w:rPr>
        <w:t xml:space="preserve">particularly </w:t>
      </w:r>
      <w:r w:rsidR="00945C94" w:rsidRPr="00755289">
        <w:rPr>
          <w:rFonts w:cs="Times New Roman"/>
          <w:szCs w:val="24"/>
        </w:rPr>
        <w:t xml:space="preserve">those who </w:t>
      </w:r>
      <w:r w:rsidR="00945C94">
        <w:rPr>
          <w:rFonts w:cs="Times New Roman"/>
          <w:szCs w:val="24"/>
        </w:rPr>
        <w:t>depend</w:t>
      </w:r>
      <w:r w:rsidR="00945C94" w:rsidRPr="00755289">
        <w:rPr>
          <w:rFonts w:cs="Times New Roman"/>
          <w:szCs w:val="24"/>
        </w:rPr>
        <w:t xml:space="preserve"> </w:t>
      </w:r>
      <w:r w:rsidR="00945C94">
        <w:rPr>
          <w:rFonts w:cs="Times New Roman"/>
          <w:szCs w:val="24"/>
        </w:rPr>
        <w:t>on the</w:t>
      </w:r>
      <w:r w:rsidR="00945C94" w:rsidRPr="00755289">
        <w:rPr>
          <w:rFonts w:cs="Times New Roman"/>
          <w:szCs w:val="24"/>
        </w:rPr>
        <w:t xml:space="preserve"> </w:t>
      </w:r>
      <w:r w:rsidR="00945C94">
        <w:rPr>
          <w:rFonts w:cs="Times New Roman"/>
          <w:szCs w:val="24"/>
        </w:rPr>
        <w:t xml:space="preserve">forest, to ensure the responsible use of forest products. In this regard, importance should be attached </w:t>
      </w:r>
      <w:r w:rsidR="00AD7B7E">
        <w:rPr>
          <w:rFonts w:cs="Times New Roman"/>
          <w:szCs w:val="24"/>
        </w:rPr>
        <w:t>to the</w:t>
      </w:r>
      <w:r w:rsidR="00945C94">
        <w:rPr>
          <w:rFonts w:cs="Times New Roman"/>
          <w:szCs w:val="24"/>
        </w:rPr>
        <w:t xml:space="preserve"> engagement of the local people in forest management.</w:t>
      </w:r>
    </w:p>
    <w:p w14:paraId="4BA7F4E8" w14:textId="3B30077C" w:rsidR="00945C94" w:rsidRDefault="00945C94" w:rsidP="00945C94">
      <w:pPr>
        <w:spacing w:after="0"/>
        <w:ind w:left="0" w:firstLine="0"/>
        <w:rPr>
          <w:rFonts w:cs="Times New Roman"/>
          <w:szCs w:val="24"/>
        </w:rPr>
      </w:pPr>
      <w:r>
        <w:rPr>
          <w:rFonts w:cs="Times New Roman"/>
          <w:szCs w:val="24"/>
        </w:rPr>
        <w:tab/>
      </w:r>
      <w:r w:rsidR="005B3B53" w:rsidRPr="005B3B53">
        <w:rPr>
          <w:rFonts w:cs="Times New Roman"/>
          <w:szCs w:val="24"/>
        </w:rPr>
        <w:t>The FDMP (2016-2036) aims to reali</w:t>
      </w:r>
      <w:r w:rsidR="005B3B53">
        <w:rPr>
          <w:rFonts w:cs="Times New Roman"/>
          <w:szCs w:val="24"/>
        </w:rPr>
        <w:t>s</w:t>
      </w:r>
      <w:r w:rsidR="005B3B53" w:rsidRPr="005B3B53">
        <w:rPr>
          <w:rFonts w:cs="Times New Roman"/>
          <w:szCs w:val="24"/>
        </w:rPr>
        <w:t>e a forestry sector characteri</w:t>
      </w:r>
      <w:r w:rsidR="005B3B53">
        <w:rPr>
          <w:rFonts w:cs="Times New Roman"/>
          <w:szCs w:val="24"/>
        </w:rPr>
        <w:t>s</w:t>
      </w:r>
      <w:r w:rsidR="005B3B53" w:rsidRPr="005B3B53">
        <w:rPr>
          <w:rFonts w:cs="Times New Roman"/>
          <w:szCs w:val="24"/>
        </w:rPr>
        <w:t>ed by fairness, prosperity, and environmental sustainability, ensuring the ongoing enhancement of well-being and sufficient livelihoods for all Ghanaian citizens. Achieving this vision involves fostering transparent governance, equitable resource sharing, and active stakeholder engagement in forest management processes.</w:t>
      </w:r>
      <w:r>
        <w:rPr>
          <w:rFonts w:cs="Times New Roman"/>
          <w:szCs w:val="24"/>
        </w:rPr>
        <w:t xml:space="preserve"> In this regard, the forest reserves in Bobiri and Southern Scarp </w:t>
      </w:r>
      <w:r w:rsidR="00AD5658">
        <w:rPr>
          <w:rFonts w:cs="Times New Roman"/>
          <w:szCs w:val="24"/>
        </w:rPr>
        <w:t xml:space="preserve">Forest Reserves </w:t>
      </w:r>
      <w:r>
        <w:rPr>
          <w:rFonts w:cs="Times New Roman"/>
          <w:szCs w:val="24"/>
        </w:rPr>
        <w:t xml:space="preserve">were to be managed through stakeholder participation to ensure their sustainability, yet these reserves </w:t>
      </w:r>
      <w:r w:rsidR="00AD5658">
        <w:rPr>
          <w:rFonts w:cs="Times New Roman"/>
          <w:szCs w:val="24"/>
        </w:rPr>
        <w:t>were</w:t>
      </w:r>
      <w:r>
        <w:rPr>
          <w:rFonts w:cs="Times New Roman"/>
          <w:szCs w:val="24"/>
        </w:rPr>
        <w:t xml:space="preserve"> undergoing degradation. Moreover, there seem</w:t>
      </w:r>
      <w:r w:rsidR="00AD5658">
        <w:rPr>
          <w:rFonts w:cs="Times New Roman"/>
          <w:szCs w:val="24"/>
        </w:rPr>
        <w:t>ed</w:t>
      </w:r>
      <w:r>
        <w:rPr>
          <w:rFonts w:cs="Times New Roman"/>
          <w:szCs w:val="24"/>
        </w:rPr>
        <w:t xml:space="preserve"> to be little or no information about the local policies guiding stakeholder involvement in the management, challenges inherent in the process, sustainability of the management regimes, level of community participation, and factors that enhance or contribute to community participation in the process. </w:t>
      </w:r>
    </w:p>
    <w:p w14:paraId="6E822B54" w14:textId="5CC29F0E" w:rsidR="00342FD7" w:rsidRDefault="00945C94" w:rsidP="00945C94">
      <w:pPr>
        <w:spacing w:after="0"/>
        <w:ind w:left="0" w:firstLine="0"/>
        <w:rPr>
          <w:rFonts w:cs="Times New Roman"/>
          <w:szCs w:val="24"/>
        </w:rPr>
      </w:pPr>
      <w:r>
        <w:rPr>
          <w:rFonts w:cs="Times New Roman"/>
          <w:szCs w:val="24"/>
        </w:rPr>
        <w:tab/>
        <w:t>Therefore, this study sought to ex</w:t>
      </w:r>
      <w:r w:rsidR="008B4679">
        <w:rPr>
          <w:rFonts w:cs="Times New Roman"/>
          <w:szCs w:val="24"/>
        </w:rPr>
        <w:t>amine</w:t>
      </w:r>
      <w:r>
        <w:rPr>
          <w:rFonts w:cs="Times New Roman"/>
          <w:szCs w:val="24"/>
        </w:rPr>
        <w:t xml:space="preserve"> the local</w:t>
      </w:r>
      <w:r w:rsidR="005E0ABD">
        <w:rPr>
          <w:rFonts w:cs="Times New Roman"/>
          <w:szCs w:val="24"/>
        </w:rPr>
        <w:t xml:space="preserve"> institutions</w:t>
      </w:r>
      <w:r>
        <w:rPr>
          <w:rFonts w:cs="Times New Roman"/>
          <w:szCs w:val="24"/>
        </w:rPr>
        <w:t xml:space="preserve"> </w:t>
      </w:r>
      <w:r w:rsidR="00E82C75">
        <w:rPr>
          <w:rFonts w:cs="Times New Roman"/>
          <w:szCs w:val="24"/>
        </w:rPr>
        <w:t>enhancing</w:t>
      </w:r>
      <w:r>
        <w:rPr>
          <w:rFonts w:cs="Times New Roman"/>
          <w:szCs w:val="24"/>
        </w:rPr>
        <w:t xml:space="preserve"> stakeholder participation </w:t>
      </w:r>
      <w:r w:rsidR="005E0ABD">
        <w:rPr>
          <w:rFonts w:cs="Times New Roman"/>
          <w:szCs w:val="24"/>
        </w:rPr>
        <w:t xml:space="preserve">in the management </w:t>
      </w:r>
      <w:r w:rsidR="008B4679">
        <w:rPr>
          <w:rFonts w:cs="Times New Roman"/>
          <w:szCs w:val="24"/>
        </w:rPr>
        <w:t xml:space="preserve">process </w:t>
      </w:r>
      <w:r w:rsidR="005E0ABD">
        <w:rPr>
          <w:rFonts w:cs="Times New Roman"/>
          <w:szCs w:val="24"/>
        </w:rPr>
        <w:t>of the Bobiri and Southern Scarp Forest Reserves and the sustainability of these reserves' management.</w:t>
      </w:r>
      <w:r>
        <w:rPr>
          <w:rFonts w:cs="Times New Roman"/>
          <w:szCs w:val="24"/>
        </w:rPr>
        <w:t xml:space="preserve"> In </w:t>
      </w:r>
      <w:r>
        <w:rPr>
          <w:rFonts w:cs="Times New Roman"/>
          <w:szCs w:val="24"/>
        </w:rPr>
        <w:lastRenderedPageBreak/>
        <w:t xml:space="preserve">addition, this study measured the level of community participation in the management process and revealed factors that can encourage community participation in the management process. </w:t>
      </w:r>
    </w:p>
    <w:p w14:paraId="056B50A9" w14:textId="3F614C47" w:rsidR="00945C94" w:rsidRDefault="00945C94" w:rsidP="00342FD7">
      <w:pPr>
        <w:spacing w:after="0"/>
        <w:ind w:left="0"/>
        <w:rPr>
          <w:rFonts w:cs="Times New Roman"/>
          <w:szCs w:val="24"/>
        </w:rPr>
      </w:pPr>
      <w:r>
        <w:rPr>
          <w:rFonts w:cs="Times New Roman"/>
          <w:szCs w:val="24"/>
        </w:rPr>
        <w:t>The study used a</w:t>
      </w:r>
      <w:r w:rsidR="008B4679">
        <w:rPr>
          <w:rFonts w:cs="Times New Roman"/>
          <w:szCs w:val="24"/>
        </w:rPr>
        <w:t xml:space="preserve"> concurrent</w:t>
      </w:r>
      <w:r>
        <w:rPr>
          <w:rFonts w:cs="Times New Roman"/>
          <w:szCs w:val="24"/>
        </w:rPr>
        <w:t xml:space="preserve"> mixed method, in which questionnaire administration, interviews</w:t>
      </w:r>
      <w:r w:rsidR="008B4679">
        <w:rPr>
          <w:rFonts w:cs="Times New Roman"/>
          <w:szCs w:val="24"/>
        </w:rPr>
        <w:t>,</w:t>
      </w:r>
      <w:r>
        <w:rPr>
          <w:rFonts w:cs="Times New Roman"/>
          <w:szCs w:val="24"/>
        </w:rPr>
        <w:t xml:space="preserve"> focus group discussions</w:t>
      </w:r>
      <w:r w:rsidR="008B4679">
        <w:rPr>
          <w:rFonts w:cs="Times New Roman"/>
          <w:szCs w:val="24"/>
        </w:rPr>
        <w:t xml:space="preserve"> and observations</w:t>
      </w:r>
      <w:r>
        <w:rPr>
          <w:rFonts w:cs="Times New Roman"/>
          <w:szCs w:val="24"/>
        </w:rPr>
        <w:t xml:space="preserve"> were the data collection methods, with interview schedules, interview guides, focus group discussion guides </w:t>
      </w:r>
      <w:r w:rsidR="008B4679">
        <w:rPr>
          <w:rFonts w:cs="Times New Roman"/>
          <w:szCs w:val="24"/>
        </w:rPr>
        <w:t xml:space="preserve">and observation checklist </w:t>
      </w:r>
      <w:r>
        <w:rPr>
          <w:rFonts w:cs="Times New Roman"/>
          <w:szCs w:val="24"/>
        </w:rPr>
        <w:t xml:space="preserve">as their respective data collection tools. Qualitative data were analysed using the inductive </w:t>
      </w:r>
      <w:r w:rsidR="005E0ABD">
        <w:rPr>
          <w:rFonts w:cs="Times New Roman"/>
          <w:szCs w:val="24"/>
        </w:rPr>
        <w:t xml:space="preserve">analytic </w:t>
      </w:r>
      <w:r>
        <w:rPr>
          <w:rFonts w:cs="Times New Roman"/>
          <w:szCs w:val="24"/>
        </w:rPr>
        <w:t>method, stakeholder</w:t>
      </w:r>
      <w:r w:rsidR="005E0ABD">
        <w:rPr>
          <w:rFonts w:cs="Times New Roman"/>
          <w:szCs w:val="24"/>
        </w:rPr>
        <w:t xml:space="preserve"> analysis</w:t>
      </w:r>
      <w:r>
        <w:rPr>
          <w:rFonts w:cs="Times New Roman"/>
          <w:szCs w:val="24"/>
        </w:rPr>
        <w:t xml:space="preserve">, and </w:t>
      </w:r>
      <w:r w:rsidR="000F4FD1">
        <w:rPr>
          <w:rFonts w:cs="Times New Roman"/>
          <w:szCs w:val="24"/>
        </w:rPr>
        <w:t>document review</w:t>
      </w:r>
      <w:r>
        <w:rPr>
          <w:rFonts w:cs="Times New Roman"/>
          <w:szCs w:val="24"/>
        </w:rPr>
        <w:t xml:space="preserve">. Quantitative data were analysed using descriptive statistics, participation index, cross-tabulation, and multinomial logistic regression. </w:t>
      </w:r>
    </w:p>
    <w:p w14:paraId="010217D9" w14:textId="125EF768" w:rsidR="00945C94" w:rsidRDefault="00945C94" w:rsidP="00383D9F">
      <w:pPr>
        <w:spacing w:after="0"/>
        <w:ind w:left="0" w:firstLine="0"/>
      </w:pPr>
      <w:r>
        <w:rPr>
          <w:rFonts w:cs="Times New Roman"/>
          <w:szCs w:val="24"/>
        </w:rPr>
        <w:tab/>
        <w:t xml:space="preserve">This chapter </w:t>
      </w:r>
      <w:r w:rsidR="00AD5658">
        <w:rPr>
          <w:rFonts w:cs="Times New Roman"/>
          <w:szCs w:val="24"/>
        </w:rPr>
        <w:t>presents</w:t>
      </w:r>
      <w:r>
        <w:rPr>
          <w:rFonts w:cs="Times New Roman"/>
          <w:szCs w:val="24"/>
        </w:rPr>
        <w:t xml:space="preserve"> the summary of the key findings, overall conclusions and appropriate recommendations for enhancing effective community participation in the management processes at the Bobiri and Southern Scarp Forest Reserves. </w:t>
      </w:r>
    </w:p>
    <w:p w14:paraId="48599901" w14:textId="77777777" w:rsidR="00945C94" w:rsidRDefault="00945C94" w:rsidP="00945C94">
      <w:pPr>
        <w:pStyle w:val="Heading2"/>
        <w:ind w:left="0"/>
      </w:pPr>
      <w:bookmarkStart w:id="453" w:name="_Toc202197700"/>
      <w:r>
        <w:t>Summary of Key Findings</w:t>
      </w:r>
      <w:bookmarkEnd w:id="453"/>
    </w:p>
    <w:p w14:paraId="304F858B" w14:textId="1A083BC2" w:rsidR="00945C94" w:rsidRDefault="00945C94" w:rsidP="00AD7B7E">
      <w:pPr>
        <w:pStyle w:val="ListParagraph"/>
        <w:numPr>
          <w:ilvl w:val="0"/>
          <w:numId w:val="28"/>
        </w:numPr>
        <w:spacing w:line="480" w:lineRule="auto"/>
        <w:ind w:left="900" w:hanging="540"/>
      </w:pPr>
      <w:bookmarkStart w:id="454" w:name="_Hlk199141072"/>
      <w:r>
        <w:t>The forest management of the B</w:t>
      </w:r>
      <w:r w:rsidR="00AD5658">
        <w:t>FR</w:t>
      </w:r>
      <w:r>
        <w:t xml:space="preserve"> had a high level of subtractability and a low cost of exclusion</w:t>
      </w:r>
      <w:r w:rsidR="00AD5658">
        <w:t xml:space="preserve"> while the management of the </w:t>
      </w:r>
      <w:r w:rsidR="003D38BA">
        <w:t>SSFR had a high level of subtractability and a high cost of exclusion</w:t>
      </w:r>
      <w:r>
        <w:t>. The FSD strictly managed the reserve with the support of traditional authorities, district assembly representatives, and some community members.</w:t>
      </w:r>
      <w:r w:rsidR="001E72B7">
        <w:t xml:space="preserve"> </w:t>
      </w:r>
      <w:r w:rsidR="001E72B7" w:rsidRPr="001E72B7">
        <w:rPr>
          <w:rStyle w:val="Strong"/>
          <w:b w:val="0"/>
          <w:bCs w:val="0"/>
        </w:rPr>
        <w:t>BFR’s low exclusion costs</w:t>
      </w:r>
      <w:r w:rsidR="001E72B7">
        <w:t xml:space="preserve"> enabled stricter state control over resources, defeating the objective of the FDMP (2016-20</w:t>
      </w:r>
      <w:r w:rsidR="00756E3B">
        <w:t xml:space="preserve">36) while </w:t>
      </w:r>
      <w:proofErr w:type="spellStart"/>
      <w:r w:rsidR="00756E3B">
        <w:t>while</w:t>
      </w:r>
      <w:proofErr w:type="spellEnd"/>
      <w:r w:rsidR="00756E3B">
        <w:t xml:space="preserve"> </w:t>
      </w:r>
      <w:r w:rsidR="00756E3B" w:rsidRPr="00756E3B">
        <w:rPr>
          <w:rStyle w:val="Strong"/>
          <w:b w:val="0"/>
          <w:bCs w:val="0"/>
        </w:rPr>
        <w:t>SSFR’s high exclusion costs</w:t>
      </w:r>
      <w:r w:rsidR="00756E3B">
        <w:t xml:space="preserve"> reflect an unsustainable management regime.</w:t>
      </w:r>
    </w:p>
    <w:p w14:paraId="0D9F15D8" w14:textId="1DE6F243" w:rsidR="003D38BA" w:rsidRDefault="00945C94" w:rsidP="00AD7B7E">
      <w:pPr>
        <w:pStyle w:val="ListParagraph"/>
        <w:numPr>
          <w:ilvl w:val="0"/>
          <w:numId w:val="28"/>
        </w:numPr>
        <w:spacing w:line="480" w:lineRule="auto"/>
        <w:ind w:left="900" w:hanging="540"/>
      </w:pPr>
      <w:r>
        <w:lastRenderedPageBreak/>
        <w:t xml:space="preserve">Regarding formal rules, </w:t>
      </w:r>
      <w:r w:rsidR="003D38BA">
        <w:t xml:space="preserve">both reserves were </w:t>
      </w:r>
      <w:proofErr w:type="gramStart"/>
      <w:r w:rsidR="003D38BA">
        <w:t>state-managed</w:t>
      </w:r>
      <w:proofErr w:type="gramEnd"/>
      <w:r w:rsidR="003D38BA">
        <w:t xml:space="preserve"> with BFR operating a Buffer Zone system in addition. SSFR on the </w:t>
      </w:r>
      <w:r w:rsidR="00AC1E7B">
        <w:t xml:space="preserve">other </w:t>
      </w:r>
      <w:r w:rsidR="003D38BA">
        <w:t xml:space="preserve">hand operated the </w:t>
      </w:r>
      <w:proofErr w:type="spellStart"/>
      <w:r w:rsidR="003D38BA">
        <w:t>Taungya</w:t>
      </w:r>
      <w:proofErr w:type="spellEnd"/>
      <w:r w:rsidR="003D38BA">
        <w:t xml:space="preserve"> system </w:t>
      </w:r>
      <w:r w:rsidR="006E6984">
        <w:t>in places where the forest has been degraded.</w:t>
      </w:r>
      <w:r w:rsidR="00756E3B">
        <w:t xml:space="preserve"> </w:t>
      </w:r>
      <w:r w:rsidR="00756E3B" w:rsidRPr="00756E3B">
        <w:rPr>
          <w:rStyle w:val="Strong"/>
          <w:b w:val="0"/>
          <w:bCs w:val="0"/>
        </w:rPr>
        <w:t>BFR’s Buffer Zone</w:t>
      </w:r>
      <w:r w:rsidR="00756E3B">
        <w:t xml:space="preserve"> created limited participatory roles for communities, whereas </w:t>
      </w:r>
      <w:r w:rsidR="00756E3B" w:rsidRPr="00756E3B">
        <w:rPr>
          <w:rStyle w:val="Strong"/>
          <w:b w:val="0"/>
          <w:bCs w:val="0"/>
        </w:rPr>
        <w:t xml:space="preserve">SSFR’s </w:t>
      </w:r>
      <w:proofErr w:type="spellStart"/>
      <w:r w:rsidR="00756E3B" w:rsidRPr="00756E3B">
        <w:rPr>
          <w:rStyle w:val="Strong"/>
          <w:b w:val="0"/>
          <w:bCs w:val="0"/>
        </w:rPr>
        <w:t>Taungya</w:t>
      </w:r>
      <w:proofErr w:type="spellEnd"/>
      <w:r w:rsidR="00756E3B" w:rsidRPr="00756E3B">
        <w:rPr>
          <w:rStyle w:val="Strong"/>
          <w:b w:val="0"/>
          <w:bCs w:val="0"/>
        </w:rPr>
        <w:t xml:space="preserve"> system</w:t>
      </w:r>
      <w:r w:rsidR="00756E3B">
        <w:t xml:space="preserve"> offered economic incentives for engagement, though both systems prioritised state authority over local autonomy.</w:t>
      </w:r>
    </w:p>
    <w:p w14:paraId="1BBDF8E5" w14:textId="3DF892FA" w:rsidR="00945C94" w:rsidRPr="00751042" w:rsidRDefault="00945C94" w:rsidP="00AD7B7E">
      <w:pPr>
        <w:pStyle w:val="ListParagraph"/>
        <w:numPr>
          <w:ilvl w:val="0"/>
          <w:numId w:val="28"/>
        </w:numPr>
        <w:spacing w:line="480" w:lineRule="auto"/>
        <w:ind w:left="900" w:hanging="540"/>
      </w:pPr>
      <w:r>
        <w:t>Stakeholder analysis revealed that the FSD in both study areas exercised both visible and hidden forms of power at the local level</w:t>
      </w:r>
      <w:r w:rsidR="006E6984">
        <w:t xml:space="preserve">, </w:t>
      </w:r>
      <w:r w:rsidRPr="00751042">
        <w:t>district, regional, and national</w:t>
      </w:r>
      <w:r>
        <w:t xml:space="preserve"> decision-making platforms. The FSD provided </w:t>
      </w:r>
      <w:r w:rsidR="006E6984">
        <w:t>invited</w:t>
      </w:r>
      <w:r>
        <w:t xml:space="preserve"> spaces for deliberation.</w:t>
      </w:r>
      <w:r w:rsidR="00756E3B">
        <w:t xml:space="preserve"> </w:t>
      </w:r>
      <w:r w:rsidR="00756E3B" w:rsidRPr="00756E3B">
        <w:rPr>
          <w:rStyle w:val="Strong"/>
          <w:b w:val="0"/>
          <w:bCs w:val="0"/>
        </w:rPr>
        <w:t>FSD’s visible/hidden power</w:t>
      </w:r>
      <w:r w:rsidR="00756E3B">
        <w:t xml:space="preserve"> centralised decision-making, rendering the management process devoid of benefits such as accountability, transparency and legitimacy.</w:t>
      </w:r>
    </w:p>
    <w:p w14:paraId="189DE9B0" w14:textId="4A654916" w:rsidR="00342FD7" w:rsidRDefault="00342FD7" w:rsidP="00342FD7">
      <w:pPr>
        <w:pStyle w:val="ListParagraph"/>
        <w:numPr>
          <w:ilvl w:val="0"/>
          <w:numId w:val="28"/>
        </w:numPr>
        <w:spacing w:line="480" w:lineRule="auto"/>
        <w:ind w:left="900" w:hanging="540"/>
      </w:pPr>
      <w:r>
        <w:t>Bobiri Forest Reserve was sustainably managed in terms of the reserves’ sustainable forest capacity, biological diversity, and ability to provide socioeconomic functions to the stakeholders.</w:t>
      </w:r>
      <w:r w:rsidR="00434AEF">
        <w:t xml:space="preserve"> </w:t>
      </w:r>
      <w:r w:rsidR="00434AEF" w:rsidRPr="00434AEF">
        <w:rPr>
          <w:rStyle w:val="Strong"/>
          <w:b w:val="0"/>
          <w:bCs w:val="0"/>
        </w:rPr>
        <w:t>BFR’s sustainability</w:t>
      </w:r>
      <w:r w:rsidR="00434AEF">
        <w:t xml:space="preserve"> despite low community participation underscores that top-down management can achieve ecological goals but risks alienating </w:t>
      </w:r>
      <w:proofErr w:type="gramStart"/>
      <w:r w:rsidR="00434AEF">
        <w:t>communities</w:t>
      </w:r>
      <w:proofErr w:type="gramEnd"/>
      <w:r w:rsidR="00434AEF">
        <w:t xml:space="preserve"> critical long-term resilience.</w:t>
      </w:r>
    </w:p>
    <w:p w14:paraId="4F79B366" w14:textId="4DDA17A9" w:rsidR="00945C94" w:rsidRDefault="00945C94" w:rsidP="00AD7B7E">
      <w:pPr>
        <w:pStyle w:val="ListParagraph"/>
        <w:numPr>
          <w:ilvl w:val="0"/>
          <w:numId w:val="28"/>
        </w:numPr>
        <w:spacing w:line="480" w:lineRule="auto"/>
        <w:ind w:left="900" w:hanging="540"/>
      </w:pPr>
      <w:r>
        <w:t xml:space="preserve">A major challenge to the management </w:t>
      </w:r>
      <w:r w:rsidR="002A72CE">
        <w:t>of</w:t>
      </w:r>
      <w:r>
        <w:t xml:space="preserve"> BFR and SSCFR was the amount of money paid under the SRA agreement, inadequate forestry guards, and a lack of local content in the forestry workforce, especially the guards. </w:t>
      </w:r>
      <w:r w:rsidR="00493E5F">
        <w:t xml:space="preserve">This ultimately </w:t>
      </w:r>
      <w:proofErr w:type="gramStart"/>
      <w:r w:rsidR="00493E5F">
        <w:t>lead</w:t>
      </w:r>
      <w:proofErr w:type="gramEnd"/>
      <w:r w:rsidR="00493E5F">
        <w:t xml:space="preserve"> to the lack of capacity </w:t>
      </w:r>
      <w:r w:rsidR="00DE11AA">
        <w:t xml:space="preserve">and motivation on the part of the community to participate in the management. </w:t>
      </w:r>
    </w:p>
    <w:p w14:paraId="0F6CA66E" w14:textId="538471B1" w:rsidR="00945C94" w:rsidRDefault="00945C94" w:rsidP="00AD7B7E">
      <w:pPr>
        <w:pStyle w:val="ListParagraph"/>
        <w:numPr>
          <w:ilvl w:val="0"/>
          <w:numId w:val="28"/>
        </w:numPr>
        <w:spacing w:line="480" w:lineRule="auto"/>
        <w:ind w:left="900" w:hanging="540"/>
      </w:pPr>
      <w:r>
        <w:lastRenderedPageBreak/>
        <w:t xml:space="preserve">Most of the community members’ level of participation in the management </w:t>
      </w:r>
      <w:r w:rsidR="002A72CE">
        <w:t>of</w:t>
      </w:r>
      <w:r>
        <w:t xml:space="preserve"> the Bobiri and Southern Scarp Forest Reserves w</w:t>
      </w:r>
      <w:r w:rsidR="002A72CE">
        <w:t xml:space="preserve">as in </w:t>
      </w:r>
      <w:r>
        <w:t>the non-participation category.</w:t>
      </w:r>
      <w:r w:rsidR="00434AEF">
        <w:t xml:space="preserve"> This signals systemic exclusion, rendering </w:t>
      </w:r>
      <w:proofErr w:type="gramStart"/>
      <w:r w:rsidR="00434AEF">
        <w:t>communities</w:t>
      </w:r>
      <w:proofErr w:type="gramEnd"/>
      <w:r w:rsidR="00434AEF">
        <w:t xml:space="preserve"> passive co-managers.</w:t>
      </w:r>
    </w:p>
    <w:p w14:paraId="75858F41" w14:textId="7CB8C76B" w:rsidR="00945C94" w:rsidRDefault="002A72CE" w:rsidP="00AD7B7E">
      <w:pPr>
        <w:pStyle w:val="ListParagraph"/>
        <w:numPr>
          <w:ilvl w:val="0"/>
          <w:numId w:val="28"/>
        </w:numPr>
        <w:spacing w:line="480" w:lineRule="auto"/>
        <w:ind w:left="900" w:hanging="540"/>
      </w:pPr>
      <w:r>
        <w:t>This study</w:t>
      </w:r>
      <w:r w:rsidR="00945C94">
        <w:t xml:space="preserve"> </w:t>
      </w:r>
      <w:r>
        <w:t>moted</w:t>
      </w:r>
      <w:r w:rsidR="00945C94">
        <w:t xml:space="preserve"> that respondents’ duration of stay, level of education, and resident belonging to a group enhanced their level of participation in the management of the forest reserves.</w:t>
      </w:r>
      <w:bookmarkEnd w:id="454"/>
      <w:r w:rsidR="00493E5F">
        <w:t xml:space="preserve"> This implies that community participation is skewed and not wholistic. </w:t>
      </w:r>
    </w:p>
    <w:p w14:paraId="1FD5ABDF" w14:textId="77777777" w:rsidR="00945C94" w:rsidRDefault="00945C94" w:rsidP="00945C94">
      <w:pPr>
        <w:pStyle w:val="Heading2"/>
        <w:ind w:left="0"/>
      </w:pPr>
      <w:bookmarkStart w:id="455" w:name="_Toc202197701"/>
      <w:r>
        <w:t>Conclusion</w:t>
      </w:r>
      <w:bookmarkEnd w:id="455"/>
    </w:p>
    <w:p w14:paraId="632F5C35" w14:textId="1F2299EF" w:rsidR="00945C94" w:rsidRDefault="00945C94" w:rsidP="00945C94">
      <w:pPr>
        <w:spacing w:after="0"/>
        <w:ind w:left="0" w:firstLine="0"/>
      </w:pPr>
      <w:r>
        <w:tab/>
        <w:t xml:space="preserve">The local </w:t>
      </w:r>
      <w:r w:rsidR="002A72CE">
        <w:t>institutions</w:t>
      </w:r>
      <w:r>
        <w:t xml:space="preserve"> for stakeholder participation in the management of the Bobiri and Southern Scarp Forest Reserves were comprised of </w:t>
      </w:r>
      <w:r w:rsidR="00BC3374">
        <w:t xml:space="preserve">both </w:t>
      </w:r>
      <w:r>
        <w:t xml:space="preserve">formal and informal regulations. The formal regulations consisted of the operation of Buffer Zones with less community involvement at the Bobiri Forest Reserve, and the presence of the </w:t>
      </w:r>
      <w:proofErr w:type="spellStart"/>
      <w:r>
        <w:t>Taungya</w:t>
      </w:r>
      <w:proofErr w:type="spellEnd"/>
      <w:r>
        <w:t xml:space="preserve"> system operated by the FSD with community participation at the SSFR. The informal regulations were mainly taboo. In addition, three major stakeholders, the FSD, the traditional authority and D.A. representatives, and a minor stakeholder in the shape of community members exercised various forms of power at different levels within different spaces in the study area.  </w:t>
      </w:r>
    </w:p>
    <w:p w14:paraId="0459B432" w14:textId="7931BF69" w:rsidR="003D09A8" w:rsidRDefault="00945C94" w:rsidP="00945C94">
      <w:pPr>
        <w:spacing w:after="0"/>
        <w:ind w:left="0" w:firstLine="0"/>
      </w:pPr>
      <w:r>
        <w:tab/>
      </w:r>
      <w:r w:rsidR="003D09A8">
        <w:t xml:space="preserve">The management of the Bobiri Forest Reserve was </w:t>
      </w:r>
      <w:r w:rsidR="00AC0A9F">
        <w:t xml:space="preserve">perceived to be </w:t>
      </w:r>
      <w:r w:rsidR="003D09A8">
        <w:t xml:space="preserve">sustainable in terms of the ability of the reserve to provide goods and services without impeding the functions of the forest ecosystem and </w:t>
      </w:r>
      <w:r w:rsidR="00AC1E7B">
        <w:t>its</w:t>
      </w:r>
      <w:r w:rsidR="003D09A8">
        <w:t xml:space="preserve"> processes, in addition to the capacity of the forest to react to external factors and recuperate after disturbances. The SSFR on the other hand, in terms of the presence of local legal policies tailored towards enhancing community participation in the </w:t>
      </w:r>
      <w:r w:rsidR="003D09A8">
        <w:lastRenderedPageBreak/>
        <w:t>management process, was being managed sustainably.</w:t>
      </w:r>
      <w:r w:rsidR="000265B9" w:rsidRPr="000265B9">
        <w:t xml:space="preserve"> </w:t>
      </w:r>
      <w:r w:rsidR="000265B9">
        <w:t>Inadequate benefits derived under the RGSRA policy (2016), lack of adequate resources and finance on the part of the FSD personnel, and a lack of trust between the various stakeholders were the major challenges hampering the management process in both reserves. In addition, the Southern Scarp Forest Reserve was acutely plagued with illegal chainsaw operations and bush burning.</w:t>
      </w:r>
    </w:p>
    <w:p w14:paraId="00628A2E" w14:textId="77777777" w:rsidR="00945C94" w:rsidRDefault="00945C94" w:rsidP="003D09A8">
      <w:pPr>
        <w:spacing w:after="0"/>
        <w:ind w:left="0"/>
      </w:pPr>
      <w:bookmarkStart w:id="456" w:name="_Hlk165326529"/>
      <w:r>
        <w:t>Contrary to the objective of the FDMP (2016-2036) to enhance community participation in the promotion and development of mechanisms for transparent governance, equity sharing in the forest, wood fuel resource management, and</w:t>
      </w:r>
      <w:r w:rsidRPr="00597CE0">
        <w:t xml:space="preserve"> effective and efficient engagement of forest forum</w:t>
      </w:r>
      <w:r>
        <w:t>s</w:t>
      </w:r>
      <w:r w:rsidRPr="00597CE0">
        <w:t xml:space="preserve"> and other relevant and recogni</w:t>
      </w:r>
      <w:r>
        <w:t>s</w:t>
      </w:r>
      <w:r w:rsidRPr="00597CE0">
        <w:t>ed platforms in forest governance</w:t>
      </w:r>
      <w:r>
        <w:t xml:space="preserve">, the fringe communities in the Bobiri Forest Reserve’s level of participation on Arnstein’s (1969) ladder of participation was non-participation, while some communities within the Southern Scarp had access, were aware, had control, and benefited from the management process; in other words, exercised citizen power in terms of participation.  </w:t>
      </w:r>
      <w:bookmarkEnd w:id="456"/>
    </w:p>
    <w:p w14:paraId="5F5BBA09" w14:textId="3F0EE788" w:rsidR="00945C94" w:rsidRPr="003E4D7C" w:rsidRDefault="00945C94" w:rsidP="00AD7B7E">
      <w:pPr>
        <w:spacing w:after="0"/>
        <w:ind w:left="0"/>
      </w:pPr>
      <w:r>
        <w:t xml:space="preserve">Ultimately, the duration of stay, educational level, and association status of the residents played a significant role in their involvement in the management process in the Bobiri and Southern Scarp Forest Reserves. As individuals </w:t>
      </w:r>
      <w:r w:rsidR="00B81B7C">
        <w:t>stayed longer in the communities</w:t>
      </w:r>
      <w:r>
        <w:t xml:space="preserve">, they tended to </w:t>
      </w:r>
      <w:r w:rsidR="00BC3374">
        <w:t>lose</w:t>
      </w:r>
      <w:r>
        <w:t xml:space="preserve"> interest in participating in the management activities of the reserve. Furthermore, community members with some level of education who belonged to groups were more likely to participate in the management process. Thus, it could be concluded that factors such as duration of stay, educational level, and group affiliation were crucial in enhancing an individual's participa</w:t>
      </w:r>
      <w:r w:rsidR="00AD7B7E">
        <w:t>tion in the management process.</w:t>
      </w:r>
      <w:r>
        <w:tab/>
        <w:t xml:space="preserve"> </w:t>
      </w:r>
    </w:p>
    <w:p w14:paraId="5CFCD55E" w14:textId="77777777" w:rsidR="00945C94" w:rsidRDefault="00945C94" w:rsidP="00945C94">
      <w:pPr>
        <w:pStyle w:val="Heading2"/>
        <w:ind w:left="0"/>
      </w:pPr>
      <w:bookmarkStart w:id="457" w:name="_Toc202197702"/>
      <w:r>
        <w:lastRenderedPageBreak/>
        <w:t>Recommendations</w:t>
      </w:r>
      <w:bookmarkEnd w:id="457"/>
    </w:p>
    <w:p w14:paraId="6A92672A" w14:textId="71C3D196" w:rsidR="00945C94" w:rsidRPr="00FD21D6" w:rsidRDefault="00945C94" w:rsidP="00AD7B7E">
      <w:pPr>
        <w:spacing w:after="0"/>
        <w:ind w:left="0" w:firstLine="0"/>
      </w:pPr>
      <w:r>
        <w:tab/>
        <w:t xml:space="preserve">Based on the findings and conclusions of this study, the following recommendations </w:t>
      </w:r>
      <w:r w:rsidR="00BC3374">
        <w:t>are</w:t>
      </w:r>
      <w:r>
        <w:t xml:space="preserve"> made to ensure that communities have an appreciable say in the definition of negotiations and to guarantee an equitable share of the management functions, entitlements, and responsibilities of the Bobiri and </w:t>
      </w:r>
      <w:r w:rsidR="00AD7B7E">
        <w:t>Southern Scarp Forest Reserves.</w:t>
      </w:r>
    </w:p>
    <w:p w14:paraId="0D8CA54E" w14:textId="77777777" w:rsidR="00691343" w:rsidRDefault="00691343" w:rsidP="00DC4827">
      <w:pPr>
        <w:spacing w:after="0"/>
        <w:ind w:left="0" w:firstLine="0"/>
      </w:pPr>
      <w:r>
        <w:t xml:space="preserve">Role of the </w:t>
      </w:r>
      <w:r w:rsidR="00CF28D0">
        <w:t>FSD</w:t>
      </w:r>
    </w:p>
    <w:p w14:paraId="3F087D83" w14:textId="22F3B960" w:rsidR="00F8529B" w:rsidRDefault="00DC4827" w:rsidP="00F8529B">
      <w:pPr>
        <w:ind w:left="0" w:firstLine="0"/>
      </w:pPr>
      <w:r>
        <w:tab/>
      </w:r>
      <w:r w:rsidR="00F8529B" w:rsidRPr="00902731">
        <w:t>The government should consider increasing the amount paid under the SRA (Social Responsibility Agreement) to fringe communities, as this would significantly boost the</w:t>
      </w:r>
      <w:r w:rsidR="005561AC">
        <w:t xml:space="preserve"> </w:t>
      </w:r>
      <w:r w:rsidR="00CD0F02">
        <w:t>community’s</w:t>
      </w:r>
      <w:r w:rsidR="00F8529B" w:rsidRPr="00902731">
        <w:t xml:space="preserve"> interests and engagement. By offering higher financial incentives, these </w:t>
      </w:r>
      <w:r w:rsidR="005561AC">
        <w:t>farmers</w:t>
      </w:r>
      <w:r w:rsidR="00F8529B" w:rsidRPr="00902731">
        <w:t xml:space="preserve"> would feel more valued and recognised for their contributions to resource management and conservation efforts. Enhanced payments would motivate them to actively participate in the management process, fostering a greater sense of ownership and responsibility. Furthermore, increased funding could help address some of these communities' socio-economic challenges, improving their overall well-being. This, in turn, would create a more collaborative and supportive environment for sustainable resource management. Raising the SRA payments is a strategic move that can strengthen the partnership between the government and fringe communities, leading to better outcomes for both people and the environment.</w:t>
      </w:r>
    </w:p>
    <w:p w14:paraId="0A1C490E" w14:textId="77777777" w:rsidR="00F8529B" w:rsidRDefault="00DC4827" w:rsidP="00F8529B">
      <w:pPr>
        <w:ind w:left="0" w:firstLine="0"/>
      </w:pPr>
      <w:r>
        <w:tab/>
      </w:r>
      <w:r w:rsidR="00F8529B" w:rsidRPr="00902731">
        <w:t xml:space="preserve">Through the Forestry Services Division (FSD) and District Assemblies (D.A.), the government should establish comprehensive reward schemes designed to recognise and incentivise stakeholders within the study area who demonstrate exceptional support and dedication towards the sustainable management of forest reserves. These reward schemes could include public </w:t>
      </w:r>
      <w:r w:rsidR="00F8529B" w:rsidRPr="00902731">
        <w:lastRenderedPageBreak/>
        <w:t>recognition, financial incentives, or capacity-building opportunities for individuals, community groups, and organisations actively participating in collaborative management initiatives. By highlighting and celebrating success stories of effective partnerships and positive outcomes, the government can motivate others to engage in similar efforts. Such recognition fosters a sense of ownership and pride among stakeholders and encourages the sharing of best practices and innovative solutions. Additionally, these schemes can help build trust and strengthen relationships between local communities, government agencies, and other partners. Ultimately, implementing reward systems will be crucial in promoting long-term commitment to the conservation and sustainable use of natural resources within the reserves.</w:t>
      </w:r>
    </w:p>
    <w:p w14:paraId="12B48937" w14:textId="4CFC4FB1" w:rsidR="00F8529B" w:rsidRDefault="00F8529B" w:rsidP="00F8529B">
      <w:pPr>
        <w:ind w:left="0"/>
      </w:pPr>
      <w:r w:rsidRPr="00902731">
        <w:t>The government should prioritise providing additional budgetary support and improved logistics to facilitate education and training programs for stakeholders, with a particular focus on fringe communities. These communities often face significant barriers to accessing quality education and skill-building opportunities, hindering their socio-economic development. Enhanced support will empower individuals in fringe communities to gain valuable knowledge and skills, enabling them to participate more actively in the economy and society. Furthermore, targeted education and training initiatives can help bridge the gap between urban and rural populations, fostering greater inclusivity. Ultimately, investing in the education and training of all stakeholders will contribute to national progress and social cohesion.</w:t>
      </w:r>
    </w:p>
    <w:p w14:paraId="1A2341F9" w14:textId="77777777" w:rsidR="00F8529B" w:rsidRDefault="00DC4827" w:rsidP="00F8529B">
      <w:pPr>
        <w:ind w:left="0" w:firstLine="0"/>
      </w:pPr>
      <w:r>
        <w:tab/>
      </w:r>
      <w:r w:rsidR="00F8529B" w:rsidRPr="00902731">
        <w:t xml:space="preserve">This study advocates for initiating a formal collaborative framework involving the Forest Services Department (FSD), traditional authority leaders, and District Assembly (D.A.) representatives. By organising structured </w:t>
      </w:r>
      <w:r w:rsidR="00F8529B" w:rsidRPr="00902731">
        <w:lastRenderedPageBreak/>
        <w:t>participatory needs assessments, these stakeholders can systematically evaluate community interests, prioritise local needs, and assess the viability of proposed initiatives. Such a process would ensure that all voices are heard, fostering trust and alignment between decision-makers and residents. The outcomes of this engagement should focus on co-designing an integrated forest management approach that balances ecological sustainability, cultural values, and socio-economic priorities. This inclusive strategy would address immediate resource challenges and build long-term resilience by embedding community ownership and traditional knowledge into governance structures. Ultimately, the proposed model aims to harmonise regulatory frameworks with grassroots participation, ensuring equitable and effective stewardship of forest resources.</w:t>
      </w:r>
    </w:p>
    <w:p w14:paraId="7617A391" w14:textId="77777777" w:rsidR="00F8529B" w:rsidRDefault="00F8529B" w:rsidP="00F8529B">
      <w:pPr>
        <w:ind w:left="0"/>
      </w:pPr>
      <w:r w:rsidRPr="00902731">
        <w:t xml:space="preserve">This study strongly recommends that FSD actively engage all stakeholders throughout every stage of its processes. By incorporating diverse voices- including community members, policymakers, and local organisations planning to implement, the approach ensures that decision-making reflects the values, needs, and traditions of the community itself. This inclusive strategy not only empowers residents by granting them greater control over outcomes but also strengthens the legitimacy of the process, as decisions are rooted in collective input rather than top-down mandates. Such participation helps align initiatives with the community's way of life, fostering trust and ensuring culturally appropriate solutions. Ultimately, this collaborative framework promotes sustainable and equitable development, as stakeholders feel ownership over the results, leading to more effective and enduring improvements in food systems. The study underscores that broad involvement </w:t>
      </w:r>
      <w:r w:rsidRPr="00902731">
        <w:lastRenderedPageBreak/>
        <w:t>is critical to balancing power dynamics and achieving outcomes that genuinely serve the community's long-term interests.</w:t>
      </w:r>
    </w:p>
    <w:p w14:paraId="1BE0487E" w14:textId="042DB913" w:rsidR="00F8529B" w:rsidRDefault="00DC4827" w:rsidP="00F8529B">
      <w:pPr>
        <w:ind w:left="0" w:firstLine="0"/>
      </w:pPr>
      <w:r>
        <w:tab/>
      </w:r>
      <w:r w:rsidR="00F8529B" w:rsidRPr="00902731">
        <w:t xml:space="preserve">The Collaborative Forest Management Unit (CFMU) of the Forest Services Division (FSD) plays a crucial role in fostering sustainable forest management by actively involving fringe communities in the process. One practical approach is for the CFMU to assist these communities in forming user groups, which serve as local structures dedicated to forest stewardship. These user groups can take on specific responsibilities such as forest patrolling, resource monitoring, and implementing conservation activities, strengthening the overall management framework. By constituting such groups, the CFMU helps ensure that community members have a direct stake in forest </w:t>
      </w:r>
      <w:r w:rsidR="005561AC">
        <w:t>management</w:t>
      </w:r>
      <w:r w:rsidR="00F8529B" w:rsidRPr="00902731">
        <w:t>, leading to improved compliance with regulations and a stronger sense of ownership over local resources. Moreover, this participatory model encourages local knowledge and skills sharing, enhances transparency, and fosters mutual trust between the FSD and the communities. Establishing user groups also facilitates fairer distribution of benefits derived from forest resources, contributing to improved livelihoods for community members. Ultimately, empowering fringe communities through user groups under the guidance of the CFMU not only supports forest conservation objectives but also promotes equitable and sustainable development in forest-adjacent areas.</w:t>
      </w:r>
    </w:p>
    <w:p w14:paraId="600E81DB" w14:textId="5889B110" w:rsidR="00691343" w:rsidRDefault="00691343" w:rsidP="00F8529B">
      <w:pPr>
        <w:spacing w:after="0"/>
        <w:ind w:left="0"/>
        <w:rPr>
          <w:rFonts w:cs="Times New Roman"/>
          <w:szCs w:val="24"/>
        </w:rPr>
      </w:pPr>
      <w:proofErr w:type="gramStart"/>
      <w:r>
        <w:rPr>
          <w:rFonts w:cs="Times New Roman"/>
          <w:szCs w:val="24"/>
        </w:rPr>
        <w:t>In order to</w:t>
      </w:r>
      <w:proofErr w:type="gramEnd"/>
      <w:r>
        <w:rPr>
          <w:rFonts w:cs="Times New Roman"/>
          <w:szCs w:val="24"/>
        </w:rPr>
        <w:t xml:space="preserve"> ensure that the collaborative systems developed are viable and sustainable, </w:t>
      </w:r>
      <w:r w:rsidR="00667611">
        <w:rPr>
          <w:rFonts w:cs="Times New Roman"/>
          <w:szCs w:val="24"/>
        </w:rPr>
        <w:t>FSD</w:t>
      </w:r>
      <w:r w:rsidR="00CA2BDE">
        <w:rPr>
          <w:rFonts w:cs="Times New Roman"/>
          <w:szCs w:val="24"/>
        </w:rPr>
        <w:t xml:space="preserve"> needs</w:t>
      </w:r>
      <w:r>
        <w:rPr>
          <w:rFonts w:cs="Times New Roman"/>
          <w:szCs w:val="24"/>
        </w:rPr>
        <w:t xml:space="preserve"> to institute a community forestry unit (CFM) at the </w:t>
      </w:r>
      <w:r w:rsidR="004374E7">
        <w:rPr>
          <w:rFonts w:cs="Times New Roman"/>
          <w:szCs w:val="24"/>
        </w:rPr>
        <w:t>local</w:t>
      </w:r>
      <w:r>
        <w:rPr>
          <w:rFonts w:cs="Times New Roman"/>
          <w:szCs w:val="24"/>
        </w:rPr>
        <w:t xml:space="preserve"> level made up of representatives from all the recognised stakeholders in the study area. This unit would serve as the liaison between the </w:t>
      </w:r>
      <w:r w:rsidR="00667611">
        <w:rPr>
          <w:rFonts w:cs="Times New Roman"/>
          <w:szCs w:val="24"/>
        </w:rPr>
        <w:t>FSD</w:t>
      </w:r>
      <w:r>
        <w:rPr>
          <w:rFonts w:cs="Times New Roman"/>
          <w:szCs w:val="24"/>
        </w:rPr>
        <w:t xml:space="preserve"> and communities. This would </w:t>
      </w:r>
      <w:r w:rsidR="00CA2BDE">
        <w:rPr>
          <w:rFonts w:cs="Times New Roman"/>
          <w:szCs w:val="24"/>
        </w:rPr>
        <w:t xml:space="preserve">be a channel for knowledge synthesis, additional </w:t>
      </w:r>
      <w:r w:rsidR="00CA2BDE">
        <w:rPr>
          <w:rFonts w:cs="Times New Roman"/>
          <w:szCs w:val="24"/>
        </w:rPr>
        <w:lastRenderedPageBreak/>
        <w:t xml:space="preserve">conflict resolution centres and the advancement of </w:t>
      </w:r>
      <w:r w:rsidR="00667611">
        <w:rPr>
          <w:rFonts w:cs="Times New Roman"/>
          <w:szCs w:val="24"/>
        </w:rPr>
        <w:t>FSD</w:t>
      </w:r>
      <w:r w:rsidR="00CA2BDE">
        <w:rPr>
          <w:rFonts w:cs="Times New Roman"/>
          <w:szCs w:val="24"/>
        </w:rPr>
        <w:t>'s development agenda and the local community's aspirations</w:t>
      </w:r>
      <w:r>
        <w:rPr>
          <w:rFonts w:cs="Times New Roman"/>
          <w:szCs w:val="24"/>
        </w:rPr>
        <w:t xml:space="preserve">. </w:t>
      </w:r>
      <w:r w:rsidR="0001599C">
        <w:t xml:space="preserve">Not only is this recommendation backed by the Rational choice Institutional Theory, </w:t>
      </w:r>
      <w:proofErr w:type="gramStart"/>
      <w:r w:rsidR="0001599C">
        <w:t>it</w:t>
      </w:r>
      <w:proofErr w:type="gramEnd"/>
      <w:r w:rsidR="0001599C">
        <w:t xml:space="preserve"> will also lead to the attainment of the objective of the Forestry Development Masterplan (FDMP, 2016-2036).</w:t>
      </w:r>
    </w:p>
    <w:p w14:paraId="5290ACD9" w14:textId="77777777" w:rsidR="00691343" w:rsidRDefault="00691343" w:rsidP="00DC4827">
      <w:pPr>
        <w:spacing w:after="0"/>
        <w:ind w:left="0" w:firstLine="0"/>
        <w:rPr>
          <w:rFonts w:cs="Times New Roman"/>
          <w:szCs w:val="24"/>
        </w:rPr>
      </w:pPr>
      <w:r>
        <w:rPr>
          <w:rFonts w:cs="Times New Roman"/>
          <w:szCs w:val="24"/>
        </w:rPr>
        <w:t xml:space="preserve">Role of the community </w:t>
      </w:r>
    </w:p>
    <w:p w14:paraId="5CC99BF4" w14:textId="77777777" w:rsidR="00F8529B" w:rsidRDefault="00F8529B" w:rsidP="00F8529B">
      <w:pPr>
        <w:ind w:left="0"/>
      </w:pPr>
      <w:r w:rsidRPr="00902731">
        <w:t>The study emphasises the critical need for community members to proactively identify and resolve emerging conflicts related to forestry resource management. This involves acknowledging disputes over access to essential resources like tree seedlings, which are vital for sustainable livelihoods, and addressing imbalances in decision-making authority that may marginalise certain groups. Additionally, equitable benefit-sharing mechanisms must be established to ensure all stakeholders, including vulnerable populations, receive fair compensation and opportunities from forestry initiatives. By fostering transparent communication and inclusive participation, communities can mitigate tensions and build trust among members. Collaborative approaches, such as forming mediation committees or adopting participatory resource allocation frameworks, are recommended to harmonise diverse interests. Addressing these challenges holistically will ultimately strengthen community cohesion and enhance the long-term viability of forest conservation efforts.</w:t>
      </w:r>
    </w:p>
    <w:p w14:paraId="1428B532" w14:textId="13BA9EC5" w:rsidR="00F8529B" w:rsidRDefault="00DC4827" w:rsidP="00F8529B">
      <w:pPr>
        <w:ind w:left="0" w:firstLine="0"/>
      </w:pPr>
      <w:r>
        <w:rPr>
          <w:rStyle w:val="Strong"/>
          <w:b w:val="0"/>
          <w:bCs w:val="0"/>
        </w:rPr>
        <w:tab/>
      </w:r>
      <w:r w:rsidR="00F8529B" w:rsidRPr="00902731">
        <w:t xml:space="preserve">This study emphasises the urgent need for communities and the Forest Stewardship Department (FSD) to actively pursue and cultivate alternative income streams that reduce reliance on traditional forest-dependent livelihoods. By prioritising ecotourism initiatives, such as guided nature tours or community-run lodges, stakeholders can leverage natural resources sustainably while fostering local economic growth and simultaneously promoting the </w:t>
      </w:r>
      <w:r w:rsidR="00F8529B" w:rsidRPr="00902731">
        <w:lastRenderedPageBreak/>
        <w:t>cultivation of non-timber forest products, medicinal plants, or wild products, a viable pathway to preserve biodiversity while generating revenue. Small-scale enterprises centred on sustainable practices, such as agroforestry, handicrafts, or eco-friendly processing units, could further diversify income opportunities and enhance resilience. Collaborative efforts between communities, the FSD, and private partners would ensure these ventures align with ecological goals and market demands. Such diversification mitigates environmental degradation and empowers communities to build adaptive, long-term economic stability in harmony with their ecosystems.</w:t>
      </w:r>
    </w:p>
    <w:p w14:paraId="3C0E1381" w14:textId="78BC00CC" w:rsidR="00691343" w:rsidRDefault="00691343" w:rsidP="00DC4827">
      <w:pPr>
        <w:spacing w:after="0"/>
        <w:ind w:left="0" w:firstLine="0"/>
      </w:pPr>
      <w:r>
        <w:t>Role of the traditional authority</w:t>
      </w:r>
    </w:p>
    <w:p w14:paraId="7195D088" w14:textId="5FB256A4" w:rsidR="00691343" w:rsidRDefault="00DC4827" w:rsidP="00383D9F">
      <w:pPr>
        <w:ind w:left="0" w:firstLine="0"/>
      </w:pPr>
      <w:r>
        <w:tab/>
      </w:r>
      <w:r w:rsidR="00F8529B" w:rsidRPr="00902731">
        <w:t xml:space="preserve">The traditional authority must prioritise the systematic documentation and sharing of traditional ecological knowledge (TEK) by organising community workshops, which facilitate intergenerational dialogue and skill transfer. At the same time, storytelling initiatives can preserve oral histories and contextualise ecological practices within cultural frameworks. Collaborative research projects, co-designed with local communities and scientists, should integrate TEK with modern methodologies to enhance its applicability in addressing contemporary environmental challenges. This dual approach safeguards indigenous wisdom from erosion and ensures its relevance in shaping sustainable resource management strategies, such as biodiversity conservation and climate adaptation. By formalising these knowledge-sharing mechanisms, communities gain the tools to assert their rights, influence policy decisions, and advocate for land stewardship practices that align with their cultural values. Ultimately, this empowerment fosters resilience, enabling communities to address ecological threats while maintaining autonomy over </w:t>
      </w:r>
      <w:r w:rsidR="00F8529B" w:rsidRPr="00902731">
        <w:lastRenderedPageBreak/>
        <w:t>their territories and resources. Such efforts bridge the gap between tradition and innovation, ensuring TEK contributes meaningfully to global sustainability goals.</w:t>
      </w:r>
    </w:p>
    <w:p w14:paraId="1B6DD60A" w14:textId="77777777" w:rsidR="00691343" w:rsidRDefault="00691343" w:rsidP="00772DAC">
      <w:pPr>
        <w:pStyle w:val="Heading2"/>
        <w:ind w:left="0"/>
        <w:jc w:val="left"/>
      </w:pPr>
      <w:bookmarkStart w:id="458" w:name="_Toc202197703"/>
      <w:r>
        <w:t xml:space="preserve">Suggestion for </w:t>
      </w:r>
      <w:r w:rsidR="00DC4827">
        <w:t>Further Research</w:t>
      </w:r>
      <w:bookmarkEnd w:id="458"/>
    </w:p>
    <w:p w14:paraId="5585FD2E" w14:textId="63FD24CB" w:rsidR="00C855DF" w:rsidRDefault="00DC4827" w:rsidP="00C855DF">
      <w:pPr>
        <w:ind w:left="0" w:firstLine="0"/>
      </w:pPr>
      <w:r>
        <w:tab/>
      </w:r>
      <w:r w:rsidR="00691343">
        <w:t xml:space="preserve">Although the study was able to explore </w:t>
      </w:r>
      <w:r w:rsidR="005561AC">
        <w:t xml:space="preserve">criteria and indicators for measuring the perceived sustainability of the management of the reserves. This study </w:t>
      </w:r>
      <w:r w:rsidR="00022B0B">
        <w:t xml:space="preserve">suggests </w:t>
      </w:r>
      <w:r w:rsidR="005561AC">
        <w:t xml:space="preserve">a holistic </w:t>
      </w:r>
      <w:r w:rsidR="00022B0B">
        <w:t xml:space="preserve">inquiry </w:t>
      </w:r>
      <w:r w:rsidR="005561AC">
        <w:t>and adoption of the appropriate criteria and indicators for measuring the sustainability of management regimes to ensure that progress is made towards an efficient measurement of Sustainable Community-based Forestry.</w:t>
      </w:r>
      <w:r w:rsidR="00C855DF">
        <w:t xml:space="preserve"> </w:t>
      </w:r>
    </w:p>
    <w:p w14:paraId="104EB5F0" w14:textId="77777777" w:rsidR="00C855DF" w:rsidRDefault="00C855DF" w:rsidP="00C855DF">
      <w:pPr>
        <w:ind w:left="0"/>
      </w:pPr>
      <w:r>
        <w:t>Furthermore, there should be studies that consider the socioeconomic, cultural, and political contexts within which these local institutions operate. Understanding the historical and contemporary factors that shape institutional effectiveness and community trust is crucial. This involves analysing the legacies of past governance practices, the impact of external influences such as non-governmental organisations and international donors, and the interplay between formal and informal institutions.</w:t>
      </w:r>
    </w:p>
    <w:p w14:paraId="36A68511" w14:textId="046123D9" w:rsidR="00C855DF" w:rsidRDefault="00C855DF" w:rsidP="00383D9F">
      <w:pPr>
        <w:spacing w:after="0"/>
        <w:ind w:left="0"/>
      </w:pPr>
      <w:r>
        <w:t>This study suggests that longitudinal designs should be employed to track changes over time, allowing for a deeper understanding of how local institutions and community participation evolve in response to various internal and external pressures. Case studies of successful and unsuccessful examples of community participation in forest management can provide valuable insights into best practices and common shortfalls.</w:t>
      </w:r>
    </w:p>
    <w:p w14:paraId="5825ACE4" w14:textId="2D4B9E97" w:rsidR="00691343" w:rsidRDefault="00691343" w:rsidP="00383D9F">
      <w:pPr>
        <w:spacing w:after="0"/>
        <w:ind w:left="0" w:firstLine="0"/>
      </w:pPr>
      <w:r>
        <w:t xml:space="preserve">Contribution to </w:t>
      </w:r>
      <w:r w:rsidR="00DC4827">
        <w:t>K</w:t>
      </w:r>
      <w:r>
        <w:t>nowledge</w:t>
      </w:r>
    </w:p>
    <w:p w14:paraId="38668577" w14:textId="77777777" w:rsidR="00691343" w:rsidRDefault="00DC4827" w:rsidP="00DC4827">
      <w:pPr>
        <w:spacing w:after="0"/>
        <w:ind w:left="0" w:firstLine="0"/>
        <w:rPr>
          <w:rFonts w:cs="Times New Roman"/>
          <w:szCs w:val="24"/>
        </w:rPr>
      </w:pPr>
      <w:r>
        <w:rPr>
          <w:rFonts w:cs="Times New Roman"/>
          <w:szCs w:val="24"/>
        </w:rPr>
        <w:lastRenderedPageBreak/>
        <w:tab/>
      </w:r>
      <w:r w:rsidR="00691343">
        <w:rPr>
          <w:rFonts w:cs="Times New Roman"/>
          <w:szCs w:val="24"/>
        </w:rPr>
        <w:t xml:space="preserve">The study has contributed to the literature on stakeholder </w:t>
      </w:r>
      <w:r w:rsidR="009F3E6A">
        <w:rPr>
          <w:rFonts w:cs="Times New Roman"/>
          <w:szCs w:val="24"/>
        </w:rPr>
        <w:t xml:space="preserve">participation </w:t>
      </w:r>
      <w:r w:rsidR="00691343">
        <w:rPr>
          <w:rFonts w:cs="Times New Roman"/>
          <w:szCs w:val="24"/>
        </w:rPr>
        <w:t xml:space="preserve">and </w:t>
      </w:r>
      <w:r w:rsidR="009F3E6A">
        <w:rPr>
          <w:rFonts w:cs="Times New Roman"/>
          <w:szCs w:val="24"/>
        </w:rPr>
        <w:t xml:space="preserve">sustainable </w:t>
      </w:r>
      <w:r w:rsidR="00691343">
        <w:rPr>
          <w:rFonts w:cs="Times New Roman"/>
          <w:szCs w:val="24"/>
        </w:rPr>
        <w:t xml:space="preserve">community forestry. In the context of the local institutional framework guiding the interactions of stakeholders in forest management, the study has adduced evidence that the local rules of engagement constitute both formal and informal rules coexisting harmoniously in the study area. In addition, the study revealed the major stakeholders in the forestry sector </w:t>
      </w:r>
      <w:r w:rsidR="00CA2BDE">
        <w:rPr>
          <w:rFonts w:cs="Times New Roman"/>
          <w:szCs w:val="24"/>
        </w:rPr>
        <w:t>and</w:t>
      </w:r>
      <w:r w:rsidR="00691343">
        <w:rPr>
          <w:rFonts w:cs="Times New Roman"/>
          <w:szCs w:val="24"/>
        </w:rPr>
        <w:t xml:space="preserve"> their level of influence, roles and interests to help guide future policy formulation and implementation. </w:t>
      </w:r>
    </w:p>
    <w:p w14:paraId="501AE984" w14:textId="77777777" w:rsidR="00691343" w:rsidRDefault="00DC4827" w:rsidP="00DC4827">
      <w:pPr>
        <w:spacing w:after="0"/>
        <w:ind w:left="0" w:firstLine="0"/>
        <w:rPr>
          <w:rFonts w:cs="Times New Roman"/>
          <w:szCs w:val="24"/>
        </w:rPr>
      </w:pPr>
      <w:r>
        <w:rPr>
          <w:rFonts w:cs="Times New Roman"/>
          <w:szCs w:val="24"/>
        </w:rPr>
        <w:tab/>
      </w:r>
      <w:r w:rsidR="00691343">
        <w:rPr>
          <w:rFonts w:cs="Times New Roman"/>
          <w:szCs w:val="24"/>
        </w:rPr>
        <w:t xml:space="preserve">The study </w:t>
      </w:r>
      <w:r w:rsidR="00CA2BDE">
        <w:rPr>
          <w:rFonts w:cs="Times New Roman"/>
          <w:szCs w:val="24"/>
        </w:rPr>
        <w:t>adapted the Institutional Analysis and Development Framework to analyse</w:t>
      </w:r>
      <w:r w:rsidR="00691343">
        <w:rPr>
          <w:rFonts w:cs="Times New Roman"/>
          <w:szCs w:val="24"/>
        </w:rPr>
        <w:t xml:space="preserve"> stakeholder </w:t>
      </w:r>
      <w:r w:rsidR="009F3E6A">
        <w:rPr>
          <w:rFonts w:cs="Times New Roman"/>
          <w:szCs w:val="24"/>
        </w:rPr>
        <w:t>participation</w:t>
      </w:r>
      <w:r w:rsidR="00691343">
        <w:rPr>
          <w:rFonts w:cs="Times New Roman"/>
          <w:szCs w:val="24"/>
        </w:rPr>
        <w:t xml:space="preserve"> and sustainable community forestry at the Bobiri and Southern Scarp Forest Reserves. The framework has revealed that in the analysis of stakeholder </w:t>
      </w:r>
      <w:r w:rsidR="009F3E6A">
        <w:rPr>
          <w:rFonts w:cs="Times New Roman"/>
          <w:szCs w:val="24"/>
        </w:rPr>
        <w:t>engagements</w:t>
      </w:r>
      <w:r w:rsidR="00691343">
        <w:rPr>
          <w:rFonts w:cs="Times New Roman"/>
          <w:szCs w:val="24"/>
        </w:rPr>
        <w:t xml:space="preserve"> in sustainable community forestry, </w:t>
      </w:r>
      <w:r w:rsidR="00CA2BDE">
        <w:rPr>
          <w:rFonts w:cs="Times New Roman"/>
          <w:szCs w:val="24"/>
        </w:rPr>
        <w:t>input variables and components of participation</w:t>
      </w:r>
      <w:r w:rsidR="00691343">
        <w:rPr>
          <w:rFonts w:cs="Times New Roman"/>
          <w:szCs w:val="24"/>
        </w:rPr>
        <w:t xml:space="preserve"> influence the </w:t>
      </w:r>
      <w:r w:rsidR="009F3E6A">
        <w:rPr>
          <w:rFonts w:cs="Times New Roman"/>
          <w:szCs w:val="24"/>
        </w:rPr>
        <w:t>management</w:t>
      </w:r>
      <w:r w:rsidR="00691343">
        <w:rPr>
          <w:rFonts w:cs="Times New Roman"/>
          <w:szCs w:val="24"/>
        </w:rPr>
        <w:t xml:space="preserve"> process. The framework further provides a feedback loop that can affect both the input variables and the </w:t>
      </w:r>
      <w:r w:rsidR="009F3E6A">
        <w:rPr>
          <w:rFonts w:cs="Times New Roman"/>
          <w:szCs w:val="24"/>
        </w:rPr>
        <w:t>management</w:t>
      </w:r>
      <w:r w:rsidR="00691343">
        <w:rPr>
          <w:rFonts w:cs="Times New Roman"/>
          <w:szCs w:val="24"/>
        </w:rPr>
        <w:t xml:space="preserve"> process. Therefore, this study has </w:t>
      </w:r>
      <w:r w:rsidR="00CA2BDE">
        <w:rPr>
          <w:rFonts w:cs="Times New Roman"/>
          <w:szCs w:val="24"/>
        </w:rPr>
        <w:t>noted</w:t>
      </w:r>
      <w:r w:rsidR="00691343">
        <w:rPr>
          <w:rFonts w:cs="Times New Roman"/>
          <w:szCs w:val="24"/>
        </w:rPr>
        <w:t xml:space="preserve"> that the analysis of the </w:t>
      </w:r>
      <w:r w:rsidR="00DF427B">
        <w:rPr>
          <w:rFonts w:cs="Times New Roman"/>
          <w:szCs w:val="24"/>
        </w:rPr>
        <w:t>management</w:t>
      </w:r>
      <w:r w:rsidR="00691343">
        <w:rPr>
          <w:rFonts w:cs="Times New Roman"/>
          <w:szCs w:val="24"/>
        </w:rPr>
        <w:t xml:space="preserve"> process extends beyond it to include external issues such as the inputs, components of participation and the feedback mechanism.</w:t>
      </w:r>
    </w:p>
    <w:p w14:paraId="337D4B24" w14:textId="77777777" w:rsidR="00691343" w:rsidRDefault="00DC4827" w:rsidP="00DC4827">
      <w:pPr>
        <w:spacing w:after="0"/>
        <w:ind w:left="0" w:firstLine="0"/>
        <w:rPr>
          <w:rFonts w:cs="Times New Roman"/>
          <w:szCs w:val="24"/>
        </w:rPr>
      </w:pPr>
      <w:r>
        <w:rPr>
          <w:rFonts w:cs="Times New Roman"/>
          <w:szCs w:val="24"/>
        </w:rPr>
        <w:tab/>
      </w:r>
      <w:r w:rsidR="00691343">
        <w:rPr>
          <w:rFonts w:cs="Times New Roman"/>
          <w:szCs w:val="24"/>
        </w:rPr>
        <w:t xml:space="preserve">The adopted ladder of community participation constructed by the study showed the prevailing level of community participation in the Bobiri and Southern Scarp Forest Reserves. It indicates the </w:t>
      </w:r>
      <w:r w:rsidR="00CA2BDE">
        <w:rPr>
          <w:rFonts w:cs="Times New Roman"/>
          <w:szCs w:val="24"/>
        </w:rPr>
        <w:t>community's low level of involvement and control</w:t>
      </w:r>
      <w:r w:rsidR="00691343">
        <w:rPr>
          <w:rFonts w:cs="Times New Roman"/>
          <w:szCs w:val="24"/>
        </w:rPr>
        <w:t xml:space="preserve"> over the process. Literature finds a direct relationship between empowerment and the ability to </w:t>
      </w:r>
      <w:r w:rsidR="00CA2BDE">
        <w:rPr>
          <w:rFonts w:cs="Times New Roman"/>
          <w:szCs w:val="24"/>
        </w:rPr>
        <w:t>make</w:t>
      </w:r>
      <w:r w:rsidR="00691343">
        <w:rPr>
          <w:rFonts w:cs="Times New Roman"/>
          <w:szCs w:val="24"/>
        </w:rPr>
        <w:t xml:space="preserve"> good decisions concerning the sustainable use of natural resources. </w:t>
      </w:r>
    </w:p>
    <w:p w14:paraId="68B863EA" w14:textId="77777777" w:rsidR="00691343" w:rsidRDefault="00DC4827" w:rsidP="00DC4827">
      <w:pPr>
        <w:spacing w:after="0"/>
        <w:ind w:left="0" w:firstLine="0"/>
        <w:rPr>
          <w:rFonts w:cs="Times New Roman"/>
          <w:szCs w:val="24"/>
        </w:rPr>
      </w:pPr>
      <w:r>
        <w:rPr>
          <w:rFonts w:cs="Times New Roman"/>
          <w:szCs w:val="24"/>
        </w:rPr>
        <w:lastRenderedPageBreak/>
        <w:tab/>
      </w:r>
      <w:r w:rsidR="00691343">
        <w:rPr>
          <w:rFonts w:cs="Times New Roman"/>
          <w:szCs w:val="24"/>
        </w:rPr>
        <w:t xml:space="preserve">The study further contributed to knowledge </w:t>
      </w:r>
      <w:r w:rsidR="00CA2BDE">
        <w:rPr>
          <w:rFonts w:cs="Times New Roman"/>
          <w:szCs w:val="24"/>
        </w:rPr>
        <w:t>by using</w:t>
      </w:r>
      <w:r w:rsidR="00691343">
        <w:rPr>
          <w:rFonts w:cs="Times New Roman"/>
          <w:szCs w:val="24"/>
        </w:rPr>
        <w:t xml:space="preserve"> the multinomial logistic regression. Levels of participation are categorised into three</w:t>
      </w:r>
      <w:r w:rsidR="00CA2BDE">
        <w:rPr>
          <w:rFonts w:cs="Times New Roman"/>
          <w:szCs w:val="24"/>
        </w:rPr>
        <w:t>:</w:t>
      </w:r>
      <w:r w:rsidR="00691343">
        <w:rPr>
          <w:rFonts w:cs="Times New Roman"/>
          <w:szCs w:val="24"/>
        </w:rPr>
        <w:t xml:space="preserve"> non-participation, tokenism and citizen power</w:t>
      </w:r>
      <w:r w:rsidR="00CA2BDE">
        <w:rPr>
          <w:rFonts w:cs="Times New Roman"/>
          <w:szCs w:val="24"/>
        </w:rPr>
        <w:t>,</w:t>
      </w:r>
      <w:r w:rsidR="00691343">
        <w:rPr>
          <w:rFonts w:cs="Times New Roman"/>
          <w:szCs w:val="24"/>
        </w:rPr>
        <w:t xml:space="preserve"> according to Arnstein (1969). Therefore, the study’s use of this analytical tool has introduced </w:t>
      </w:r>
      <w:r w:rsidR="00CA2BDE">
        <w:rPr>
          <w:rFonts w:cs="Times New Roman"/>
          <w:szCs w:val="24"/>
        </w:rPr>
        <w:t>a different method for analysing factors contributing to participation levels in the literature</w:t>
      </w:r>
      <w:r w:rsidR="00691343">
        <w:rPr>
          <w:rFonts w:cs="Times New Roman"/>
          <w:szCs w:val="24"/>
        </w:rPr>
        <w:t xml:space="preserve">.  </w:t>
      </w:r>
    </w:p>
    <w:p w14:paraId="04DDFEEC" w14:textId="6296F5A6" w:rsidR="00691343" w:rsidRDefault="00DC4827" w:rsidP="00DC4827">
      <w:pPr>
        <w:spacing w:after="0"/>
        <w:ind w:left="0" w:firstLine="0"/>
      </w:pPr>
      <w:r>
        <w:tab/>
      </w:r>
      <w:r w:rsidR="00691343">
        <w:t xml:space="preserve">Furthermore, the FDMP (2016-2036) and the </w:t>
      </w:r>
      <w:r w:rsidR="00E87D37">
        <w:t>RGSRA policy</w:t>
      </w:r>
      <w:r w:rsidR="00691343">
        <w:t xml:space="preserve"> (2016) seek to enhance community participation in the management of forests through decentralisation</w:t>
      </w:r>
      <w:r w:rsidR="00CA2BDE">
        <w:t>. T</w:t>
      </w:r>
      <w:r w:rsidR="00691343">
        <w:t xml:space="preserve">he study has revealed the persistence of the centralised governance system. In addition, the study revealed some of the challenges inherent in the </w:t>
      </w:r>
      <w:r w:rsidR="003D0C63">
        <w:t>management</w:t>
      </w:r>
      <w:r w:rsidR="00691343">
        <w:t xml:space="preserve"> process to be surpassed by these policies to enable them to achieve their intended results. </w:t>
      </w:r>
    </w:p>
    <w:p w14:paraId="53896153" w14:textId="77777777" w:rsidR="00691343" w:rsidRDefault="00DC4827" w:rsidP="00772DAC">
      <w:pPr>
        <w:ind w:left="0" w:firstLine="0"/>
      </w:pPr>
      <w:r>
        <w:tab/>
      </w:r>
      <w:r w:rsidR="00691343">
        <w:t xml:space="preserve">Lastly, the study has proposed how locally generated and practised forestry repertoire of knowledge could be synthesised with scientifically generated management practices to promote the attainment of government objectives while ensuring that the norms and practices of the indigenes are enhanced to promote their participation to ensure legitimacy of the </w:t>
      </w:r>
      <w:r w:rsidR="003D0C63">
        <w:t>rules governing the management</w:t>
      </w:r>
      <w:r w:rsidR="00691343">
        <w:t xml:space="preserve"> process.   </w:t>
      </w:r>
    </w:p>
    <w:p w14:paraId="586792D4" w14:textId="77777777" w:rsidR="0024221E" w:rsidRDefault="0024221E" w:rsidP="00772DAC">
      <w:pPr>
        <w:pStyle w:val="BodyText"/>
        <w:ind w:left="0" w:firstLine="0"/>
      </w:pPr>
    </w:p>
    <w:p w14:paraId="1878BB84" w14:textId="77777777" w:rsidR="00691343" w:rsidRDefault="00691343" w:rsidP="00772DAC">
      <w:pPr>
        <w:pStyle w:val="BodyText"/>
        <w:ind w:left="0" w:firstLine="0"/>
      </w:pPr>
    </w:p>
    <w:p w14:paraId="6ABE6B07" w14:textId="2FBBE849" w:rsidR="00691343" w:rsidRDefault="00691343" w:rsidP="00772DAC">
      <w:pPr>
        <w:pStyle w:val="BodyText"/>
        <w:ind w:left="0" w:firstLine="0"/>
      </w:pPr>
    </w:p>
    <w:p w14:paraId="0544D964" w14:textId="77777777" w:rsidR="00383D9F" w:rsidRDefault="00383D9F">
      <w:pPr>
        <w:spacing w:line="259" w:lineRule="auto"/>
        <w:ind w:left="0" w:firstLine="0"/>
        <w:jc w:val="left"/>
        <w:rPr>
          <w:rFonts w:eastAsiaTheme="majorEastAsia" w:cstheme="majorBidi"/>
          <w:b/>
          <w:caps/>
          <w:szCs w:val="32"/>
        </w:rPr>
      </w:pPr>
      <w:r>
        <w:br w:type="page"/>
      </w:r>
    </w:p>
    <w:p w14:paraId="0DC35C18" w14:textId="1AB74E55" w:rsidR="002C0C80" w:rsidRDefault="00DC4827" w:rsidP="00DC4827">
      <w:pPr>
        <w:pStyle w:val="Heading1"/>
        <w:ind w:left="0"/>
      </w:pPr>
      <w:bookmarkStart w:id="459" w:name="_Toc202197704"/>
      <w:r>
        <w:lastRenderedPageBreak/>
        <w:t>REFERENCES</w:t>
      </w:r>
      <w:bookmarkEnd w:id="459"/>
    </w:p>
    <w:p w14:paraId="64FAA098" w14:textId="77777777" w:rsidR="00DD6D1A" w:rsidRDefault="00D27874" w:rsidP="000D7C39">
      <w:pPr>
        <w:spacing w:after="0"/>
        <w:ind w:left="720" w:hanging="720"/>
      </w:pPr>
      <w:bookmarkStart w:id="460" w:name="_Hlk195385032"/>
      <w:bookmarkStart w:id="461" w:name="_Hlk165478318"/>
      <w:r>
        <w:t xml:space="preserve">Addo-Fordjour, P. &amp; Ankomah, F. (2017). Patterns and drivers of forest land </w:t>
      </w:r>
    </w:p>
    <w:p w14:paraId="7DEFD2BD" w14:textId="77777777" w:rsidR="00D27874" w:rsidRDefault="00D15027" w:rsidP="000D7C39">
      <w:pPr>
        <w:spacing w:after="0"/>
        <w:ind w:left="720" w:hanging="720"/>
      </w:pPr>
      <w:r>
        <w:tab/>
      </w:r>
      <w:r w:rsidR="00D27874">
        <w:t xml:space="preserve">cover changes in tropical semi-deciduous forests in Ghana. </w:t>
      </w:r>
      <w:r w:rsidR="00D27874" w:rsidRPr="00C80FE9">
        <w:rPr>
          <w:i/>
          <w:iCs/>
        </w:rPr>
        <w:t>J. Land Use Sci</w:t>
      </w:r>
      <w:r w:rsidR="00D27874">
        <w:t>, 12, 71–86</w:t>
      </w:r>
      <w:r w:rsidR="009B7B51">
        <w:t>.</w:t>
      </w:r>
    </w:p>
    <w:bookmarkEnd w:id="460"/>
    <w:p w14:paraId="2EADF0A2" w14:textId="5459F0C6" w:rsidR="00262C61" w:rsidRDefault="00262C61" w:rsidP="000D7C39">
      <w:pPr>
        <w:spacing w:after="0"/>
        <w:ind w:left="720" w:hanging="720"/>
      </w:pPr>
      <w:r>
        <w:t xml:space="preserve">Adom, D. (2017). Challenges to the efficacy of </w:t>
      </w:r>
      <w:r w:rsidR="00D1664B">
        <w:t xml:space="preserve">forestry and wildlife </w:t>
      </w:r>
      <w:proofErr w:type="gramStart"/>
      <w:r w:rsidR="00D1664B">
        <w:t xml:space="preserve">policies  </w:t>
      </w:r>
      <w:r>
        <w:t>in</w:t>
      </w:r>
      <w:proofErr w:type="gramEnd"/>
      <w:r>
        <w:t xml:space="preserve"> Ghana for environmental protection: A review. </w:t>
      </w:r>
      <w:r w:rsidRPr="00FD65A1">
        <w:rPr>
          <w:i/>
          <w:iCs/>
        </w:rPr>
        <w:t>African Jour</w:t>
      </w:r>
      <w:r w:rsidR="00D1664B">
        <w:rPr>
          <w:i/>
          <w:iCs/>
        </w:rPr>
        <w:t xml:space="preserve">nal of </w:t>
      </w:r>
      <w:r w:rsidRPr="00FD65A1">
        <w:rPr>
          <w:i/>
          <w:iCs/>
        </w:rPr>
        <w:t>Agricultural Research</w:t>
      </w:r>
      <w:r>
        <w:t>, 12(39), 2858-2876.</w:t>
      </w:r>
    </w:p>
    <w:p w14:paraId="7056700B" w14:textId="791144C8" w:rsidR="00F41483" w:rsidRDefault="00F41483" w:rsidP="000D7C39">
      <w:pPr>
        <w:spacing w:after="0"/>
        <w:ind w:left="720" w:hanging="720"/>
      </w:pPr>
      <w:r>
        <w:t xml:space="preserve">Abas, A., Aziz, A., and Awang, A. (2022). A </w:t>
      </w:r>
      <w:r w:rsidR="00D1664B">
        <w:t xml:space="preserve">systematic review on the local </w:t>
      </w:r>
      <w:r>
        <w:t xml:space="preserve">wisdom of indigenous people in nature conservation. </w:t>
      </w:r>
      <w:r>
        <w:rPr>
          <w:rStyle w:val="Emphasis"/>
        </w:rPr>
        <w:t>Sustainability,</w:t>
      </w:r>
      <w:r>
        <w:t xml:space="preserve"> 14 (6), 3415-3431.</w:t>
      </w:r>
    </w:p>
    <w:p w14:paraId="5F235305" w14:textId="26889628" w:rsidR="00F41483" w:rsidRPr="00F41483" w:rsidRDefault="00F41483" w:rsidP="000D7C39">
      <w:pPr>
        <w:spacing w:after="0"/>
        <w:ind w:left="720" w:hanging="720"/>
        <w:rPr>
          <w:lang w:eastAsia="en-GB"/>
        </w:rPr>
      </w:pPr>
      <w:r w:rsidRPr="00634A67">
        <w:rPr>
          <w:lang w:eastAsia="en-GB"/>
        </w:rPr>
        <w:t xml:space="preserve">Acheampong, E., </w:t>
      </w:r>
      <w:proofErr w:type="spellStart"/>
      <w:r w:rsidRPr="00634A67">
        <w:rPr>
          <w:lang w:eastAsia="en-GB"/>
        </w:rPr>
        <w:t>Insaidoo</w:t>
      </w:r>
      <w:proofErr w:type="spellEnd"/>
      <w:r w:rsidRPr="00634A67">
        <w:rPr>
          <w:lang w:eastAsia="en-GB"/>
        </w:rPr>
        <w:t xml:space="preserve">, T. F., &amp; Ros-Tonen, M. A. (2016). Management of Ghana’s modified </w:t>
      </w:r>
      <w:proofErr w:type="spellStart"/>
      <w:r w:rsidRPr="00634A67">
        <w:rPr>
          <w:lang w:eastAsia="en-GB"/>
        </w:rPr>
        <w:t>taungya</w:t>
      </w:r>
      <w:proofErr w:type="spellEnd"/>
      <w:r w:rsidRPr="00634A67">
        <w:rPr>
          <w:lang w:eastAsia="en-GB"/>
        </w:rPr>
        <w:t xml:space="preserve"> system: challenges and strategies for improvement. </w:t>
      </w:r>
      <w:r w:rsidRPr="00634A67">
        <w:rPr>
          <w:i/>
          <w:iCs/>
          <w:lang w:eastAsia="en-GB"/>
        </w:rPr>
        <w:t xml:space="preserve">Agroforestry </w:t>
      </w:r>
      <w:r>
        <w:rPr>
          <w:i/>
          <w:iCs/>
          <w:lang w:eastAsia="en-GB"/>
        </w:rPr>
        <w:t>S</w:t>
      </w:r>
      <w:r w:rsidRPr="00634A67">
        <w:rPr>
          <w:i/>
          <w:iCs/>
          <w:lang w:eastAsia="en-GB"/>
        </w:rPr>
        <w:t>ystems</w:t>
      </w:r>
      <w:r w:rsidRPr="00634A67">
        <w:rPr>
          <w:lang w:eastAsia="en-GB"/>
        </w:rPr>
        <w:t xml:space="preserve">, </w:t>
      </w:r>
      <w:r w:rsidRPr="00634A67">
        <w:rPr>
          <w:i/>
          <w:iCs/>
          <w:lang w:eastAsia="en-GB"/>
        </w:rPr>
        <w:t>90</w:t>
      </w:r>
      <w:r w:rsidRPr="00634A67">
        <w:rPr>
          <w:lang w:eastAsia="en-GB"/>
        </w:rPr>
        <w:t>, 659-674</w:t>
      </w:r>
    </w:p>
    <w:bookmarkEnd w:id="461"/>
    <w:p w14:paraId="36B5D300" w14:textId="64970980" w:rsidR="00453454" w:rsidRPr="00D1664B" w:rsidRDefault="00453454" w:rsidP="000D7C39">
      <w:pPr>
        <w:spacing w:after="0"/>
        <w:ind w:left="720" w:hanging="720"/>
      </w:pPr>
      <w:r w:rsidRPr="009A27FF">
        <w:t>Agrawal, A.</w:t>
      </w:r>
      <w:r>
        <w:rPr>
          <w:b/>
          <w:bCs/>
        </w:rPr>
        <w:t xml:space="preserve"> (</w:t>
      </w:r>
      <w:r>
        <w:t xml:space="preserve">1994). Rules, </w:t>
      </w:r>
      <w:r w:rsidR="00AD7B7E">
        <w:t>rulemaking</w:t>
      </w:r>
      <w:r>
        <w:t xml:space="preserve"> and ru</w:t>
      </w:r>
      <w:r w:rsidR="00D1664B">
        <w:t xml:space="preserve">le </w:t>
      </w:r>
      <w:proofErr w:type="gramStart"/>
      <w:r w:rsidR="00D1664B">
        <w:t>breaking:</w:t>
      </w:r>
      <w:proofErr w:type="gramEnd"/>
      <w:r w:rsidR="00D1664B">
        <w:t xml:space="preserve"> examining the fit </w:t>
      </w:r>
      <w:r>
        <w:t xml:space="preserve">between rule systems and resource use. In E. Ostrom, R. Gardner &amp; J. Walker, eds. </w:t>
      </w:r>
      <w:r>
        <w:rPr>
          <w:i/>
          <w:iCs/>
        </w:rPr>
        <w:t>Rules, games, and common - pool resources</w:t>
      </w:r>
      <w:r>
        <w:t>. Ann Arbor, EE.UU., University of Michigan Press.</w:t>
      </w:r>
    </w:p>
    <w:p w14:paraId="786C688F" w14:textId="77777777" w:rsidR="00DD6D1A" w:rsidRDefault="00D27874" w:rsidP="000D7C39">
      <w:pPr>
        <w:spacing w:after="0"/>
        <w:ind w:left="720" w:hanging="720"/>
        <w:rPr>
          <w:rFonts w:cs="Times New Roman"/>
          <w:szCs w:val="24"/>
        </w:rPr>
      </w:pPr>
      <w:bookmarkStart w:id="462" w:name="_Hlk165478675"/>
      <w:r>
        <w:rPr>
          <w:rFonts w:cs="Times New Roman"/>
          <w:szCs w:val="24"/>
        </w:rPr>
        <w:t>A</w:t>
      </w:r>
      <w:r w:rsidRPr="004F7D75">
        <w:rPr>
          <w:rFonts w:cs="Times New Roman"/>
          <w:szCs w:val="24"/>
        </w:rPr>
        <w:t>grawal,</w:t>
      </w:r>
      <w:r>
        <w:rPr>
          <w:rFonts w:cs="Times New Roman"/>
          <w:szCs w:val="24"/>
        </w:rPr>
        <w:t xml:space="preserve"> </w:t>
      </w:r>
      <w:r w:rsidRPr="004F7D75">
        <w:rPr>
          <w:rFonts w:cs="Times New Roman"/>
          <w:szCs w:val="24"/>
        </w:rPr>
        <w:t xml:space="preserve">A., &amp; Gibson, C. C. (1999). Enchantment and disenchantment: the </w:t>
      </w:r>
    </w:p>
    <w:p w14:paraId="71F433AD" w14:textId="77777777" w:rsidR="00D27874" w:rsidRDefault="00D15027" w:rsidP="000D7C39">
      <w:pPr>
        <w:spacing w:after="0"/>
        <w:ind w:left="720" w:hanging="720"/>
        <w:rPr>
          <w:rFonts w:cs="Times New Roman"/>
          <w:szCs w:val="24"/>
        </w:rPr>
      </w:pPr>
      <w:r>
        <w:rPr>
          <w:rFonts w:cs="Times New Roman"/>
          <w:szCs w:val="24"/>
        </w:rPr>
        <w:tab/>
      </w:r>
      <w:r w:rsidR="00D27874" w:rsidRPr="004F7D75">
        <w:rPr>
          <w:rFonts w:cs="Times New Roman"/>
          <w:szCs w:val="24"/>
        </w:rPr>
        <w:t>role of community</w:t>
      </w:r>
      <w:r w:rsidR="00D27874">
        <w:rPr>
          <w:rFonts w:cs="Times New Roman"/>
          <w:szCs w:val="24"/>
        </w:rPr>
        <w:t xml:space="preserve"> </w:t>
      </w:r>
      <w:r w:rsidR="00D27874" w:rsidRPr="004F7D75">
        <w:rPr>
          <w:rFonts w:cs="Times New Roman"/>
          <w:szCs w:val="24"/>
        </w:rPr>
        <w:t xml:space="preserve">in natural resource conservation. </w:t>
      </w:r>
      <w:r w:rsidR="00D27874" w:rsidRPr="00982156">
        <w:rPr>
          <w:rFonts w:cs="Times New Roman"/>
          <w:i/>
          <w:iCs/>
          <w:szCs w:val="24"/>
        </w:rPr>
        <w:t>World development</w:t>
      </w:r>
      <w:r w:rsidR="00D27874" w:rsidRPr="004F7D75">
        <w:rPr>
          <w:rFonts w:cs="Times New Roman"/>
          <w:szCs w:val="24"/>
        </w:rPr>
        <w:t>, 27(4), 629-649.</w:t>
      </w:r>
    </w:p>
    <w:p w14:paraId="6DD6B96F" w14:textId="6C5B3AED" w:rsidR="00A9111A" w:rsidRPr="00A9111A" w:rsidRDefault="00A9111A" w:rsidP="000D7C39">
      <w:pPr>
        <w:spacing w:after="0"/>
        <w:ind w:left="720" w:hanging="720"/>
      </w:pPr>
      <w:bookmarkStart w:id="463" w:name="_Hlk195385228"/>
      <w:bookmarkEnd w:id="462"/>
      <w:r>
        <w:t>Agrawal, A., Hajjar, R., Liao, C., Rasmus</w:t>
      </w:r>
      <w:r w:rsidR="00D1664B">
        <w:t xml:space="preserve">sen, L.V., Watkins, C. (2018). </w:t>
      </w:r>
      <w:r>
        <w:t>Editorial overview: Forest governance interventions for sustainability through information, incentives, and institutions</w:t>
      </w:r>
      <w:r w:rsidRPr="00A9111A">
        <w:rPr>
          <w:i/>
          <w:iCs/>
        </w:rPr>
        <w:t xml:space="preserve">. Curr. </w:t>
      </w:r>
      <w:proofErr w:type="spellStart"/>
      <w:r w:rsidRPr="00A9111A">
        <w:rPr>
          <w:i/>
          <w:iCs/>
        </w:rPr>
        <w:t>Opin</w:t>
      </w:r>
      <w:proofErr w:type="spellEnd"/>
      <w:r w:rsidRPr="00A9111A">
        <w:rPr>
          <w:i/>
          <w:iCs/>
        </w:rPr>
        <w:t>. Environ. Sustain.</w:t>
      </w:r>
      <w:r>
        <w:rPr>
          <w:i/>
          <w:iCs/>
        </w:rPr>
        <w:t>,</w:t>
      </w:r>
      <w:r>
        <w:t xml:space="preserve"> 32, 1–7.</w:t>
      </w:r>
    </w:p>
    <w:bookmarkEnd w:id="463"/>
    <w:p w14:paraId="133E8B98" w14:textId="55E72D1A" w:rsidR="00C2496C" w:rsidRDefault="00C2496C" w:rsidP="000D7C39">
      <w:pPr>
        <w:spacing w:after="0"/>
        <w:ind w:left="720" w:hanging="720"/>
        <w:rPr>
          <w:rFonts w:eastAsia="Times New Roman" w:cs="Times New Roman"/>
          <w:szCs w:val="24"/>
          <w:lang w:eastAsia="en-GB"/>
        </w:rPr>
      </w:pPr>
      <w:r w:rsidRPr="00C2496C">
        <w:rPr>
          <w:rFonts w:eastAsia="Times New Roman" w:cs="Times New Roman"/>
          <w:szCs w:val="24"/>
          <w:lang w:eastAsia="en-GB"/>
        </w:rPr>
        <w:lastRenderedPageBreak/>
        <w:t xml:space="preserve">Agrawal, A., &amp; Ostrom, E. (2001). Collective action, property rights, and decentralization in resource use in India and Nepal. </w:t>
      </w:r>
      <w:r w:rsidRPr="00C2496C">
        <w:rPr>
          <w:rFonts w:eastAsia="Times New Roman" w:cs="Times New Roman"/>
          <w:i/>
          <w:iCs/>
          <w:szCs w:val="24"/>
          <w:lang w:eastAsia="en-GB"/>
        </w:rPr>
        <w:t>Politics &amp; Society</w:t>
      </w:r>
      <w:r w:rsidRPr="00C2496C">
        <w:rPr>
          <w:rFonts w:eastAsia="Times New Roman" w:cs="Times New Roman"/>
          <w:szCs w:val="24"/>
          <w:lang w:eastAsia="en-GB"/>
        </w:rPr>
        <w:t xml:space="preserve">, </w:t>
      </w:r>
      <w:r w:rsidRPr="00C2496C">
        <w:rPr>
          <w:rFonts w:eastAsia="Times New Roman" w:cs="Times New Roman"/>
          <w:i/>
          <w:iCs/>
          <w:szCs w:val="24"/>
          <w:lang w:eastAsia="en-GB"/>
        </w:rPr>
        <w:t>29</w:t>
      </w:r>
      <w:r w:rsidRPr="00C2496C">
        <w:rPr>
          <w:rFonts w:eastAsia="Times New Roman" w:cs="Times New Roman"/>
          <w:szCs w:val="24"/>
          <w:lang w:eastAsia="en-GB"/>
        </w:rPr>
        <w:t>(4), 485-514.</w:t>
      </w:r>
    </w:p>
    <w:p w14:paraId="4D0CBC75" w14:textId="20BA2C84" w:rsidR="00F65E91" w:rsidRPr="00D1664B" w:rsidRDefault="00F65E91" w:rsidP="000D7C39">
      <w:pPr>
        <w:spacing w:after="0"/>
        <w:ind w:left="720" w:hanging="720"/>
        <w:rPr>
          <w:rFonts w:eastAsia="Times New Roman" w:cs="Times New Roman"/>
          <w:i/>
          <w:iCs/>
          <w:szCs w:val="24"/>
          <w:lang w:eastAsia="en-GB"/>
        </w:rPr>
      </w:pPr>
      <w:r w:rsidRPr="00F65E91">
        <w:rPr>
          <w:rFonts w:eastAsia="Times New Roman" w:cs="Times New Roman"/>
          <w:szCs w:val="24"/>
          <w:lang w:eastAsia="en-GB"/>
        </w:rPr>
        <w:t xml:space="preserve">Agrawal, A. (2002). Common resources and institutional sustainability. </w:t>
      </w:r>
      <w:r w:rsidRPr="00F65E91">
        <w:rPr>
          <w:rFonts w:eastAsia="Times New Roman" w:cs="Times New Roman"/>
          <w:i/>
          <w:iCs/>
          <w:szCs w:val="24"/>
          <w:lang w:eastAsia="en-GB"/>
        </w:rPr>
        <w:t>The drama of the commons</w:t>
      </w:r>
      <w:r w:rsidRPr="00F65E91">
        <w:rPr>
          <w:rFonts w:eastAsia="Times New Roman" w:cs="Times New Roman"/>
          <w:szCs w:val="24"/>
          <w:lang w:eastAsia="en-GB"/>
        </w:rPr>
        <w:t>.</w:t>
      </w:r>
      <w:r w:rsidR="00563444">
        <w:rPr>
          <w:rFonts w:eastAsia="Times New Roman" w:cs="Times New Roman"/>
          <w:szCs w:val="24"/>
          <w:lang w:eastAsia="en-GB"/>
        </w:rPr>
        <w:t xml:space="preserve"> National Academy Press. Washington D.C</w:t>
      </w:r>
    </w:p>
    <w:p w14:paraId="5B0AC628" w14:textId="459A31AB" w:rsidR="0071039B" w:rsidRDefault="0071039B" w:rsidP="000D7C39">
      <w:pPr>
        <w:spacing w:after="0"/>
        <w:ind w:left="720" w:hanging="720"/>
      </w:pPr>
      <w:r>
        <w:t>Agrawal, A., &amp; Ribot, J. C. (2014). Ac</w:t>
      </w:r>
      <w:r w:rsidR="00D1664B">
        <w:t xml:space="preserve">countability and governance in </w:t>
      </w:r>
      <w:r>
        <w:t xml:space="preserve">decentralized forest management: A case from India. </w:t>
      </w:r>
      <w:r w:rsidRPr="00563444">
        <w:rPr>
          <w:i/>
          <w:iCs/>
        </w:rPr>
        <w:t>World Development</w:t>
      </w:r>
      <w:r>
        <w:t>, 55, 14-25.</w:t>
      </w:r>
    </w:p>
    <w:p w14:paraId="49D4F209" w14:textId="3B4AA6ED" w:rsidR="005C53F4" w:rsidRDefault="005C53F4" w:rsidP="000D7C39">
      <w:pPr>
        <w:spacing w:after="0"/>
        <w:ind w:left="720" w:hanging="720"/>
      </w:pPr>
      <w:r>
        <w:t xml:space="preserve">Agyemang-Badu, D. N. E. (2020). Impact of </w:t>
      </w:r>
      <w:r w:rsidR="00D1664B">
        <w:t xml:space="preserve">selective logging on butterfly </w:t>
      </w:r>
      <w:proofErr w:type="spellStart"/>
      <w:r>
        <w:t>diMversity</w:t>
      </w:r>
      <w:proofErr w:type="spellEnd"/>
      <w:r>
        <w:t xml:space="preserve"> at the Bobiri Forest Reserve and Butterfly Sanctuary, Ghana. Bachelor of Science (BSc.) Thesis in Renewable Natural Resource Management. Kwame Nkrumah University of Science and Technology, Kumasi, Ghana.</w:t>
      </w:r>
    </w:p>
    <w:p w14:paraId="1A7B1C20" w14:textId="39F29D54" w:rsidR="00262C61" w:rsidRPr="00262C61" w:rsidRDefault="00262C61" w:rsidP="000D7C39">
      <w:pPr>
        <w:spacing w:after="0"/>
        <w:ind w:left="720" w:hanging="720"/>
        <w:rPr>
          <w:rFonts w:eastAsia="Times New Roman" w:cs="Times New Roman"/>
          <w:szCs w:val="24"/>
          <w:lang w:eastAsia="en-GB"/>
        </w:rPr>
      </w:pPr>
      <w:r w:rsidRPr="00262C61">
        <w:rPr>
          <w:rFonts w:eastAsia="Times New Roman" w:cs="Times New Roman"/>
          <w:szCs w:val="24"/>
          <w:lang w:eastAsia="en-GB"/>
        </w:rPr>
        <w:t>Amanor, K. S. (2004). Natural and cultural assets and participatory forest management in West Africa.</w:t>
      </w:r>
      <w:r w:rsidR="002C15B5">
        <w:rPr>
          <w:rFonts w:eastAsia="Times New Roman" w:cs="Times New Roman"/>
          <w:szCs w:val="24"/>
          <w:lang w:eastAsia="en-GB"/>
        </w:rPr>
        <w:t xml:space="preserve"> Working Paper Series, no. 75.</w:t>
      </w:r>
    </w:p>
    <w:p w14:paraId="401F1F53" w14:textId="77777777" w:rsidR="00DD6D1A" w:rsidRDefault="00D27874" w:rsidP="000D7C39">
      <w:pPr>
        <w:spacing w:after="0"/>
        <w:ind w:left="720" w:hanging="720"/>
        <w:rPr>
          <w:rFonts w:eastAsia="Times New Roman" w:cs="Times New Roman"/>
          <w:szCs w:val="24"/>
          <w:lang w:eastAsia="en-GB"/>
        </w:rPr>
      </w:pPr>
      <w:bookmarkStart w:id="464" w:name="_Hlk166104179"/>
      <w:bookmarkStart w:id="465" w:name="_Hlk165478372"/>
      <w:r w:rsidRPr="00F10934">
        <w:rPr>
          <w:rFonts w:eastAsia="Times New Roman" w:cs="Times New Roman"/>
          <w:szCs w:val="24"/>
          <w:lang w:eastAsia="en-GB"/>
        </w:rPr>
        <w:t xml:space="preserve">Andersson, K. (2013). Local governance of forests and the role of external </w:t>
      </w:r>
    </w:p>
    <w:p w14:paraId="05017CA9" w14:textId="77777777" w:rsidR="00D27874" w:rsidRDefault="00D15027"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F10934">
        <w:rPr>
          <w:rFonts w:eastAsia="Times New Roman" w:cs="Times New Roman"/>
          <w:szCs w:val="24"/>
          <w:lang w:eastAsia="en-GB"/>
        </w:rPr>
        <w:t>organi</w:t>
      </w:r>
      <w:r w:rsidR="00D27874">
        <w:rPr>
          <w:rFonts w:eastAsia="Times New Roman" w:cs="Times New Roman"/>
          <w:szCs w:val="24"/>
          <w:lang w:eastAsia="en-GB"/>
        </w:rPr>
        <w:t>s</w:t>
      </w:r>
      <w:r w:rsidR="00D27874" w:rsidRPr="00F10934">
        <w:rPr>
          <w:rFonts w:eastAsia="Times New Roman" w:cs="Times New Roman"/>
          <w:szCs w:val="24"/>
          <w:lang w:eastAsia="en-GB"/>
        </w:rPr>
        <w:t xml:space="preserve">ations: Some ties matter more than others. </w:t>
      </w:r>
      <w:r w:rsidR="00D27874" w:rsidRPr="00036685">
        <w:rPr>
          <w:rFonts w:eastAsia="Times New Roman" w:cs="Times New Roman"/>
          <w:i/>
          <w:iCs/>
          <w:szCs w:val="24"/>
          <w:lang w:eastAsia="en-GB"/>
        </w:rPr>
        <w:t>World Development</w:t>
      </w:r>
      <w:r w:rsidR="009B7B51">
        <w:rPr>
          <w:rFonts w:eastAsia="Times New Roman" w:cs="Times New Roman"/>
          <w:szCs w:val="24"/>
          <w:lang w:eastAsia="en-GB"/>
        </w:rPr>
        <w:t xml:space="preserve">, </w:t>
      </w:r>
      <w:r w:rsidR="00D27874" w:rsidRPr="00F10934">
        <w:rPr>
          <w:rFonts w:eastAsia="Times New Roman" w:cs="Times New Roman"/>
          <w:szCs w:val="24"/>
          <w:lang w:eastAsia="en-GB"/>
        </w:rPr>
        <w:t>43</w:t>
      </w:r>
      <w:r w:rsidR="009B7B51">
        <w:rPr>
          <w:rFonts w:eastAsia="Times New Roman" w:cs="Times New Roman"/>
          <w:szCs w:val="24"/>
          <w:lang w:eastAsia="en-GB"/>
        </w:rPr>
        <w:t>,</w:t>
      </w:r>
      <w:r w:rsidR="00D27874" w:rsidRPr="00F10934">
        <w:rPr>
          <w:rFonts w:eastAsia="Times New Roman" w:cs="Times New Roman"/>
          <w:szCs w:val="24"/>
          <w:lang w:eastAsia="en-GB"/>
        </w:rPr>
        <w:t xml:space="preserve"> 226–237.</w:t>
      </w:r>
      <w:r w:rsidR="00D27874">
        <w:rPr>
          <w:rFonts w:eastAsia="Times New Roman" w:cs="Times New Roman"/>
          <w:szCs w:val="24"/>
          <w:lang w:eastAsia="en-GB"/>
        </w:rPr>
        <w:t xml:space="preserve"> </w:t>
      </w:r>
    </w:p>
    <w:bookmarkEnd w:id="464"/>
    <w:p w14:paraId="31FD7C52" w14:textId="2B8A6114" w:rsidR="00DF77A2" w:rsidRPr="00D1664B" w:rsidRDefault="00DF77A2" w:rsidP="000D7C39">
      <w:pPr>
        <w:spacing w:after="0"/>
        <w:ind w:left="720" w:hanging="720"/>
        <w:rPr>
          <w:rFonts w:eastAsia="Times New Roman" w:cs="Times New Roman"/>
          <w:i/>
          <w:iCs/>
          <w:szCs w:val="24"/>
          <w:lang w:eastAsia="en-GB"/>
        </w:rPr>
      </w:pPr>
      <w:r w:rsidRPr="00C307E0">
        <w:rPr>
          <w:rFonts w:eastAsia="Times New Roman" w:cs="Times New Roman"/>
          <w:szCs w:val="24"/>
          <w:lang w:eastAsia="en-GB"/>
        </w:rPr>
        <w:t xml:space="preserve">Arnold, J. M., &amp; Dewees, P. A. (2014). </w:t>
      </w:r>
      <w:r w:rsidRPr="00C307E0">
        <w:rPr>
          <w:rFonts w:eastAsia="Times New Roman" w:cs="Times New Roman"/>
          <w:i/>
          <w:iCs/>
          <w:szCs w:val="24"/>
          <w:lang w:eastAsia="en-GB"/>
        </w:rPr>
        <w:t>Farms Trees and farmers: Responses to agricultural intensification</w:t>
      </w:r>
      <w:r w:rsidRPr="00C307E0">
        <w:rPr>
          <w:rFonts w:eastAsia="Times New Roman" w:cs="Times New Roman"/>
          <w:szCs w:val="24"/>
          <w:lang w:eastAsia="en-GB"/>
        </w:rPr>
        <w:t>. Routledge.</w:t>
      </w:r>
    </w:p>
    <w:p w14:paraId="14BB383B" w14:textId="76BB13A1" w:rsidR="003B6A8F" w:rsidRPr="003B6A8F" w:rsidRDefault="003B6A8F" w:rsidP="000D7C39">
      <w:pPr>
        <w:spacing w:after="0"/>
        <w:ind w:left="720" w:hanging="720"/>
        <w:rPr>
          <w:rFonts w:eastAsia="Times New Roman" w:cs="Times New Roman"/>
          <w:szCs w:val="24"/>
          <w:lang w:eastAsia="en-GB"/>
        </w:rPr>
      </w:pPr>
      <w:proofErr w:type="spellStart"/>
      <w:r w:rsidRPr="003B6A8F">
        <w:rPr>
          <w:rFonts w:eastAsia="Times New Roman" w:cs="Times New Roman"/>
          <w:szCs w:val="24"/>
          <w:lang w:eastAsia="en-GB"/>
        </w:rPr>
        <w:t>Angelstam</w:t>
      </w:r>
      <w:proofErr w:type="spellEnd"/>
      <w:r w:rsidRPr="003B6A8F">
        <w:rPr>
          <w:rFonts w:eastAsia="Times New Roman" w:cs="Times New Roman"/>
          <w:szCs w:val="24"/>
          <w:lang w:eastAsia="en-GB"/>
        </w:rPr>
        <w:t xml:space="preserve">, P., Naumov, V., </w:t>
      </w:r>
      <w:proofErr w:type="spellStart"/>
      <w:r w:rsidRPr="003B6A8F">
        <w:rPr>
          <w:rFonts w:eastAsia="Times New Roman" w:cs="Times New Roman"/>
          <w:szCs w:val="24"/>
          <w:lang w:eastAsia="en-GB"/>
        </w:rPr>
        <w:t>Elbakidze</w:t>
      </w:r>
      <w:proofErr w:type="spellEnd"/>
      <w:r w:rsidRPr="003B6A8F">
        <w:rPr>
          <w:rFonts w:eastAsia="Times New Roman" w:cs="Times New Roman"/>
          <w:szCs w:val="24"/>
          <w:lang w:eastAsia="en-GB"/>
        </w:rPr>
        <w:t xml:space="preserve">, M., Manton, M., Priednieks, J., &amp; </w:t>
      </w:r>
      <w:proofErr w:type="spellStart"/>
      <w:r w:rsidRPr="003B6A8F">
        <w:rPr>
          <w:rFonts w:eastAsia="Times New Roman" w:cs="Times New Roman"/>
          <w:szCs w:val="24"/>
          <w:lang w:eastAsia="en-GB"/>
        </w:rPr>
        <w:t>Rendenieks</w:t>
      </w:r>
      <w:proofErr w:type="spellEnd"/>
      <w:r w:rsidRPr="003B6A8F">
        <w:rPr>
          <w:rFonts w:eastAsia="Times New Roman" w:cs="Times New Roman"/>
          <w:szCs w:val="24"/>
          <w:lang w:eastAsia="en-GB"/>
        </w:rPr>
        <w:t xml:space="preserve">, Z. (2018). Wood production and biodiversity conservation are rival forestry objectives in Europe's Baltic Sea Region. </w:t>
      </w:r>
      <w:r w:rsidRPr="003B6A8F">
        <w:rPr>
          <w:rFonts w:eastAsia="Times New Roman" w:cs="Times New Roman"/>
          <w:i/>
          <w:iCs/>
          <w:szCs w:val="24"/>
          <w:lang w:eastAsia="en-GB"/>
        </w:rPr>
        <w:t>Ecosphere</w:t>
      </w:r>
      <w:r w:rsidRPr="003B6A8F">
        <w:rPr>
          <w:rFonts w:eastAsia="Times New Roman" w:cs="Times New Roman"/>
          <w:szCs w:val="24"/>
          <w:lang w:eastAsia="en-GB"/>
        </w:rPr>
        <w:t xml:space="preserve">, </w:t>
      </w:r>
      <w:r w:rsidRPr="003B6A8F">
        <w:rPr>
          <w:rFonts w:eastAsia="Times New Roman" w:cs="Times New Roman"/>
          <w:i/>
          <w:iCs/>
          <w:szCs w:val="24"/>
          <w:lang w:eastAsia="en-GB"/>
        </w:rPr>
        <w:t>9</w:t>
      </w:r>
      <w:r w:rsidRPr="003B6A8F">
        <w:rPr>
          <w:rFonts w:eastAsia="Times New Roman" w:cs="Times New Roman"/>
          <w:szCs w:val="24"/>
          <w:lang w:eastAsia="en-GB"/>
        </w:rPr>
        <w:t>(3), e02119.</w:t>
      </w:r>
    </w:p>
    <w:p w14:paraId="4F663EDA" w14:textId="01ECFFC1" w:rsidR="009012BA" w:rsidRPr="009012BA" w:rsidRDefault="009012BA" w:rsidP="000D7C39">
      <w:pPr>
        <w:spacing w:after="0"/>
        <w:ind w:left="720" w:hanging="720"/>
        <w:rPr>
          <w:rFonts w:eastAsia="Times New Roman" w:cs="Times New Roman"/>
          <w:szCs w:val="24"/>
          <w:lang w:eastAsia="en-GB"/>
        </w:rPr>
      </w:pPr>
      <w:r w:rsidRPr="009012BA">
        <w:rPr>
          <w:rFonts w:eastAsia="Times New Roman" w:cs="Times New Roman"/>
          <w:szCs w:val="24"/>
          <w:lang w:eastAsia="en-GB"/>
        </w:rPr>
        <w:lastRenderedPageBreak/>
        <w:t xml:space="preserve">Annis, D. B. (1992). Teaching ethics in higher education: Goals, and the implications of the empirical research on moral development. </w:t>
      </w:r>
      <w:proofErr w:type="spellStart"/>
      <w:r w:rsidRPr="009012BA">
        <w:rPr>
          <w:rFonts w:eastAsia="Times New Roman" w:cs="Times New Roman"/>
          <w:i/>
          <w:iCs/>
          <w:szCs w:val="24"/>
          <w:lang w:eastAsia="en-GB"/>
        </w:rPr>
        <w:t>Metaphilosophy</w:t>
      </w:r>
      <w:proofErr w:type="spellEnd"/>
      <w:r w:rsidRPr="009012BA">
        <w:rPr>
          <w:rFonts w:eastAsia="Times New Roman" w:cs="Times New Roman"/>
          <w:szCs w:val="24"/>
          <w:lang w:eastAsia="en-GB"/>
        </w:rPr>
        <w:t xml:space="preserve">, </w:t>
      </w:r>
      <w:r w:rsidRPr="009012BA">
        <w:rPr>
          <w:rFonts w:eastAsia="Times New Roman" w:cs="Times New Roman"/>
          <w:i/>
          <w:iCs/>
          <w:szCs w:val="24"/>
          <w:lang w:eastAsia="en-GB"/>
        </w:rPr>
        <w:t>23</w:t>
      </w:r>
      <w:r w:rsidRPr="009012BA">
        <w:rPr>
          <w:rFonts w:eastAsia="Times New Roman" w:cs="Times New Roman"/>
          <w:szCs w:val="24"/>
          <w:lang w:eastAsia="en-GB"/>
        </w:rPr>
        <w:t>(1/2), 187-202.</w:t>
      </w:r>
    </w:p>
    <w:bookmarkEnd w:id="465"/>
    <w:p w14:paraId="66A22E3F" w14:textId="4160F588" w:rsidR="004344A1" w:rsidRPr="00D1664B" w:rsidRDefault="004344A1" w:rsidP="000D7C39">
      <w:pPr>
        <w:spacing w:after="0"/>
        <w:ind w:left="720" w:hanging="720"/>
        <w:rPr>
          <w:lang w:eastAsia="en-GB"/>
        </w:rPr>
      </w:pPr>
      <w:r w:rsidRPr="004344A1">
        <w:rPr>
          <w:lang w:eastAsia="en-GB"/>
        </w:rPr>
        <w:t xml:space="preserve">Anup, K. C. (2017, March). Community forestry management and its role in biodiversity conservation in Nepal. </w:t>
      </w:r>
      <w:r w:rsidRPr="004344A1">
        <w:rPr>
          <w:i/>
          <w:iCs/>
          <w:lang w:eastAsia="en-GB"/>
        </w:rPr>
        <w:t>In Global exposition of wildlife management,</w:t>
      </w:r>
      <w:r w:rsidRPr="004344A1">
        <w:rPr>
          <w:lang w:eastAsia="en-GB"/>
        </w:rPr>
        <w:t xml:space="preserve"> 51. </w:t>
      </w:r>
      <w:proofErr w:type="spellStart"/>
      <w:r w:rsidRPr="004344A1">
        <w:rPr>
          <w:lang w:eastAsia="en-GB"/>
        </w:rPr>
        <w:t>InTech</w:t>
      </w:r>
      <w:proofErr w:type="spellEnd"/>
      <w:r w:rsidRPr="004344A1">
        <w:rPr>
          <w:rFonts w:eastAsia="Times New Roman" w:cs="Times New Roman"/>
          <w:szCs w:val="24"/>
          <w:lang w:eastAsia="en-GB"/>
        </w:rPr>
        <w:t>.</w:t>
      </w:r>
    </w:p>
    <w:p w14:paraId="2A271642" w14:textId="3FB84875" w:rsidR="007A6E40" w:rsidRDefault="007A6E40" w:rsidP="000D7C39">
      <w:pPr>
        <w:spacing w:after="0"/>
        <w:ind w:left="720" w:hanging="720"/>
        <w:rPr>
          <w:rFonts w:eastAsia="Times New Roman" w:cs="Times New Roman"/>
          <w:szCs w:val="24"/>
          <w:lang w:eastAsia="en-GB"/>
        </w:rPr>
      </w:pPr>
      <w:r w:rsidRPr="00575835">
        <w:rPr>
          <w:rFonts w:eastAsia="Times New Roman" w:cs="Times New Roman"/>
          <w:szCs w:val="24"/>
          <w:lang w:eastAsia="en-GB"/>
        </w:rPr>
        <w:t xml:space="preserve">Armitage, D. (2005). Adaptive capacity and community-based natural resource management. </w:t>
      </w:r>
      <w:r w:rsidRPr="00575835">
        <w:rPr>
          <w:rFonts w:eastAsia="Times New Roman" w:cs="Times New Roman"/>
          <w:i/>
          <w:iCs/>
          <w:szCs w:val="24"/>
          <w:lang w:eastAsia="en-GB"/>
        </w:rPr>
        <w:t xml:space="preserve">Environmental </w:t>
      </w:r>
      <w:r w:rsidR="00C85D39">
        <w:rPr>
          <w:rFonts w:eastAsia="Times New Roman" w:cs="Times New Roman"/>
          <w:i/>
          <w:iCs/>
          <w:szCs w:val="24"/>
          <w:lang w:eastAsia="en-GB"/>
        </w:rPr>
        <w:t>M</w:t>
      </w:r>
      <w:r w:rsidRPr="00575835">
        <w:rPr>
          <w:rFonts w:eastAsia="Times New Roman" w:cs="Times New Roman"/>
          <w:i/>
          <w:iCs/>
          <w:szCs w:val="24"/>
          <w:lang w:eastAsia="en-GB"/>
        </w:rPr>
        <w:t>anagement</w:t>
      </w:r>
      <w:r w:rsidRPr="00575835">
        <w:rPr>
          <w:rFonts w:eastAsia="Times New Roman" w:cs="Times New Roman"/>
          <w:szCs w:val="24"/>
          <w:lang w:eastAsia="en-GB"/>
        </w:rPr>
        <w:t xml:space="preserve">, </w:t>
      </w:r>
      <w:r w:rsidRPr="00575835">
        <w:rPr>
          <w:rFonts w:eastAsia="Times New Roman" w:cs="Times New Roman"/>
          <w:i/>
          <w:iCs/>
          <w:szCs w:val="24"/>
          <w:lang w:eastAsia="en-GB"/>
        </w:rPr>
        <w:t>35</w:t>
      </w:r>
      <w:r w:rsidRPr="00575835">
        <w:rPr>
          <w:rFonts w:eastAsia="Times New Roman" w:cs="Times New Roman"/>
          <w:szCs w:val="24"/>
          <w:lang w:eastAsia="en-GB"/>
        </w:rPr>
        <w:t>, 703-715.</w:t>
      </w:r>
    </w:p>
    <w:p w14:paraId="2FCCF9B6" w14:textId="1BC0997B" w:rsidR="007A6E40" w:rsidRDefault="007A6E40" w:rsidP="000D7C39">
      <w:pPr>
        <w:spacing w:after="0"/>
        <w:ind w:left="720" w:hanging="720"/>
        <w:rPr>
          <w:rFonts w:eastAsia="Times New Roman" w:cs="Times New Roman"/>
          <w:szCs w:val="24"/>
          <w:lang w:eastAsia="en-GB"/>
        </w:rPr>
      </w:pPr>
      <w:r w:rsidRPr="00314BDF">
        <w:rPr>
          <w:rFonts w:eastAsia="Times New Roman" w:cs="Times New Roman"/>
          <w:szCs w:val="24"/>
          <w:lang w:eastAsia="en-GB"/>
        </w:rPr>
        <w:t xml:space="preserve">Armitage, D., Marschke, M., &amp; Plummer, R. (2008). Adaptive co-management and the paradox of learning. </w:t>
      </w:r>
      <w:r w:rsidRPr="00314BDF">
        <w:rPr>
          <w:rFonts w:eastAsia="Times New Roman" w:cs="Times New Roman"/>
          <w:i/>
          <w:iCs/>
          <w:szCs w:val="24"/>
          <w:lang w:eastAsia="en-GB"/>
        </w:rPr>
        <w:t xml:space="preserve">Global </w:t>
      </w:r>
      <w:r w:rsidR="00C85D39">
        <w:rPr>
          <w:rFonts w:eastAsia="Times New Roman" w:cs="Times New Roman"/>
          <w:i/>
          <w:iCs/>
          <w:szCs w:val="24"/>
          <w:lang w:eastAsia="en-GB"/>
        </w:rPr>
        <w:t>E</w:t>
      </w:r>
      <w:r w:rsidRPr="00314BDF">
        <w:rPr>
          <w:rFonts w:eastAsia="Times New Roman" w:cs="Times New Roman"/>
          <w:i/>
          <w:iCs/>
          <w:szCs w:val="24"/>
          <w:lang w:eastAsia="en-GB"/>
        </w:rPr>
        <w:t xml:space="preserve">nvironmental </w:t>
      </w:r>
      <w:r w:rsidR="00C85D39">
        <w:rPr>
          <w:rFonts w:eastAsia="Times New Roman" w:cs="Times New Roman"/>
          <w:i/>
          <w:iCs/>
          <w:szCs w:val="24"/>
          <w:lang w:eastAsia="en-GB"/>
        </w:rPr>
        <w:t>C</w:t>
      </w:r>
      <w:r w:rsidRPr="00314BDF">
        <w:rPr>
          <w:rFonts w:eastAsia="Times New Roman" w:cs="Times New Roman"/>
          <w:i/>
          <w:iCs/>
          <w:szCs w:val="24"/>
          <w:lang w:eastAsia="en-GB"/>
        </w:rPr>
        <w:t>hange</w:t>
      </w:r>
      <w:r w:rsidRPr="00314BDF">
        <w:rPr>
          <w:rFonts w:eastAsia="Times New Roman" w:cs="Times New Roman"/>
          <w:szCs w:val="24"/>
          <w:lang w:eastAsia="en-GB"/>
        </w:rPr>
        <w:t xml:space="preserve">, </w:t>
      </w:r>
      <w:r w:rsidRPr="00314BDF">
        <w:rPr>
          <w:rFonts w:eastAsia="Times New Roman" w:cs="Times New Roman"/>
          <w:i/>
          <w:iCs/>
          <w:szCs w:val="24"/>
          <w:lang w:eastAsia="en-GB"/>
        </w:rPr>
        <w:t>18</w:t>
      </w:r>
      <w:r w:rsidRPr="00314BDF">
        <w:rPr>
          <w:rFonts w:eastAsia="Times New Roman" w:cs="Times New Roman"/>
          <w:szCs w:val="24"/>
          <w:lang w:eastAsia="en-GB"/>
        </w:rPr>
        <w:t>(1), 86-98.</w:t>
      </w:r>
    </w:p>
    <w:p w14:paraId="28AF9A24" w14:textId="77777777" w:rsidR="00DD6D1A" w:rsidRDefault="00D27874" w:rsidP="000D7C39">
      <w:pPr>
        <w:spacing w:after="0"/>
        <w:ind w:left="720" w:hanging="720"/>
        <w:rPr>
          <w:i/>
          <w:iCs/>
        </w:rPr>
      </w:pPr>
      <w:bookmarkStart w:id="466" w:name="_Hlk195385290"/>
      <w:bookmarkStart w:id="467" w:name="_Hlk165478433"/>
      <w:r>
        <w:t xml:space="preserve">Arnstein, S. (1969) A Ladder of Community Participation. </w:t>
      </w:r>
      <w:r w:rsidRPr="006A37D3">
        <w:rPr>
          <w:i/>
          <w:iCs/>
        </w:rPr>
        <w:t xml:space="preserve">Journal of the </w:t>
      </w:r>
    </w:p>
    <w:p w14:paraId="73B9205B" w14:textId="77777777" w:rsidR="00D27874" w:rsidRDefault="00D15027" w:rsidP="000D7C39">
      <w:pPr>
        <w:spacing w:after="0"/>
        <w:ind w:left="720" w:hanging="720"/>
      </w:pPr>
      <w:r>
        <w:rPr>
          <w:i/>
          <w:iCs/>
        </w:rPr>
        <w:tab/>
      </w:r>
      <w:r w:rsidR="00D27874" w:rsidRPr="006A37D3">
        <w:rPr>
          <w:i/>
          <w:iCs/>
        </w:rPr>
        <w:t>American Institute of Planners</w:t>
      </w:r>
      <w:r w:rsidR="00D27874">
        <w:t>, 35, 216-224.</w:t>
      </w:r>
    </w:p>
    <w:bookmarkEnd w:id="466"/>
    <w:p w14:paraId="02B6DF30" w14:textId="46CCC984" w:rsidR="00D553AB" w:rsidRPr="00D553AB" w:rsidRDefault="00D553AB" w:rsidP="000D7C39">
      <w:pPr>
        <w:spacing w:after="0"/>
        <w:ind w:left="720" w:hanging="720"/>
        <w:rPr>
          <w:rFonts w:eastAsia="Times New Roman" w:cs="Times New Roman"/>
          <w:szCs w:val="24"/>
          <w:lang w:eastAsia="en-GB"/>
        </w:rPr>
      </w:pPr>
      <w:r w:rsidRPr="00D553AB">
        <w:rPr>
          <w:rFonts w:eastAsia="Times New Roman" w:cs="Times New Roman"/>
          <w:szCs w:val="24"/>
          <w:lang w:eastAsia="en-GB"/>
        </w:rPr>
        <w:t xml:space="preserve">Aryal, J. P., Sapkota, T. B., Khurana, R., Khatri-Chhetri, A., </w:t>
      </w:r>
      <w:proofErr w:type="spellStart"/>
      <w:r w:rsidRPr="00D553AB">
        <w:rPr>
          <w:rFonts w:eastAsia="Times New Roman" w:cs="Times New Roman"/>
          <w:szCs w:val="24"/>
          <w:lang w:eastAsia="en-GB"/>
        </w:rPr>
        <w:t>Rahut</w:t>
      </w:r>
      <w:proofErr w:type="spellEnd"/>
      <w:r w:rsidRPr="00D553AB">
        <w:rPr>
          <w:rFonts w:eastAsia="Times New Roman" w:cs="Times New Roman"/>
          <w:szCs w:val="24"/>
          <w:lang w:eastAsia="en-GB"/>
        </w:rPr>
        <w:t xml:space="preserve">, D. B., &amp; Jat, M. L. (2020). Climate change and agriculture in South Asia: Adaptation options in smallholder production systems. </w:t>
      </w:r>
      <w:r w:rsidRPr="00D553AB">
        <w:rPr>
          <w:rFonts w:eastAsia="Times New Roman" w:cs="Times New Roman"/>
          <w:i/>
          <w:iCs/>
          <w:szCs w:val="24"/>
          <w:lang w:eastAsia="en-GB"/>
        </w:rPr>
        <w:t>Environment, Development and Sustainability</w:t>
      </w:r>
      <w:r w:rsidRPr="00D553AB">
        <w:rPr>
          <w:rFonts w:eastAsia="Times New Roman" w:cs="Times New Roman"/>
          <w:szCs w:val="24"/>
          <w:lang w:eastAsia="en-GB"/>
        </w:rPr>
        <w:t xml:space="preserve">, </w:t>
      </w:r>
      <w:r w:rsidRPr="00D553AB">
        <w:rPr>
          <w:rFonts w:eastAsia="Times New Roman" w:cs="Times New Roman"/>
          <w:i/>
          <w:iCs/>
          <w:szCs w:val="24"/>
          <w:lang w:eastAsia="en-GB"/>
        </w:rPr>
        <w:t>22</w:t>
      </w:r>
      <w:r w:rsidRPr="00D553AB">
        <w:rPr>
          <w:rFonts w:eastAsia="Times New Roman" w:cs="Times New Roman"/>
          <w:szCs w:val="24"/>
          <w:lang w:eastAsia="en-GB"/>
        </w:rPr>
        <w:t>(6), 5045-5075.</w:t>
      </w:r>
    </w:p>
    <w:p w14:paraId="201B35A0" w14:textId="77777777" w:rsidR="00D27874" w:rsidRDefault="00D27874" w:rsidP="000D7C39">
      <w:pPr>
        <w:spacing w:after="0"/>
        <w:ind w:left="720" w:hanging="720"/>
      </w:pPr>
      <w:bookmarkStart w:id="468" w:name="_Hlk166104256"/>
      <w:bookmarkEnd w:id="467"/>
      <w:r>
        <w:t>Asante, E. A., Ababio, S. &amp; Boadu, K.B. (2017). The use of indigenous cultural practices by</w:t>
      </w:r>
      <w:r w:rsidR="00DD6D1A">
        <w:t xml:space="preserve"> </w:t>
      </w:r>
      <w:r>
        <w:t xml:space="preserve">the Ashantis for the conservation of forests in Ghana. </w:t>
      </w:r>
      <w:r w:rsidRPr="009B7B51">
        <w:rPr>
          <w:i/>
          <w:iCs/>
        </w:rPr>
        <w:t>SAGE Open</w:t>
      </w:r>
      <w:r>
        <w:t>, 7(1)</w:t>
      </w:r>
      <w:r w:rsidR="009B7B51">
        <w:t>,</w:t>
      </w:r>
      <w:r>
        <w:t xml:space="preserve"> 215824401668761</w:t>
      </w:r>
      <w:r w:rsidR="009B7B51">
        <w:t>.</w:t>
      </w:r>
    </w:p>
    <w:bookmarkEnd w:id="468"/>
    <w:p w14:paraId="4EE50AA0" w14:textId="77777777" w:rsidR="00D27874" w:rsidRPr="006316EB" w:rsidRDefault="00D27874" w:rsidP="000D7C39">
      <w:pPr>
        <w:spacing w:after="0"/>
        <w:ind w:left="720" w:hanging="720"/>
        <w:rPr>
          <w:rFonts w:cs="Times New Roman"/>
          <w:i/>
          <w:iCs/>
          <w:szCs w:val="24"/>
        </w:rPr>
      </w:pPr>
      <w:r w:rsidRPr="007A038A">
        <w:rPr>
          <w:rFonts w:cs="Times New Roman"/>
          <w:szCs w:val="24"/>
        </w:rPr>
        <w:t>Awang, S.</w:t>
      </w:r>
      <w:r>
        <w:rPr>
          <w:rFonts w:cs="Times New Roman"/>
          <w:szCs w:val="24"/>
        </w:rPr>
        <w:t xml:space="preserve"> </w:t>
      </w:r>
      <w:r w:rsidRPr="007A038A">
        <w:rPr>
          <w:rFonts w:cs="Times New Roman"/>
          <w:szCs w:val="24"/>
        </w:rPr>
        <w:t xml:space="preserve">A. </w:t>
      </w:r>
      <w:r>
        <w:rPr>
          <w:rFonts w:cs="Times New Roman"/>
          <w:szCs w:val="24"/>
        </w:rPr>
        <w:t>(</w:t>
      </w:r>
      <w:r w:rsidRPr="007A038A">
        <w:rPr>
          <w:rFonts w:cs="Times New Roman"/>
          <w:szCs w:val="24"/>
        </w:rPr>
        <w:t>2006</w:t>
      </w:r>
      <w:r>
        <w:rPr>
          <w:rFonts w:cs="Times New Roman"/>
          <w:szCs w:val="24"/>
        </w:rPr>
        <w:t>)</w:t>
      </w:r>
      <w:r w:rsidRPr="007A038A">
        <w:rPr>
          <w:rFonts w:cs="Times New Roman"/>
          <w:szCs w:val="24"/>
        </w:rPr>
        <w:t xml:space="preserve">. </w:t>
      </w:r>
      <w:r w:rsidRPr="00DD6D1A">
        <w:rPr>
          <w:rFonts w:cs="Times New Roman"/>
          <w:i/>
          <w:iCs/>
          <w:szCs w:val="24"/>
        </w:rPr>
        <w:t xml:space="preserve">Sosiologi </w:t>
      </w:r>
      <w:proofErr w:type="spellStart"/>
      <w:r w:rsidRPr="00DD6D1A">
        <w:rPr>
          <w:rFonts w:cs="Times New Roman"/>
          <w:i/>
          <w:iCs/>
          <w:szCs w:val="24"/>
        </w:rPr>
        <w:t>pengetahuan</w:t>
      </w:r>
      <w:proofErr w:type="spellEnd"/>
      <w:r w:rsidRPr="00DD6D1A">
        <w:rPr>
          <w:rFonts w:cs="Times New Roman"/>
          <w:i/>
          <w:iCs/>
          <w:szCs w:val="24"/>
        </w:rPr>
        <w:t xml:space="preserve"> </w:t>
      </w:r>
      <w:proofErr w:type="spellStart"/>
      <w:r w:rsidRPr="00DD6D1A">
        <w:rPr>
          <w:rFonts w:cs="Times New Roman"/>
          <w:i/>
          <w:iCs/>
          <w:szCs w:val="24"/>
        </w:rPr>
        <w:t>deforestasi</w:t>
      </w:r>
      <w:proofErr w:type="spellEnd"/>
      <w:r w:rsidRPr="00DD6D1A">
        <w:rPr>
          <w:rFonts w:cs="Times New Roman"/>
          <w:i/>
          <w:iCs/>
          <w:szCs w:val="24"/>
        </w:rPr>
        <w:t xml:space="preserve">: </w:t>
      </w:r>
      <w:proofErr w:type="spellStart"/>
      <w:r w:rsidRPr="00DD6D1A">
        <w:rPr>
          <w:rFonts w:cs="Times New Roman"/>
          <w:i/>
          <w:iCs/>
          <w:szCs w:val="24"/>
        </w:rPr>
        <w:t>konstruksi</w:t>
      </w:r>
      <w:proofErr w:type="spellEnd"/>
      <w:r w:rsidRPr="00DD6D1A">
        <w:rPr>
          <w:rFonts w:cs="Times New Roman"/>
          <w:i/>
          <w:iCs/>
          <w:szCs w:val="24"/>
        </w:rPr>
        <w:t xml:space="preserve"> </w:t>
      </w:r>
      <w:proofErr w:type="spellStart"/>
      <w:r w:rsidRPr="00DD6D1A">
        <w:rPr>
          <w:rFonts w:cs="Times New Roman"/>
          <w:i/>
          <w:iCs/>
          <w:szCs w:val="24"/>
        </w:rPr>
        <w:t>sosial</w:t>
      </w:r>
      <w:proofErr w:type="spellEnd"/>
      <w:r w:rsidRPr="00DD6D1A">
        <w:rPr>
          <w:rFonts w:cs="Times New Roman"/>
          <w:i/>
          <w:iCs/>
          <w:szCs w:val="24"/>
        </w:rPr>
        <w:t xml:space="preserve"> dan </w:t>
      </w:r>
      <w:proofErr w:type="spellStart"/>
      <w:r w:rsidRPr="00DD6D1A">
        <w:rPr>
          <w:rFonts w:cs="Times New Roman"/>
          <w:i/>
          <w:iCs/>
          <w:szCs w:val="24"/>
        </w:rPr>
        <w:t>perlawanan</w:t>
      </w:r>
      <w:proofErr w:type="spellEnd"/>
      <w:r w:rsidRPr="009B7B51">
        <w:rPr>
          <w:rFonts w:cs="Times New Roman"/>
          <w:szCs w:val="24"/>
        </w:rPr>
        <w:t xml:space="preserve">. </w:t>
      </w:r>
      <w:proofErr w:type="spellStart"/>
      <w:r w:rsidRPr="009B7B51">
        <w:rPr>
          <w:rFonts w:cs="Times New Roman"/>
          <w:szCs w:val="24"/>
        </w:rPr>
        <w:t>Yogyakata</w:t>
      </w:r>
      <w:proofErr w:type="spellEnd"/>
      <w:r w:rsidRPr="007A038A">
        <w:rPr>
          <w:rFonts w:cs="Times New Roman"/>
          <w:szCs w:val="24"/>
        </w:rPr>
        <w:t>: Debut Press.</w:t>
      </w:r>
    </w:p>
    <w:p w14:paraId="43D56B40" w14:textId="77777777" w:rsidR="009B7B51" w:rsidRPr="00D15027" w:rsidRDefault="00D27874" w:rsidP="000D7C39">
      <w:pPr>
        <w:spacing w:after="0"/>
        <w:ind w:left="720" w:hanging="720"/>
        <w:rPr>
          <w:rFonts w:eastAsia="Times New Roman" w:cs="Times New Roman"/>
          <w:szCs w:val="24"/>
          <w:lang w:eastAsia="en-GB"/>
        </w:rPr>
      </w:pPr>
      <w:r w:rsidRPr="006750C0">
        <w:rPr>
          <w:rFonts w:eastAsia="Times New Roman" w:cs="Times New Roman"/>
          <w:szCs w:val="24"/>
          <w:lang w:eastAsia="en-GB"/>
        </w:rPr>
        <w:t xml:space="preserve">Babbie, E. (2011). </w:t>
      </w:r>
      <w:r w:rsidRPr="009B7B51">
        <w:rPr>
          <w:rFonts w:eastAsia="Times New Roman" w:cs="Times New Roman"/>
          <w:i/>
          <w:iCs/>
          <w:szCs w:val="24"/>
          <w:lang w:eastAsia="en-GB"/>
        </w:rPr>
        <w:t>The practice of social research</w:t>
      </w:r>
      <w:r w:rsidRPr="006750C0">
        <w:rPr>
          <w:rFonts w:eastAsia="Times New Roman" w:cs="Times New Roman"/>
          <w:szCs w:val="24"/>
          <w:lang w:eastAsia="en-GB"/>
        </w:rPr>
        <w:t xml:space="preserve"> (12</w:t>
      </w:r>
      <w:r w:rsidR="009B7B51" w:rsidRPr="009B7B51">
        <w:rPr>
          <w:rFonts w:eastAsia="Times New Roman" w:cs="Times New Roman"/>
          <w:szCs w:val="24"/>
          <w:vertAlign w:val="superscript"/>
          <w:lang w:eastAsia="en-GB"/>
        </w:rPr>
        <w:t>th</w:t>
      </w:r>
      <w:r w:rsidR="009B7B51">
        <w:rPr>
          <w:rFonts w:eastAsia="Times New Roman" w:cs="Times New Roman"/>
          <w:szCs w:val="24"/>
          <w:lang w:eastAsia="en-GB"/>
        </w:rPr>
        <w:t xml:space="preserve"> </w:t>
      </w:r>
      <w:r w:rsidRPr="006750C0">
        <w:rPr>
          <w:rFonts w:eastAsia="Times New Roman" w:cs="Times New Roman"/>
          <w:szCs w:val="24"/>
          <w:lang w:eastAsia="en-GB"/>
        </w:rPr>
        <w:t>ed.). Wadsworth.</w:t>
      </w:r>
      <w:r>
        <w:rPr>
          <w:rFonts w:eastAsia="Times New Roman" w:cs="Times New Roman"/>
          <w:szCs w:val="24"/>
          <w:lang w:eastAsia="en-GB"/>
        </w:rPr>
        <w:t xml:space="preserve"> </w:t>
      </w:r>
      <w:proofErr w:type="spellStart"/>
      <w:r w:rsidR="009B7B51" w:rsidRPr="009B7B51">
        <w:rPr>
          <w:lang w:eastAsia="en-GB"/>
        </w:rPr>
        <w:t>Baddianaah</w:t>
      </w:r>
      <w:proofErr w:type="spellEnd"/>
      <w:r w:rsidR="009B7B51" w:rsidRPr="009B7B51">
        <w:rPr>
          <w:lang w:eastAsia="en-GB"/>
        </w:rPr>
        <w:t xml:space="preserve">, I., &amp; </w:t>
      </w:r>
      <w:proofErr w:type="spellStart"/>
      <w:r w:rsidR="009B7B51" w:rsidRPr="009B7B51">
        <w:rPr>
          <w:lang w:eastAsia="en-GB"/>
        </w:rPr>
        <w:t>Baaweh</w:t>
      </w:r>
      <w:proofErr w:type="spellEnd"/>
      <w:r w:rsidR="009B7B51" w:rsidRPr="009B7B51">
        <w:rPr>
          <w:lang w:eastAsia="en-GB"/>
        </w:rPr>
        <w:t xml:space="preserve">, L. (2021). The prospects of community-based natural resource management in Ghana: A case study of </w:t>
      </w:r>
      <w:proofErr w:type="spellStart"/>
      <w:r w:rsidR="009B7B51" w:rsidRPr="009B7B51">
        <w:rPr>
          <w:lang w:eastAsia="en-GB"/>
        </w:rPr>
        <w:t>Zukpiri</w:t>
      </w:r>
      <w:proofErr w:type="spellEnd"/>
      <w:r w:rsidR="009B7B51" w:rsidRPr="009B7B51">
        <w:rPr>
          <w:lang w:eastAsia="en-GB"/>
        </w:rPr>
        <w:t xml:space="preserve"> </w:t>
      </w:r>
      <w:r w:rsidR="009B7B51" w:rsidRPr="009B7B51">
        <w:rPr>
          <w:lang w:eastAsia="en-GB"/>
        </w:rPr>
        <w:lastRenderedPageBreak/>
        <w:t xml:space="preserve">community resource management area. </w:t>
      </w:r>
      <w:proofErr w:type="spellStart"/>
      <w:r w:rsidR="009B7B51" w:rsidRPr="009B7B51">
        <w:rPr>
          <w:i/>
          <w:iCs/>
          <w:lang w:eastAsia="en-GB"/>
        </w:rPr>
        <w:t>Heliyon</w:t>
      </w:r>
      <w:proofErr w:type="spellEnd"/>
      <w:r w:rsidR="009B7B51" w:rsidRPr="009B7B51">
        <w:rPr>
          <w:lang w:eastAsia="en-GB"/>
        </w:rPr>
        <w:t xml:space="preserve">, </w:t>
      </w:r>
      <w:r w:rsidR="009B7B51" w:rsidRPr="009B7B51">
        <w:rPr>
          <w:i/>
          <w:iCs/>
          <w:lang w:eastAsia="en-GB"/>
        </w:rPr>
        <w:t>7</w:t>
      </w:r>
      <w:r w:rsidR="009B7B51" w:rsidRPr="009B7B51">
        <w:rPr>
          <w:lang w:eastAsia="en-GB"/>
        </w:rPr>
        <w:t xml:space="preserve">(10), e08187. </w:t>
      </w:r>
      <w:hyperlink r:id="rId38" w:history="1">
        <w:r w:rsidR="00D15027" w:rsidRPr="00817D0B">
          <w:rPr>
            <w:rStyle w:val="Hyperlink"/>
            <w:lang w:eastAsia="en-GB"/>
          </w:rPr>
          <w:t>https://doi.org/</w:t>
        </w:r>
      </w:hyperlink>
      <w:r w:rsidR="00D15027">
        <w:rPr>
          <w:lang w:eastAsia="en-GB"/>
        </w:rPr>
        <w:t xml:space="preserve"> </w:t>
      </w:r>
      <w:r w:rsidR="009B7B51" w:rsidRPr="009B7B51">
        <w:rPr>
          <w:lang w:eastAsia="en-GB"/>
        </w:rPr>
        <w:t>10.1016/j.</w:t>
      </w:r>
      <w:r w:rsidR="00D15027">
        <w:rPr>
          <w:lang w:eastAsia="en-GB"/>
        </w:rPr>
        <w:t xml:space="preserve"> </w:t>
      </w:r>
      <w:proofErr w:type="gramStart"/>
      <w:r w:rsidR="009B7B51" w:rsidRPr="009B7B51">
        <w:rPr>
          <w:lang w:eastAsia="en-GB"/>
        </w:rPr>
        <w:t>heliyon.2021.e</w:t>
      </w:r>
      <w:proofErr w:type="gramEnd"/>
      <w:r w:rsidR="009B7B51" w:rsidRPr="009B7B51">
        <w:rPr>
          <w:lang w:eastAsia="en-GB"/>
        </w:rPr>
        <w:t>08187</w:t>
      </w:r>
    </w:p>
    <w:p w14:paraId="6D8048E5" w14:textId="77777777" w:rsidR="00D27874" w:rsidRDefault="00D27874" w:rsidP="000D7C39">
      <w:pPr>
        <w:pStyle w:val="BodyText"/>
        <w:spacing w:after="0"/>
        <w:ind w:left="720" w:hanging="720"/>
        <w:rPr>
          <w:rFonts w:cs="Times New Roman"/>
          <w:szCs w:val="24"/>
        </w:rPr>
      </w:pPr>
      <w:bookmarkStart w:id="469" w:name="_Hlk165478470"/>
      <w:bookmarkStart w:id="470" w:name="_Hlk195385558"/>
      <w:r w:rsidRPr="00B65A26">
        <w:rPr>
          <w:rFonts w:cs="Times New Roman"/>
          <w:szCs w:val="24"/>
        </w:rPr>
        <w:t>Baffour-Ata, F</w:t>
      </w:r>
      <w:r>
        <w:rPr>
          <w:rFonts w:cs="Times New Roman"/>
          <w:szCs w:val="24"/>
        </w:rPr>
        <w:t xml:space="preserve">., &amp; </w:t>
      </w:r>
      <w:r w:rsidRPr="00B65A26">
        <w:rPr>
          <w:rFonts w:cs="Times New Roman"/>
          <w:szCs w:val="24"/>
        </w:rPr>
        <w:t>Antwi-Agyei, P. N</w:t>
      </w:r>
      <w:r>
        <w:rPr>
          <w:rFonts w:cs="Times New Roman"/>
          <w:szCs w:val="24"/>
        </w:rPr>
        <w:t>. (2021).</w:t>
      </w:r>
      <w:r w:rsidRPr="00B65A26">
        <w:rPr>
          <w:rFonts w:cs="Times New Roman"/>
          <w:szCs w:val="24"/>
        </w:rPr>
        <w:t xml:space="preserve"> </w:t>
      </w:r>
      <w:r w:rsidRPr="009B7B51">
        <w:rPr>
          <w:rFonts w:cs="Times New Roman"/>
          <w:szCs w:val="24"/>
        </w:rPr>
        <w:t>Climate Variability, Land Cover Changes and Livelihoods of Communities on the Fringes of Bobiri Forest Reserve, Ghana</w:t>
      </w:r>
      <w:r w:rsidRPr="001547B4">
        <w:rPr>
          <w:rFonts w:cs="Times New Roman"/>
          <w:i/>
          <w:iCs/>
          <w:szCs w:val="24"/>
        </w:rPr>
        <w:t>. Forests</w:t>
      </w:r>
      <w:r w:rsidR="009B7B51">
        <w:rPr>
          <w:rFonts w:cs="Times New Roman"/>
          <w:i/>
          <w:iCs/>
          <w:szCs w:val="24"/>
        </w:rPr>
        <w:t>,</w:t>
      </w:r>
      <w:r w:rsidRPr="00B65A26">
        <w:rPr>
          <w:rFonts w:cs="Times New Roman"/>
          <w:szCs w:val="24"/>
        </w:rPr>
        <w:t xml:space="preserve"> 12, 278.</w:t>
      </w:r>
    </w:p>
    <w:p w14:paraId="6D796071" w14:textId="77777777" w:rsidR="00AF6C98" w:rsidRDefault="00D27874" w:rsidP="000D7C39">
      <w:pPr>
        <w:spacing w:after="0"/>
        <w:ind w:left="720" w:hanging="720"/>
      </w:pPr>
      <w:bookmarkStart w:id="471" w:name="_Hlk166104329"/>
      <w:bookmarkEnd w:id="469"/>
      <w:r>
        <w:t xml:space="preserve">Baker, D. M., Murray, G., Agyare, A. K. (2018). Governance and the making </w:t>
      </w:r>
    </w:p>
    <w:p w14:paraId="6475B494" w14:textId="77777777" w:rsidR="00D27874" w:rsidRDefault="00D15027" w:rsidP="000D7C39">
      <w:pPr>
        <w:spacing w:after="0"/>
        <w:ind w:left="720" w:hanging="720"/>
      </w:pPr>
      <w:r>
        <w:tab/>
      </w:r>
      <w:r w:rsidR="00D27874">
        <w:t xml:space="preserve">and breaking of social-ecological traps. </w:t>
      </w:r>
      <w:r w:rsidR="00D27874" w:rsidRPr="00D046BA">
        <w:rPr>
          <w:i/>
          <w:iCs/>
        </w:rPr>
        <w:t>Ecol. Soc.</w:t>
      </w:r>
      <w:r w:rsidR="009B7B51">
        <w:rPr>
          <w:i/>
          <w:iCs/>
        </w:rPr>
        <w:t>,</w:t>
      </w:r>
      <w:r w:rsidR="00D27874">
        <w:t xml:space="preserve"> 23 (1), 38.</w:t>
      </w:r>
    </w:p>
    <w:bookmarkEnd w:id="470"/>
    <w:bookmarkEnd w:id="471"/>
    <w:p w14:paraId="6366327A" w14:textId="32189914" w:rsidR="00DD0592" w:rsidRPr="00D1664B" w:rsidRDefault="00DD0592" w:rsidP="000D7C39">
      <w:pPr>
        <w:spacing w:after="0"/>
        <w:ind w:left="720" w:hanging="720"/>
        <w:rPr>
          <w:i/>
          <w:iCs/>
        </w:rPr>
      </w:pPr>
      <w:proofErr w:type="spellStart"/>
      <w:r>
        <w:t>Bandoh</w:t>
      </w:r>
      <w:proofErr w:type="spellEnd"/>
      <w:r>
        <w:t xml:space="preserve">, G.A.A., 2010. </w:t>
      </w:r>
      <w:r w:rsidRPr="00E72EBE">
        <w:rPr>
          <w:i/>
          <w:iCs/>
        </w:rPr>
        <w:t xml:space="preserve">Conservation and Natural Resource Management in the </w:t>
      </w:r>
      <w:proofErr w:type="spellStart"/>
      <w:r w:rsidRPr="00E72EBE">
        <w:rPr>
          <w:i/>
          <w:iCs/>
        </w:rPr>
        <w:t>Ankasa</w:t>
      </w:r>
      <w:proofErr w:type="spellEnd"/>
      <w:r w:rsidRPr="00E72EBE">
        <w:rPr>
          <w:i/>
          <w:iCs/>
        </w:rPr>
        <w:t xml:space="preserve"> Resource Reserve, Ghana</w:t>
      </w:r>
      <w:r>
        <w:t xml:space="preserve">. PhD Thesis. University of Waterloo, Ontario. Canada </w:t>
      </w:r>
    </w:p>
    <w:p w14:paraId="0D1EF194" w14:textId="77777777" w:rsidR="00AF6C98" w:rsidRDefault="00D27874" w:rsidP="000D7C39">
      <w:pPr>
        <w:spacing w:after="0"/>
        <w:ind w:left="720" w:hanging="720"/>
        <w:rPr>
          <w:rFonts w:eastAsia="Times New Roman" w:cs="Times New Roman"/>
          <w:szCs w:val="24"/>
          <w:lang w:eastAsia="en-GB"/>
        </w:rPr>
      </w:pPr>
      <w:bookmarkStart w:id="472" w:name="_Hlk165492782"/>
      <w:r w:rsidRPr="0040086E">
        <w:rPr>
          <w:rFonts w:eastAsia="Times New Roman" w:cs="Times New Roman"/>
          <w:szCs w:val="24"/>
          <w:lang w:eastAsia="en-GB"/>
        </w:rPr>
        <w:t xml:space="preserve">Barnaud, C., Bousquet, F., </w:t>
      </w:r>
      <w:r>
        <w:rPr>
          <w:rFonts w:eastAsia="Times New Roman" w:cs="Times New Roman"/>
          <w:szCs w:val="24"/>
          <w:lang w:eastAsia="en-GB"/>
        </w:rPr>
        <w:t xml:space="preserve">&amp; </w:t>
      </w:r>
      <w:proofErr w:type="spellStart"/>
      <w:r w:rsidRPr="0040086E">
        <w:rPr>
          <w:rFonts w:eastAsia="Times New Roman" w:cs="Times New Roman"/>
          <w:szCs w:val="24"/>
          <w:lang w:eastAsia="en-GB"/>
        </w:rPr>
        <w:t>Trebuil</w:t>
      </w:r>
      <w:proofErr w:type="spellEnd"/>
      <w:r w:rsidRPr="0040086E">
        <w:rPr>
          <w:rFonts w:eastAsia="Times New Roman" w:cs="Times New Roman"/>
          <w:szCs w:val="24"/>
          <w:lang w:eastAsia="en-GB"/>
        </w:rPr>
        <w:t>, G.</w:t>
      </w:r>
      <w:r>
        <w:rPr>
          <w:rFonts w:eastAsia="Times New Roman" w:cs="Times New Roman"/>
          <w:szCs w:val="24"/>
          <w:lang w:eastAsia="en-GB"/>
        </w:rPr>
        <w:t xml:space="preserve"> (</w:t>
      </w:r>
      <w:r w:rsidRPr="0040086E">
        <w:rPr>
          <w:rFonts w:eastAsia="Times New Roman" w:cs="Times New Roman"/>
          <w:szCs w:val="24"/>
          <w:lang w:eastAsia="en-GB"/>
        </w:rPr>
        <w:t>2008</w:t>
      </w:r>
      <w:r>
        <w:rPr>
          <w:rFonts w:eastAsia="Times New Roman" w:cs="Times New Roman"/>
          <w:szCs w:val="24"/>
          <w:lang w:eastAsia="en-GB"/>
        </w:rPr>
        <w:t>)</w:t>
      </w:r>
      <w:r w:rsidRPr="0040086E">
        <w:rPr>
          <w:rFonts w:eastAsia="Times New Roman" w:cs="Times New Roman"/>
          <w:szCs w:val="24"/>
          <w:lang w:eastAsia="en-GB"/>
        </w:rPr>
        <w:t xml:space="preserve">. Multi-agent simulations to </w:t>
      </w:r>
    </w:p>
    <w:p w14:paraId="77267A9A" w14:textId="77777777" w:rsidR="00D27874" w:rsidRDefault="00D15027"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40086E">
        <w:rPr>
          <w:rFonts w:eastAsia="Times New Roman" w:cs="Times New Roman"/>
          <w:szCs w:val="24"/>
          <w:lang w:eastAsia="en-GB"/>
        </w:rPr>
        <w:t>explore rules</w:t>
      </w:r>
      <w:r w:rsidR="00D27874">
        <w:rPr>
          <w:rFonts w:eastAsia="Times New Roman" w:cs="Times New Roman"/>
          <w:szCs w:val="24"/>
          <w:lang w:eastAsia="en-GB"/>
        </w:rPr>
        <w:t xml:space="preserve"> </w:t>
      </w:r>
      <w:r w:rsidR="00D27874" w:rsidRPr="0040086E">
        <w:rPr>
          <w:rFonts w:eastAsia="Times New Roman" w:cs="Times New Roman"/>
          <w:szCs w:val="24"/>
          <w:lang w:eastAsia="en-GB"/>
        </w:rPr>
        <w:t xml:space="preserve">for rural credit in a highland farming community of Northern Thailand. </w:t>
      </w:r>
      <w:r w:rsidR="00D27874" w:rsidRPr="00AD4F30">
        <w:rPr>
          <w:rFonts w:eastAsia="Times New Roman" w:cs="Times New Roman"/>
          <w:i/>
          <w:iCs/>
          <w:szCs w:val="24"/>
          <w:lang w:eastAsia="en-GB"/>
        </w:rPr>
        <w:t>Ecol.</w:t>
      </w:r>
      <w:r w:rsidR="00D27874">
        <w:rPr>
          <w:rFonts w:eastAsia="Times New Roman" w:cs="Times New Roman"/>
          <w:i/>
          <w:iCs/>
          <w:szCs w:val="24"/>
          <w:lang w:eastAsia="en-GB"/>
        </w:rPr>
        <w:t xml:space="preserve"> </w:t>
      </w:r>
      <w:r w:rsidR="00D27874" w:rsidRPr="00AD4F30">
        <w:rPr>
          <w:rFonts w:eastAsia="Times New Roman" w:cs="Times New Roman"/>
          <w:i/>
          <w:iCs/>
          <w:szCs w:val="24"/>
          <w:lang w:eastAsia="en-GB"/>
        </w:rPr>
        <w:t>Econ</w:t>
      </w:r>
      <w:r w:rsidR="00D27874" w:rsidRPr="0040086E">
        <w:rPr>
          <w:rFonts w:eastAsia="Times New Roman" w:cs="Times New Roman"/>
          <w:szCs w:val="24"/>
          <w:lang w:eastAsia="en-GB"/>
        </w:rPr>
        <w:t>.</w:t>
      </w:r>
      <w:r w:rsidR="009B7B51">
        <w:rPr>
          <w:rFonts w:eastAsia="Times New Roman" w:cs="Times New Roman"/>
          <w:szCs w:val="24"/>
          <w:lang w:eastAsia="en-GB"/>
        </w:rPr>
        <w:t>,</w:t>
      </w:r>
      <w:r w:rsidR="00D27874" w:rsidRPr="0040086E">
        <w:rPr>
          <w:rFonts w:eastAsia="Times New Roman" w:cs="Times New Roman"/>
          <w:szCs w:val="24"/>
          <w:lang w:eastAsia="en-GB"/>
        </w:rPr>
        <w:t xml:space="preserve"> 66, 615–627.</w:t>
      </w:r>
    </w:p>
    <w:bookmarkEnd w:id="472"/>
    <w:p w14:paraId="155A6424" w14:textId="77777777" w:rsidR="00C37C7C" w:rsidRPr="00CF7673" w:rsidRDefault="00C37C7C" w:rsidP="000D7C39">
      <w:pPr>
        <w:spacing w:after="0"/>
        <w:ind w:left="720" w:hanging="720"/>
        <w:rPr>
          <w:rFonts w:cs="Times New Roman"/>
          <w:szCs w:val="24"/>
        </w:rPr>
      </w:pPr>
      <w:r w:rsidRPr="00CF7673">
        <w:rPr>
          <w:rFonts w:cs="Times New Roman"/>
          <w:szCs w:val="24"/>
        </w:rPr>
        <w:t xml:space="preserve">Bass, S. (2001). Policy inflation, capacity constraints: can criteria and indicators bridge the gap? In: Criteria and Indicators of Sustainable Forest Management, R.J. Raison; A.G. </w:t>
      </w:r>
    </w:p>
    <w:p w14:paraId="47C07B17" w14:textId="77777777" w:rsidR="00F82B12" w:rsidRPr="00D15027" w:rsidRDefault="00F82B12" w:rsidP="000D7C39">
      <w:pPr>
        <w:pStyle w:val="NormalWeb"/>
        <w:spacing w:before="0" w:beforeAutospacing="0" w:after="0" w:afterAutospacing="0" w:line="480" w:lineRule="auto"/>
        <w:ind w:left="720" w:hanging="720"/>
        <w:jc w:val="both"/>
        <w:rPr>
          <w:i/>
          <w:iCs/>
        </w:rPr>
      </w:pPr>
      <w:proofErr w:type="spellStart"/>
      <w:r>
        <w:t>Batliwala</w:t>
      </w:r>
      <w:proofErr w:type="spellEnd"/>
      <w:r>
        <w:t xml:space="preserve">, S &amp; Brown, David L. (2006) </w:t>
      </w:r>
      <w:r w:rsidRPr="00A74384">
        <w:rPr>
          <w:i/>
          <w:iCs/>
        </w:rPr>
        <w:t>Transnational Civil Society: An Introduction (eds)</w:t>
      </w:r>
      <w:r>
        <w:t xml:space="preserve">. Bloomfield: </w:t>
      </w:r>
      <w:proofErr w:type="spellStart"/>
      <w:r>
        <w:t>Kumarian</w:t>
      </w:r>
      <w:proofErr w:type="spellEnd"/>
      <w:r>
        <w:t xml:space="preserve"> Press.</w:t>
      </w:r>
    </w:p>
    <w:p w14:paraId="6D00E43A" w14:textId="77777777" w:rsidR="001E72B7" w:rsidRPr="00F21AB0" w:rsidRDefault="001E72B7" w:rsidP="001E72B7">
      <w:pPr>
        <w:spacing w:after="0"/>
        <w:ind w:left="720" w:hanging="720"/>
        <w:rPr>
          <w:rFonts w:eastAsia="Times New Roman" w:cs="Times New Roman"/>
        </w:rPr>
      </w:pPr>
      <w:bookmarkStart w:id="473" w:name="_Hlk195385662"/>
      <w:proofErr w:type="spellStart"/>
      <w:r w:rsidRPr="00F21AB0">
        <w:rPr>
          <w:rFonts w:eastAsia="Times New Roman" w:cs="Times New Roman"/>
        </w:rPr>
        <w:t>Berebon</w:t>
      </w:r>
      <w:proofErr w:type="spellEnd"/>
      <w:r w:rsidRPr="00F21AB0">
        <w:rPr>
          <w:rFonts w:eastAsia="Times New Roman" w:cs="Times New Roman"/>
        </w:rPr>
        <w:t xml:space="preserve">, K. B., &amp; </w:t>
      </w:r>
      <w:proofErr w:type="spellStart"/>
      <w:r w:rsidRPr="00F21AB0">
        <w:rPr>
          <w:rFonts w:eastAsia="Times New Roman" w:cs="Times New Roman"/>
        </w:rPr>
        <w:t>Sorbarikor</w:t>
      </w:r>
      <w:proofErr w:type="spellEnd"/>
      <w:r w:rsidRPr="00F21AB0">
        <w:rPr>
          <w:rFonts w:eastAsia="Times New Roman" w:cs="Times New Roman"/>
        </w:rPr>
        <w:t>, L. (2020). Stakeholder engagement and organi</w:t>
      </w:r>
      <w:r>
        <w:rPr>
          <w:rFonts w:eastAsia="Times New Roman" w:cs="Times New Roman"/>
        </w:rPr>
        <w:t>s</w:t>
      </w:r>
      <w:r w:rsidRPr="00F21AB0">
        <w:rPr>
          <w:rFonts w:eastAsia="Times New Roman" w:cs="Times New Roman"/>
        </w:rPr>
        <w:t xml:space="preserve">ational decision making of indigenous oil servicing companies in rivers state, Nigeria. </w:t>
      </w:r>
      <w:r w:rsidRPr="00F21AB0">
        <w:rPr>
          <w:rFonts w:eastAsia="Times New Roman" w:cs="Times New Roman"/>
          <w:i/>
          <w:iCs/>
        </w:rPr>
        <w:t>The Strategic Journal of Business &amp; Change Management</w:t>
      </w:r>
      <w:r w:rsidRPr="00F21AB0">
        <w:rPr>
          <w:rFonts w:eastAsia="Times New Roman" w:cs="Times New Roman"/>
        </w:rPr>
        <w:t xml:space="preserve">, </w:t>
      </w:r>
      <w:r w:rsidRPr="00F21AB0">
        <w:rPr>
          <w:rFonts w:eastAsia="Times New Roman" w:cs="Times New Roman"/>
          <w:i/>
          <w:iCs/>
        </w:rPr>
        <w:t>7</w:t>
      </w:r>
      <w:r w:rsidRPr="00F21AB0">
        <w:rPr>
          <w:rFonts w:eastAsia="Times New Roman" w:cs="Times New Roman"/>
        </w:rPr>
        <w:t>(1), 469-482.</w:t>
      </w:r>
    </w:p>
    <w:p w14:paraId="7DEFA103" w14:textId="77777777" w:rsidR="001E72B7" w:rsidRDefault="001E72B7" w:rsidP="000D7C39">
      <w:pPr>
        <w:spacing w:after="0"/>
        <w:ind w:left="720" w:hanging="720"/>
        <w:rPr>
          <w:rFonts w:eastAsia="Times New Roman" w:cs="Times New Roman"/>
          <w:szCs w:val="24"/>
          <w:lang w:eastAsia="en-GB"/>
        </w:rPr>
      </w:pPr>
    </w:p>
    <w:p w14:paraId="74B57392" w14:textId="6A028686" w:rsidR="00D1664B" w:rsidRDefault="00D27874" w:rsidP="000D7C39">
      <w:pPr>
        <w:spacing w:after="0"/>
        <w:ind w:left="720" w:hanging="720"/>
        <w:rPr>
          <w:rFonts w:eastAsia="Times New Roman" w:cs="Times New Roman"/>
          <w:szCs w:val="24"/>
          <w:lang w:eastAsia="en-GB"/>
        </w:rPr>
      </w:pPr>
      <w:r w:rsidRPr="00EF688A">
        <w:rPr>
          <w:rFonts w:eastAsia="Times New Roman" w:cs="Times New Roman"/>
          <w:szCs w:val="24"/>
          <w:lang w:eastAsia="en-GB"/>
        </w:rPr>
        <w:lastRenderedPageBreak/>
        <w:t xml:space="preserve">Berkes, F., George, P., </w:t>
      </w:r>
      <w:r w:rsidR="002A57F6">
        <w:rPr>
          <w:rFonts w:eastAsia="Times New Roman" w:cs="Times New Roman"/>
          <w:szCs w:val="24"/>
          <w:lang w:eastAsia="en-GB"/>
        </w:rPr>
        <w:t xml:space="preserve">&amp; </w:t>
      </w:r>
      <w:r w:rsidRPr="00EF688A">
        <w:rPr>
          <w:rFonts w:eastAsia="Times New Roman" w:cs="Times New Roman"/>
          <w:szCs w:val="24"/>
          <w:lang w:eastAsia="en-GB"/>
        </w:rPr>
        <w:t xml:space="preserve">Preston, R., </w:t>
      </w:r>
      <w:r>
        <w:rPr>
          <w:rFonts w:eastAsia="Times New Roman" w:cs="Times New Roman"/>
          <w:szCs w:val="24"/>
          <w:lang w:eastAsia="en-GB"/>
        </w:rPr>
        <w:t>(</w:t>
      </w:r>
      <w:r w:rsidRPr="00EF688A">
        <w:rPr>
          <w:rFonts w:eastAsia="Times New Roman" w:cs="Times New Roman"/>
          <w:szCs w:val="24"/>
          <w:lang w:eastAsia="en-GB"/>
        </w:rPr>
        <w:t>1991</w:t>
      </w:r>
      <w:r>
        <w:rPr>
          <w:rFonts w:eastAsia="Times New Roman" w:cs="Times New Roman"/>
          <w:szCs w:val="24"/>
          <w:lang w:eastAsia="en-GB"/>
        </w:rPr>
        <w:t>)</w:t>
      </w:r>
      <w:r w:rsidRPr="00EF688A">
        <w:rPr>
          <w:rFonts w:eastAsia="Times New Roman" w:cs="Times New Roman"/>
          <w:szCs w:val="24"/>
          <w:lang w:eastAsia="en-GB"/>
        </w:rPr>
        <w:t>. Co-management: the evolution of</w:t>
      </w:r>
      <w:r>
        <w:rPr>
          <w:rFonts w:eastAsia="Times New Roman" w:cs="Times New Roman"/>
          <w:szCs w:val="24"/>
          <w:lang w:eastAsia="en-GB"/>
        </w:rPr>
        <w:t xml:space="preserve"> </w:t>
      </w:r>
      <w:r w:rsidRPr="00EF688A">
        <w:rPr>
          <w:rFonts w:eastAsia="Times New Roman" w:cs="Times New Roman"/>
          <w:szCs w:val="24"/>
          <w:lang w:eastAsia="en-GB"/>
        </w:rPr>
        <w:t>the theory and practice of joint administration of living resources.</w:t>
      </w:r>
      <w:r>
        <w:rPr>
          <w:rFonts w:eastAsia="Times New Roman" w:cs="Times New Roman"/>
          <w:szCs w:val="24"/>
          <w:lang w:eastAsia="en-GB"/>
        </w:rPr>
        <w:t xml:space="preserve"> </w:t>
      </w:r>
      <w:r w:rsidRPr="00982156">
        <w:rPr>
          <w:rFonts w:eastAsia="Times New Roman" w:cs="Times New Roman"/>
          <w:i/>
          <w:iCs/>
          <w:szCs w:val="24"/>
          <w:lang w:eastAsia="en-GB"/>
        </w:rPr>
        <w:t>Alternatives</w:t>
      </w:r>
      <w:r w:rsidR="005957CF">
        <w:rPr>
          <w:rFonts w:eastAsia="Times New Roman" w:cs="Times New Roman"/>
          <w:i/>
          <w:iCs/>
          <w:szCs w:val="24"/>
          <w:lang w:eastAsia="en-GB"/>
        </w:rPr>
        <w:t>,</w:t>
      </w:r>
      <w:r w:rsidRPr="00EF688A">
        <w:rPr>
          <w:rFonts w:eastAsia="Times New Roman" w:cs="Times New Roman"/>
          <w:szCs w:val="24"/>
          <w:lang w:eastAsia="en-GB"/>
        </w:rPr>
        <w:t xml:space="preserve"> 18(2), 12–18.</w:t>
      </w:r>
      <w:bookmarkEnd w:id="473"/>
    </w:p>
    <w:p w14:paraId="06B8CD35" w14:textId="701FAA09" w:rsidR="00314BDF" w:rsidRPr="00314BDF" w:rsidRDefault="00314BDF" w:rsidP="000D7C39">
      <w:pPr>
        <w:spacing w:after="0"/>
        <w:ind w:left="720" w:hanging="720"/>
        <w:rPr>
          <w:rFonts w:eastAsia="Times New Roman" w:cs="Times New Roman"/>
          <w:szCs w:val="24"/>
          <w:lang w:eastAsia="en-GB"/>
        </w:rPr>
      </w:pPr>
      <w:r w:rsidRPr="00314BDF">
        <w:rPr>
          <w:rFonts w:eastAsia="Times New Roman" w:cs="Times New Roman"/>
          <w:szCs w:val="24"/>
          <w:lang w:eastAsia="en-GB"/>
        </w:rPr>
        <w:t xml:space="preserve">Berkes, F. (2002). Cross-scale institutional linkages: perspectives from the bottom up. </w:t>
      </w:r>
      <w:r w:rsidRPr="00314BDF">
        <w:rPr>
          <w:rFonts w:eastAsia="Times New Roman" w:cs="Times New Roman"/>
          <w:i/>
          <w:iCs/>
          <w:szCs w:val="24"/>
          <w:lang w:eastAsia="en-GB"/>
        </w:rPr>
        <w:t xml:space="preserve">The </w:t>
      </w:r>
      <w:r w:rsidR="00C85D39">
        <w:rPr>
          <w:rFonts w:eastAsia="Times New Roman" w:cs="Times New Roman"/>
          <w:i/>
          <w:iCs/>
          <w:szCs w:val="24"/>
          <w:lang w:eastAsia="en-GB"/>
        </w:rPr>
        <w:t>D</w:t>
      </w:r>
      <w:r w:rsidRPr="00314BDF">
        <w:rPr>
          <w:rFonts w:eastAsia="Times New Roman" w:cs="Times New Roman"/>
          <w:i/>
          <w:iCs/>
          <w:szCs w:val="24"/>
          <w:lang w:eastAsia="en-GB"/>
        </w:rPr>
        <w:t xml:space="preserve">rama of the </w:t>
      </w:r>
      <w:r w:rsidR="00C85D39">
        <w:rPr>
          <w:rFonts w:eastAsia="Times New Roman" w:cs="Times New Roman"/>
          <w:i/>
          <w:iCs/>
          <w:szCs w:val="24"/>
          <w:lang w:eastAsia="en-GB"/>
        </w:rPr>
        <w:t>C</w:t>
      </w:r>
      <w:r w:rsidRPr="00314BDF">
        <w:rPr>
          <w:rFonts w:eastAsia="Times New Roman" w:cs="Times New Roman"/>
          <w:i/>
          <w:iCs/>
          <w:szCs w:val="24"/>
          <w:lang w:eastAsia="en-GB"/>
        </w:rPr>
        <w:t>ommons</w:t>
      </w:r>
      <w:r w:rsidRPr="00314BDF">
        <w:rPr>
          <w:rFonts w:eastAsia="Times New Roman" w:cs="Times New Roman"/>
          <w:szCs w:val="24"/>
          <w:lang w:eastAsia="en-GB"/>
        </w:rPr>
        <w:t>, 293-321.</w:t>
      </w:r>
    </w:p>
    <w:p w14:paraId="74E0DD31" w14:textId="0CB5923E" w:rsidR="00920722" w:rsidRDefault="00920722" w:rsidP="000D7C39">
      <w:pPr>
        <w:spacing w:after="0"/>
        <w:ind w:left="720" w:hanging="720"/>
      </w:pPr>
      <w:r>
        <w:rPr>
          <w:rStyle w:val="prooftitle"/>
        </w:rPr>
        <w:t>Berkes, F., Colding, J., &amp; Folke, C. (2003). Navigating social-ecological systems: Building resilience for complexity and change. Cambridge University Press, Cambridge, UK.</w:t>
      </w:r>
    </w:p>
    <w:p w14:paraId="4EBD4636" w14:textId="2707E4CA" w:rsidR="00AF6C98" w:rsidRDefault="00D27874" w:rsidP="000D7C39">
      <w:pPr>
        <w:spacing w:after="0"/>
        <w:ind w:left="720" w:hanging="720"/>
      </w:pPr>
      <w:bookmarkStart w:id="474" w:name="_Hlk195385757"/>
      <w:r>
        <w:t>Bhardwaj</w:t>
      </w:r>
      <w:r w:rsidR="009B7B51">
        <w:t>,</w:t>
      </w:r>
      <w:r>
        <w:t xml:space="preserve"> P. (2019). Types of sampling in research. </w:t>
      </w:r>
      <w:r w:rsidRPr="00F7064B">
        <w:rPr>
          <w:i/>
          <w:iCs/>
        </w:rPr>
        <w:t xml:space="preserve">J </w:t>
      </w:r>
      <w:proofErr w:type="spellStart"/>
      <w:r w:rsidRPr="00F7064B">
        <w:rPr>
          <w:i/>
          <w:iCs/>
        </w:rPr>
        <w:t>Pract</w:t>
      </w:r>
      <w:proofErr w:type="spellEnd"/>
      <w:r w:rsidRPr="00F7064B">
        <w:rPr>
          <w:i/>
          <w:iCs/>
        </w:rPr>
        <w:t xml:space="preserve"> Cardiovasc Sci</w:t>
      </w:r>
      <w:r>
        <w:t xml:space="preserve">, </w:t>
      </w:r>
    </w:p>
    <w:p w14:paraId="4E3B7051" w14:textId="77777777" w:rsidR="00D27874" w:rsidRDefault="00D15027" w:rsidP="000D7C39">
      <w:pPr>
        <w:spacing w:after="0"/>
        <w:ind w:left="720" w:hanging="720"/>
      </w:pPr>
      <w:r>
        <w:tab/>
      </w:r>
      <w:r w:rsidR="00D27874">
        <w:t>5,157-63</w:t>
      </w:r>
      <w:r w:rsidR="009B7B51">
        <w:t>.</w:t>
      </w:r>
    </w:p>
    <w:bookmarkEnd w:id="474"/>
    <w:p w14:paraId="285AF081" w14:textId="09CB212C" w:rsidR="00BA0A22" w:rsidRPr="00BA0A22" w:rsidRDefault="00BA0A22" w:rsidP="000D7C39">
      <w:pPr>
        <w:spacing w:after="0"/>
        <w:ind w:left="720" w:hanging="720"/>
        <w:rPr>
          <w:rFonts w:eastAsia="Times New Roman" w:cs="Times New Roman"/>
          <w:szCs w:val="24"/>
          <w:lang w:eastAsia="en-GB"/>
        </w:rPr>
      </w:pPr>
      <w:r w:rsidRPr="00BA0A22">
        <w:rPr>
          <w:rFonts w:eastAsia="Times New Roman" w:cs="Times New Roman"/>
          <w:szCs w:val="24"/>
          <w:lang w:eastAsia="en-GB"/>
        </w:rPr>
        <w:t xml:space="preserve">Blaikie, P. (2006). Is small </w:t>
      </w:r>
      <w:proofErr w:type="gramStart"/>
      <w:r w:rsidRPr="00BA0A22">
        <w:rPr>
          <w:rFonts w:eastAsia="Times New Roman" w:cs="Times New Roman"/>
          <w:szCs w:val="24"/>
          <w:lang w:eastAsia="en-GB"/>
        </w:rPr>
        <w:t>really beautiful</w:t>
      </w:r>
      <w:proofErr w:type="gramEnd"/>
      <w:r w:rsidRPr="00BA0A22">
        <w:rPr>
          <w:rFonts w:eastAsia="Times New Roman" w:cs="Times New Roman"/>
          <w:szCs w:val="24"/>
          <w:lang w:eastAsia="en-GB"/>
        </w:rPr>
        <w:t xml:space="preserve">? Community-based natural resource management in Malawi and Botswana. </w:t>
      </w:r>
      <w:r w:rsidRPr="00BA0A22">
        <w:rPr>
          <w:rFonts w:eastAsia="Times New Roman" w:cs="Times New Roman"/>
          <w:i/>
          <w:iCs/>
          <w:szCs w:val="24"/>
          <w:lang w:eastAsia="en-GB"/>
        </w:rPr>
        <w:t xml:space="preserve">World </w:t>
      </w:r>
      <w:r w:rsidR="00220EBB">
        <w:rPr>
          <w:rFonts w:eastAsia="Times New Roman" w:cs="Times New Roman"/>
          <w:i/>
          <w:iCs/>
          <w:szCs w:val="24"/>
          <w:lang w:eastAsia="en-GB"/>
        </w:rPr>
        <w:t>D</w:t>
      </w:r>
      <w:r w:rsidRPr="00BA0A22">
        <w:rPr>
          <w:rFonts w:eastAsia="Times New Roman" w:cs="Times New Roman"/>
          <w:i/>
          <w:iCs/>
          <w:szCs w:val="24"/>
          <w:lang w:eastAsia="en-GB"/>
        </w:rPr>
        <w:t>evelopment</w:t>
      </w:r>
      <w:r w:rsidRPr="00BA0A22">
        <w:rPr>
          <w:rFonts w:eastAsia="Times New Roman" w:cs="Times New Roman"/>
          <w:szCs w:val="24"/>
          <w:lang w:eastAsia="en-GB"/>
        </w:rPr>
        <w:t xml:space="preserve">, </w:t>
      </w:r>
      <w:r w:rsidRPr="00BA0A22">
        <w:rPr>
          <w:rFonts w:eastAsia="Times New Roman" w:cs="Times New Roman"/>
          <w:i/>
          <w:iCs/>
          <w:szCs w:val="24"/>
          <w:lang w:eastAsia="en-GB"/>
        </w:rPr>
        <w:t>34</w:t>
      </w:r>
      <w:r w:rsidRPr="00BA0A22">
        <w:rPr>
          <w:rFonts w:eastAsia="Times New Roman" w:cs="Times New Roman"/>
          <w:szCs w:val="24"/>
          <w:lang w:eastAsia="en-GB"/>
        </w:rPr>
        <w:t>(11), 1942-1957.</w:t>
      </w:r>
    </w:p>
    <w:p w14:paraId="5950A014" w14:textId="77777777" w:rsidR="00AF6C98" w:rsidRDefault="00D27874" w:rsidP="000D7C39">
      <w:pPr>
        <w:spacing w:after="0"/>
        <w:ind w:left="720" w:hanging="720"/>
      </w:pPr>
      <w:bookmarkStart w:id="475" w:name="_Hlk195385798"/>
      <w:r>
        <w:t xml:space="preserve">Blau, P. M. (1964). </w:t>
      </w:r>
      <w:r w:rsidRPr="009B7B51">
        <w:rPr>
          <w:rStyle w:val="ff2"/>
          <w:i/>
          <w:iCs/>
        </w:rPr>
        <w:t>Exchange and power in social life</w:t>
      </w:r>
      <w:r>
        <w:t xml:space="preserve">. New York: Wiley </w:t>
      </w:r>
    </w:p>
    <w:p w14:paraId="0519F224" w14:textId="77777777" w:rsidR="00D27874" w:rsidRDefault="00D15027" w:rsidP="000D7C39">
      <w:pPr>
        <w:spacing w:after="0"/>
        <w:ind w:left="720" w:hanging="720"/>
      </w:pPr>
      <w:r>
        <w:tab/>
      </w:r>
      <w:r w:rsidR="00D27874" w:rsidRPr="00D6631D">
        <w:t>Bloomberg</w:t>
      </w:r>
      <w:r w:rsidR="00D27874">
        <w:t>.</w:t>
      </w:r>
    </w:p>
    <w:p w14:paraId="327D12AB" w14:textId="50C438E0" w:rsidR="004E5E4F" w:rsidRPr="00D1664B" w:rsidRDefault="004E5E4F" w:rsidP="000D7C39">
      <w:pPr>
        <w:pStyle w:val="BodyText"/>
        <w:spacing w:after="0"/>
        <w:ind w:left="720" w:hanging="720"/>
        <w:rPr>
          <w:i/>
          <w:iCs/>
        </w:rPr>
      </w:pPr>
      <w:r>
        <w:t xml:space="preserve">Bloomberg, L. D., &amp; Volpe, M. (2008). </w:t>
      </w:r>
      <w:r w:rsidRPr="004E5E4F">
        <w:rPr>
          <w:i/>
          <w:iCs/>
        </w:rPr>
        <w:t>Completing your qualitative dissertation: A roadmap from beginning to end.</w:t>
      </w:r>
      <w:r>
        <w:t xml:space="preserve"> Los Angeles: Teachers College Press.</w:t>
      </w:r>
    </w:p>
    <w:bookmarkEnd w:id="475"/>
    <w:p w14:paraId="049BBF92" w14:textId="55DFABBA" w:rsidR="00C2496C" w:rsidRPr="00C2496C" w:rsidRDefault="00C2496C" w:rsidP="000D7C39">
      <w:pPr>
        <w:spacing w:after="0"/>
        <w:ind w:left="720" w:hanging="720"/>
        <w:rPr>
          <w:rFonts w:eastAsia="Times New Roman" w:cs="Times New Roman"/>
          <w:szCs w:val="24"/>
          <w:lang w:eastAsia="en-GB"/>
        </w:rPr>
      </w:pPr>
      <w:proofErr w:type="spellStart"/>
      <w:r w:rsidRPr="00C2496C">
        <w:rPr>
          <w:rFonts w:eastAsia="Times New Roman" w:cs="Times New Roman"/>
          <w:szCs w:val="24"/>
          <w:lang w:eastAsia="en-GB"/>
        </w:rPr>
        <w:t>Bluffstone</w:t>
      </w:r>
      <w:proofErr w:type="spellEnd"/>
      <w:r w:rsidRPr="00C2496C">
        <w:rPr>
          <w:rFonts w:eastAsia="Times New Roman" w:cs="Times New Roman"/>
          <w:szCs w:val="24"/>
          <w:lang w:eastAsia="en-GB"/>
        </w:rPr>
        <w:t xml:space="preserve">, R. A., Somanathan, E., Jha, P., </w:t>
      </w:r>
      <w:proofErr w:type="spellStart"/>
      <w:r w:rsidRPr="00C2496C">
        <w:rPr>
          <w:rFonts w:eastAsia="Times New Roman" w:cs="Times New Roman"/>
          <w:szCs w:val="24"/>
          <w:lang w:eastAsia="en-GB"/>
        </w:rPr>
        <w:t>Luintel</w:t>
      </w:r>
      <w:proofErr w:type="spellEnd"/>
      <w:r w:rsidRPr="00C2496C">
        <w:rPr>
          <w:rFonts w:eastAsia="Times New Roman" w:cs="Times New Roman"/>
          <w:szCs w:val="24"/>
          <w:lang w:eastAsia="en-GB"/>
        </w:rPr>
        <w:t xml:space="preserve">, H., Bista, R., Toman, M., ... &amp; Adhikari, B. (2018). Does collective action sequester carbon? Evidence from the Nepal community forestry program. </w:t>
      </w:r>
      <w:r w:rsidRPr="00C2496C">
        <w:rPr>
          <w:rFonts w:eastAsia="Times New Roman" w:cs="Times New Roman"/>
          <w:i/>
          <w:iCs/>
          <w:szCs w:val="24"/>
          <w:lang w:eastAsia="en-GB"/>
        </w:rPr>
        <w:t>World Development</w:t>
      </w:r>
      <w:r w:rsidRPr="00C2496C">
        <w:rPr>
          <w:rFonts w:eastAsia="Times New Roman" w:cs="Times New Roman"/>
          <w:szCs w:val="24"/>
          <w:lang w:eastAsia="en-GB"/>
        </w:rPr>
        <w:t xml:space="preserve">, </w:t>
      </w:r>
      <w:r w:rsidRPr="00C2496C">
        <w:rPr>
          <w:rFonts w:eastAsia="Times New Roman" w:cs="Times New Roman"/>
          <w:i/>
          <w:iCs/>
          <w:szCs w:val="24"/>
          <w:lang w:eastAsia="en-GB"/>
        </w:rPr>
        <w:t>101</w:t>
      </w:r>
      <w:r w:rsidRPr="00C2496C">
        <w:rPr>
          <w:rFonts w:eastAsia="Times New Roman" w:cs="Times New Roman"/>
          <w:szCs w:val="24"/>
          <w:lang w:eastAsia="en-GB"/>
        </w:rPr>
        <w:t>, 133-141.</w:t>
      </w:r>
    </w:p>
    <w:p w14:paraId="1CD40E46" w14:textId="779F730D" w:rsidR="00453454" w:rsidRPr="00D1664B" w:rsidRDefault="00453454" w:rsidP="000D7C39">
      <w:pPr>
        <w:spacing w:after="0"/>
        <w:ind w:left="720" w:hanging="720"/>
        <w:rPr>
          <w:rFonts w:eastAsia="Times New Roman" w:cs="Times New Roman"/>
          <w:i/>
          <w:iCs/>
          <w:szCs w:val="24"/>
          <w:lang w:eastAsia="en-GB"/>
        </w:rPr>
      </w:pPr>
      <w:r w:rsidRPr="0019675E">
        <w:rPr>
          <w:rFonts w:eastAsia="Times New Roman" w:cs="Times New Roman"/>
          <w:szCs w:val="24"/>
          <w:lang w:eastAsia="en-GB"/>
        </w:rPr>
        <w:t xml:space="preserve">Blomquist, W. (1992). </w:t>
      </w:r>
      <w:r w:rsidRPr="00BA5269">
        <w:rPr>
          <w:rFonts w:eastAsia="Times New Roman" w:cs="Times New Roman"/>
          <w:i/>
          <w:iCs/>
          <w:szCs w:val="24"/>
          <w:lang w:eastAsia="en-GB"/>
        </w:rPr>
        <w:t xml:space="preserve">Dividing the waters: governing groundwater </w:t>
      </w:r>
      <w:proofErr w:type="gramStart"/>
      <w:r w:rsidRPr="00BA5269">
        <w:rPr>
          <w:rFonts w:eastAsia="Times New Roman" w:cs="Times New Roman"/>
          <w:i/>
          <w:iCs/>
          <w:szCs w:val="24"/>
          <w:lang w:eastAsia="en-GB"/>
        </w:rPr>
        <w:t xml:space="preserve">in </w:t>
      </w:r>
      <w:r w:rsidR="00D1664B">
        <w:rPr>
          <w:rFonts w:eastAsia="Times New Roman" w:cs="Times New Roman"/>
          <w:i/>
          <w:iCs/>
          <w:szCs w:val="24"/>
          <w:lang w:eastAsia="en-GB"/>
        </w:rPr>
        <w:t xml:space="preserve"> </w:t>
      </w:r>
      <w:r w:rsidRPr="00BA5269">
        <w:rPr>
          <w:rFonts w:eastAsia="Times New Roman" w:cs="Times New Roman"/>
          <w:i/>
          <w:iCs/>
          <w:szCs w:val="24"/>
          <w:lang w:eastAsia="en-GB"/>
        </w:rPr>
        <w:t>Southern</w:t>
      </w:r>
      <w:proofErr w:type="gramEnd"/>
      <w:r w:rsidRPr="00BA5269">
        <w:rPr>
          <w:rFonts w:eastAsia="Times New Roman" w:cs="Times New Roman"/>
          <w:i/>
          <w:iCs/>
          <w:szCs w:val="24"/>
          <w:lang w:eastAsia="en-GB"/>
        </w:rPr>
        <w:t xml:space="preserve"> California</w:t>
      </w:r>
      <w:r w:rsidRPr="0019675E">
        <w:rPr>
          <w:rFonts w:eastAsia="Times New Roman" w:cs="Times New Roman"/>
          <w:szCs w:val="24"/>
          <w:lang w:eastAsia="en-GB"/>
        </w:rPr>
        <w:t>. University of California Press.</w:t>
      </w:r>
    </w:p>
    <w:p w14:paraId="3B0DC158" w14:textId="77777777" w:rsidR="00D1664B" w:rsidRDefault="00D1664B" w:rsidP="000D7C39">
      <w:pPr>
        <w:spacing w:after="0"/>
        <w:ind w:left="720" w:hanging="720"/>
      </w:pPr>
      <w:bookmarkStart w:id="476" w:name="_Hlk165478525"/>
    </w:p>
    <w:p w14:paraId="078B18B5" w14:textId="0C49AE21" w:rsidR="00AF6C98" w:rsidRPr="009B7B51" w:rsidRDefault="00D27874" w:rsidP="000D7C39">
      <w:pPr>
        <w:spacing w:after="0"/>
        <w:ind w:left="720" w:hanging="720"/>
        <w:rPr>
          <w:i/>
          <w:iCs/>
        </w:rPr>
      </w:pPr>
      <w:r>
        <w:lastRenderedPageBreak/>
        <w:t xml:space="preserve">Boamah, R. (2020). </w:t>
      </w:r>
      <w:r w:rsidRPr="009B7B51">
        <w:rPr>
          <w:i/>
          <w:iCs/>
        </w:rPr>
        <w:t xml:space="preserve">An Assessment of Effects of Illegal Activities on Timber </w:t>
      </w:r>
    </w:p>
    <w:p w14:paraId="19BF1E1E" w14:textId="6AB9BF92" w:rsidR="00D1664B" w:rsidRPr="000D7C39" w:rsidRDefault="00D15027" w:rsidP="000D7C39">
      <w:pPr>
        <w:spacing w:after="0"/>
        <w:ind w:left="720" w:hanging="720"/>
      </w:pPr>
      <w:r>
        <w:rPr>
          <w:i/>
          <w:iCs/>
        </w:rPr>
        <w:tab/>
      </w:r>
      <w:r w:rsidR="00D27874" w:rsidRPr="009B7B51">
        <w:rPr>
          <w:i/>
          <w:iCs/>
        </w:rPr>
        <w:t>Production in Southern Scarp Forest Reserve</w:t>
      </w:r>
      <w:r w:rsidR="00D27874">
        <w:t xml:space="preserve">. </w:t>
      </w:r>
      <w:hyperlink r:id="rId39" w:history="1">
        <w:r w:rsidR="00D27874" w:rsidRPr="00566F1D">
          <w:rPr>
            <w:rStyle w:val="Hyperlink"/>
            <w:color w:val="auto"/>
            <w:u w:val="none"/>
          </w:rPr>
          <w:t>Institute for Development Studies</w:t>
        </w:r>
      </w:hyperlink>
      <w:r w:rsidR="00D27874">
        <w:t>. MPhil. Thesis</w:t>
      </w:r>
      <w:bookmarkEnd w:id="476"/>
    </w:p>
    <w:p w14:paraId="64BF1FC5" w14:textId="77777777" w:rsidR="009B7B51" w:rsidRPr="009B7B51" w:rsidRDefault="00D27874" w:rsidP="000D7C39">
      <w:pPr>
        <w:spacing w:after="0"/>
        <w:ind w:left="720" w:hanging="720"/>
        <w:rPr>
          <w:rFonts w:eastAsia="Times New Roman" w:cs="Times New Roman"/>
          <w:i/>
          <w:iCs/>
          <w:szCs w:val="24"/>
          <w:lang w:eastAsia="en-GB"/>
        </w:rPr>
      </w:pPr>
      <w:r w:rsidRPr="00756BC8">
        <w:rPr>
          <w:rFonts w:eastAsia="Times New Roman" w:cs="Times New Roman"/>
          <w:szCs w:val="24"/>
          <w:lang w:eastAsia="en-GB"/>
        </w:rPr>
        <w:t xml:space="preserve">Bornstein, M. H., &amp; Putnick, D. L. (2005). </w:t>
      </w:r>
      <w:r w:rsidRPr="009B7B51">
        <w:rPr>
          <w:rFonts w:eastAsia="Times New Roman" w:cs="Times New Roman"/>
          <w:i/>
          <w:iCs/>
          <w:szCs w:val="24"/>
          <w:lang w:eastAsia="en-GB"/>
        </w:rPr>
        <w:t xml:space="preserve">The science of developmental </w:t>
      </w:r>
    </w:p>
    <w:p w14:paraId="1332BB49" w14:textId="77777777" w:rsidR="00D27874" w:rsidRDefault="00D15027" w:rsidP="000D7C39">
      <w:pPr>
        <w:spacing w:after="0"/>
        <w:ind w:left="720" w:hanging="720"/>
        <w:rPr>
          <w:rFonts w:eastAsia="Times New Roman" w:cs="Times New Roman"/>
          <w:szCs w:val="24"/>
          <w:lang w:eastAsia="en-GB"/>
        </w:rPr>
      </w:pPr>
      <w:r>
        <w:rPr>
          <w:rFonts w:eastAsia="Times New Roman" w:cs="Times New Roman"/>
          <w:i/>
          <w:iCs/>
          <w:szCs w:val="24"/>
          <w:lang w:eastAsia="en-GB"/>
        </w:rPr>
        <w:tab/>
      </w:r>
      <w:r w:rsidR="00D27874" w:rsidRPr="009B7B51">
        <w:rPr>
          <w:rFonts w:eastAsia="Times New Roman" w:cs="Times New Roman"/>
          <w:i/>
          <w:iCs/>
          <w:szCs w:val="24"/>
          <w:lang w:eastAsia="en-GB"/>
        </w:rPr>
        <w:t>psychology: A textbook for research methods and statistics</w:t>
      </w:r>
      <w:r w:rsidR="00D27874" w:rsidRPr="00756BC8">
        <w:rPr>
          <w:rFonts w:eastAsia="Times New Roman" w:cs="Times New Roman"/>
          <w:szCs w:val="24"/>
          <w:lang w:eastAsia="en-GB"/>
        </w:rPr>
        <w:t>. Thomson Wadsworth</w:t>
      </w:r>
      <w:r w:rsidR="00D27874">
        <w:rPr>
          <w:rFonts w:eastAsia="Times New Roman" w:cs="Times New Roman"/>
          <w:szCs w:val="24"/>
          <w:lang w:eastAsia="en-GB"/>
        </w:rPr>
        <w:t xml:space="preserve">. </w:t>
      </w:r>
    </w:p>
    <w:p w14:paraId="1C479685" w14:textId="77777777" w:rsidR="00AF6C98" w:rsidRDefault="00D27874" w:rsidP="000D7C39">
      <w:pPr>
        <w:spacing w:after="0"/>
        <w:ind w:left="720" w:hanging="720"/>
      </w:pPr>
      <w:proofErr w:type="spellStart"/>
      <w:r w:rsidRPr="00361DA8">
        <w:t>Borrini</w:t>
      </w:r>
      <w:proofErr w:type="spellEnd"/>
      <w:r>
        <w:t>-</w:t>
      </w:r>
      <w:r w:rsidRPr="00361DA8">
        <w:t>Feyerabend</w:t>
      </w:r>
      <w:r>
        <w:t>,</w:t>
      </w:r>
      <w:r w:rsidRPr="00361DA8">
        <w:t xml:space="preserve"> G</w:t>
      </w:r>
      <w:r>
        <w:t>.</w:t>
      </w:r>
      <w:proofErr w:type="gramStart"/>
      <w:r>
        <w:t xml:space="preserve">,  </w:t>
      </w:r>
      <w:proofErr w:type="spellStart"/>
      <w:r w:rsidRPr="00361DA8">
        <w:t>Farvar</w:t>
      </w:r>
      <w:proofErr w:type="spellEnd"/>
      <w:proofErr w:type="gramEnd"/>
      <w:r>
        <w:t>,</w:t>
      </w:r>
      <w:r w:rsidRPr="00361DA8">
        <w:t xml:space="preserve"> T</w:t>
      </w:r>
      <w:r>
        <w:t xml:space="preserve">., </w:t>
      </w:r>
      <w:proofErr w:type="spellStart"/>
      <w:r w:rsidRPr="00361DA8">
        <w:t>Nguinguiri</w:t>
      </w:r>
      <w:proofErr w:type="spellEnd"/>
      <w:r>
        <w:t>,</w:t>
      </w:r>
      <w:r w:rsidRPr="00361DA8">
        <w:t xml:space="preserve"> J</w:t>
      </w:r>
      <w:r>
        <w:t>.</w:t>
      </w:r>
      <w:r w:rsidRPr="00361DA8">
        <w:t xml:space="preserve"> C</w:t>
      </w:r>
      <w:r>
        <w:t>.,</w:t>
      </w:r>
      <w:r w:rsidRPr="00361DA8">
        <w:t xml:space="preserve"> </w:t>
      </w:r>
      <w:r>
        <w:t xml:space="preserve">&amp; </w:t>
      </w:r>
      <w:proofErr w:type="spellStart"/>
      <w:r w:rsidRPr="00361DA8">
        <w:t>Ndangang</w:t>
      </w:r>
      <w:proofErr w:type="spellEnd"/>
      <w:r>
        <w:t>,</w:t>
      </w:r>
      <w:r w:rsidRPr="00361DA8">
        <w:t xml:space="preserve"> V</w:t>
      </w:r>
      <w:r>
        <w:t>.</w:t>
      </w:r>
      <w:r w:rsidRPr="00361DA8">
        <w:t xml:space="preserve"> (2000). </w:t>
      </w:r>
    </w:p>
    <w:p w14:paraId="01662C3C" w14:textId="77777777" w:rsidR="00D27874" w:rsidRDefault="00D15027" w:rsidP="000D7C39">
      <w:pPr>
        <w:spacing w:after="0"/>
        <w:ind w:left="720" w:hanging="720"/>
      </w:pPr>
      <w:r>
        <w:tab/>
      </w:r>
      <w:r w:rsidR="00D27874" w:rsidRPr="00361DA8">
        <w:t>Co-management of natural resources: organising, negotiating and learning-by-doing.</w:t>
      </w:r>
      <w:r w:rsidR="00D27874">
        <w:t xml:space="preserve"> </w:t>
      </w:r>
      <w:r w:rsidR="00D27874" w:rsidRPr="00002CB9">
        <w:rPr>
          <w:i/>
          <w:iCs/>
        </w:rPr>
        <w:t>Kasparek Verlag</w:t>
      </w:r>
      <w:r w:rsidR="009B7B51">
        <w:rPr>
          <w:i/>
          <w:iCs/>
        </w:rPr>
        <w:t>,</w:t>
      </w:r>
      <w:r w:rsidR="00D27874">
        <w:t xml:space="preserve"> </w:t>
      </w:r>
      <w:r w:rsidR="00D27874" w:rsidRPr="00361DA8">
        <w:t>ISBN: 978-3-925064-47-0</w:t>
      </w:r>
    </w:p>
    <w:p w14:paraId="38228425" w14:textId="53F333DF" w:rsidR="007A6E40" w:rsidRPr="007A6E40" w:rsidRDefault="007A6E40" w:rsidP="000D7C39">
      <w:pPr>
        <w:spacing w:after="0"/>
        <w:ind w:left="720" w:hanging="720"/>
        <w:rPr>
          <w:rFonts w:eastAsia="Times New Roman" w:cs="Times New Roman"/>
          <w:szCs w:val="24"/>
          <w:lang w:eastAsia="en-GB"/>
        </w:rPr>
      </w:pPr>
      <w:proofErr w:type="spellStart"/>
      <w:r w:rsidRPr="007A6E40">
        <w:rPr>
          <w:rFonts w:eastAsia="Times New Roman" w:cs="Times New Roman"/>
          <w:szCs w:val="24"/>
          <w:lang w:eastAsia="en-GB"/>
        </w:rPr>
        <w:t>Borrini</w:t>
      </w:r>
      <w:proofErr w:type="spellEnd"/>
      <w:r w:rsidRPr="007A6E40">
        <w:rPr>
          <w:rFonts w:eastAsia="Times New Roman" w:cs="Times New Roman"/>
          <w:szCs w:val="24"/>
          <w:lang w:eastAsia="en-GB"/>
        </w:rPr>
        <w:t xml:space="preserve">-Feyerabend, G., </w:t>
      </w:r>
      <w:proofErr w:type="spellStart"/>
      <w:r w:rsidRPr="007A6E40">
        <w:rPr>
          <w:rFonts w:eastAsia="Times New Roman" w:cs="Times New Roman"/>
          <w:szCs w:val="24"/>
          <w:lang w:eastAsia="en-GB"/>
        </w:rPr>
        <w:t>Farvar</w:t>
      </w:r>
      <w:proofErr w:type="spellEnd"/>
      <w:r w:rsidRPr="007A6E40">
        <w:rPr>
          <w:rFonts w:eastAsia="Times New Roman" w:cs="Times New Roman"/>
          <w:szCs w:val="24"/>
          <w:lang w:eastAsia="en-GB"/>
        </w:rPr>
        <w:t xml:space="preserve">, M. T., Renard, Y., </w:t>
      </w:r>
      <w:proofErr w:type="spellStart"/>
      <w:r w:rsidRPr="007A6E40">
        <w:rPr>
          <w:rFonts w:eastAsia="Times New Roman" w:cs="Times New Roman"/>
          <w:szCs w:val="24"/>
          <w:lang w:eastAsia="en-GB"/>
        </w:rPr>
        <w:t>Pimbert</w:t>
      </w:r>
      <w:proofErr w:type="spellEnd"/>
      <w:r w:rsidRPr="007A6E40">
        <w:rPr>
          <w:rFonts w:eastAsia="Times New Roman" w:cs="Times New Roman"/>
          <w:szCs w:val="24"/>
          <w:lang w:eastAsia="en-GB"/>
        </w:rPr>
        <w:t xml:space="preserve">, M. P., &amp; Kothari, A. (2013). </w:t>
      </w:r>
      <w:r w:rsidRPr="007A6E40">
        <w:rPr>
          <w:rFonts w:eastAsia="Times New Roman" w:cs="Times New Roman"/>
          <w:i/>
          <w:iCs/>
          <w:szCs w:val="24"/>
          <w:lang w:eastAsia="en-GB"/>
        </w:rPr>
        <w:t>Sharing power: A global guide to collaborative management of natural resources</w:t>
      </w:r>
      <w:r w:rsidRPr="007A6E40">
        <w:rPr>
          <w:rFonts w:eastAsia="Times New Roman" w:cs="Times New Roman"/>
          <w:szCs w:val="24"/>
          <w:lang w:eastAsia="en-GB"/>
        </w:rPr>
        <w:t>. Routledge.</w:t>
      </w:r>
    </w:p>
    <w:p w14:paraId="7A77B7AE" w14:textId="3419DD16" w:rsidR="00170F1F" w:rsidRPr="00170F1F" w:rsidRDefault="00170F1F" w:rsidP="000D7C39">
      <w:pPr>
        <w:spacing w:after="0"/>
        <w:ind w:left="720" w:hanging="720"/>
        <w:rPr>
          <w:rFonts w:eastAsia="Times New Roman" w:cs="Times New Roman"/>
          <w:szCs w:val="24"/>
          <w:lang w:eastAsia="en-GB"/>
        </w:rPr>
      </w:pPr>
      <w:r w:rsidRPr="00170F1F">
        <w:rPr>
          <w:rFonts w:eastAsia="Times New Roman" w:cs="Times New Roman"/>
          <w:szCs w:val="24"/>
          <w:lang w:eastAsia="en-GB"/>
        </w:rPr>
        <w:t>Borrini, G. (1996). Collaborative management of protected areas: Tailoring the approach to the context.</w:t>
      </w:r>
    </w:p>
    <w:p w14:paraId="1C62383D" w14:textId="367EAFE4" w:rsidR="00253981" w:rsidRPr="00D1664B" w:rsidRDefault="00253981" w:rsidP="000D7C39">
      <w:pPr>
        <w:pStyle w:val="BodyText"/>
        <w:spacing w:after="0"/>
        <w:ind w:left="720" w:hanging="720"/>
        <w:rPr>
          <w:i/>
          <w:iCs/>
        </w:rPr>
      </w:pPr>
      <w:r>
        <w:t xml:space="preserve">Boston, M. (1991). Social exchange theory. In </w:t>
      </w:r>
      <w:r w:rsidR="00D1664B">
        <w:rPr>
          <w:rStyle w:val="Emphasis"/>
        </w:rPr>
        <w:t xml:space="preserve">Publication Manual of the </w:t>
      </w:r>
      <w:r>
        <w:rPr>
          <w:rStyle w:val="Emphasis"/>
        </w:rPr>
        <w:t>American Psychological Association</w:t>
      </w:r>
      <w:r>
        <w:t xml:space="preserve"> (5th ed.). Washington, DC: American Psychological Association.</w:t>
      </w:r>
    </w:p>
    <w:p w14:paraId="47BBAAF3" w14:textId="77777777" w:rsidR="00C37C7C" w:rsidRDefault="00C37C7C" w:rsidP="000D7C39">
      <w:pPr>
        <w:spacing w:after="0"/>
        <w:ind w:left="720" w:hanging="720"/>
        <w:rPr>
          <w:rFonts w:cs="Times New Roman"/>
          <w:szCs w:val="24"/>
        </w:rPr>
      </w:pPr>
      <w:r w:rsidRPr="00CF7673">
        <w:rPr>
          <w:rFonts w:cs="Times New Roman"/>
          <w:szCs w:val="24"/>
        </w:rPr>
        <w:t>Brand, D.</w:t>
      </w:r>
      <w:r>
        <w:rPr>
          <w:rFonts w:cs="Times New Roman"/>
          <w:szCs w:val="24"/>
        </w:rPr>
        <w:t xml:space="preserve"> </w:t>
      </w:r>
      <w:r w:rsidRPr="00CF7673">
        <w:rPr>
          <w:rFonts w:cs="Times New Roman"/>
          <w:szCs w:val="24"/>
        </w:rPr>
        <w:t xml:space="preserve">G. (1997). Criteria and indicators for the conservation and sustainable management of forests: progress to date and future directions. </w:t>
      </w:r>
      <w:r w:rsidRPr="00CF7673">
        <w:rPr>
          <w:rFonts w:cs="Times New Roman"/>
          <w:i/>
          <w:iCs/>
          <w:szCs w:val="24"/>
        </w:rPr>
        <w:t>Biomass and Bioenergy</w:t>
      </w:r>
      <w:r w:rsidRPr="00CF7673">
        <w:rPr>
          <w:rFonts w:cs="Times New Roman"/>
          <w:szCs w:val="24"/>
        </w:rPr>
        <w:t xml:space="preserve">, 13 </w:t>
      </w:r>
      <w:r>
        <w:rPr>
          <w:rFonts w:cs="Times New Roman"/>
          <w:szCs w:val="24"/>
        </w:rPr>
        <w:t>(</w:t>
      </w:r>
      <w:r w:rsidRPr="00CF7673">
        <w:rPr>
          <w:rFonts w:cs="Times New Roman"/>
          <w:szCs w:val="24"/>
        </w:rPr>
        <w:t>4/5</w:t>
      </w:r>
      <w:r>
        <w:rPr>
          <w:rFonts w:cs="Times New Roman"/>
          <w:szCs w:val="24"/>
        </w:rPr>
        <w:t>)</w:t>
      </w:r>
      <w:r w:rsidRPr="00CF7673">
        <w:rPr>
          <w:rFonts w:cs="Times New Roman"/>
          <w:szCs w:val="24"/>
        </w:rPr>
        <w:t>, 247-253.</w:t>
      </w:r>
    </w:p>
    <w:p w14:paraId="6587CAE7" w14:textId="352E957F" w:rsidR="008159C8" w:rsidRPr="008159C8" w:rsidRDefault="008159C8" w:rsidP="000D7C39">
      <w:pPr>
        <w:spacing w:after="0"/>
        <w:ind w:left="720" w:hanging="720"/>
        <w:rPr>
          <w:rFonts w:eastAsia="Times New Roman" w:cs="Times New Roman"/>
          <w:szCs w:val="24"/>
          <w:lang w:eastAsia="en-GB"/>
        </w:rPr>
      </w:pPr>
      <w:proofErr w:type="spellStart"/>
      <w:r w:rsidRPr="008159C8">
        <w:rPr>
          <w:rFonts w:eastAsia="Times New Roman" w:cs="Times New Roman"/>
          <w:szCs w:val="24"/>
          <w:lang w:eastAsia="en-GB"/>
        </w:rPr>
        <w:t>Brockerhoff</w:t>
      </w:r>
      <w:proofErr w:type="spellEnd"/>
      <w:r w:rsidRPr="008159C8">
        <w:rPr>
          <w:rFonts w:eastAsia="Times New Roman" w:cs="Times New Roman"/>
          <w:szCs w:val="24"/>
          <w:lang w:eastAsia="en-GB"/>
        </w:rPr>
        <w:t xml:space="preserve">, E. G., Barbaro, L., </w:t>
      </w:r>
      <w:proofErr w:type="spellStart"/>
      <w:r w:rsidRPr="008159C8">
        <w:rPr>
          <w:rFonts w:eastAsia="Times New Roman" w:cs="Times New Roman"/>
          <w:szCs w:val="24"/>
          <w:lang w:eastAsia="en-GB"/>
        </w:rPr>
        <w:t>Castagneyrol</w:t>
      </w:r>
      <w:proofErr w:type="spellEnd"/>
      <w:r w:rsidRPr="008159C8">
        <w:rPr>
          <w:rFonts w:eastAsia="Times New Roman" w:cs="Times New Roman"/>
          <w:szCs w:val="24"/>
          <w:lang w:eastAsia="en-GB"/>
        </w:rPr>
        <w:t xml:space="preserve">, B., Forrester, D. I., Gardiner, B., González-Olabarria, J. R., ... &amp; </w:t>
      </w:r>
      <w:proofErr w:type="spellStart"/>
      <w:r w:rsidRPr="008159C8">
        <w:rPr>
          <w:rFonts w:eastAsia="Times New Roman" w:cs="Times New Roman"/>
          <w:szCs w:val="24"/>
          <w:lang w:eastAsia="en-GB"/>
        </w:rPr>
        <w:t>Jactel</w:t>
      </w:r>
      <w:proofErr w:type="spellEnd"/>
      <w:r w:rsidRPr="008159C8">
        <w:rPr>
          <w:rFonts w:eastAsia="Times New Roman" w:cs="Times New Roman"/>
          <w:szCs w:val="24"/>
          <w:lang w:eastAsia="en-GB"/>
        </w:rPr>
        <w:t xml:space="preserve">, H. (2017). Forest biodiversity, ecosystem functioning and the provision of ecosystem services. </w:t>
      </w:r>
      <w:r w:rsidRPr="008159C8">
        <w:rPr>
          <w:rFonts w:eastAsia="Times New Roman" w:cs="Times New Roman"/>
          <w:i/>
          <w:iCs/>
          <w:szCs w:val="24"/>
          <w:lang w:eastAsia="en-GB"/>
        </w:rPr>
        <w:t>Biodiversity and Conservation</w:t>
      </w:r>
      <w:r w:rsidRPr="008159C8">
        <w:rPr>
          <w:rFonts w:eastAsia="Times New Roman" w:cs="Times New Roman"/>
          <w:szCs w:val="24"/>
          <w:lang w:eastAsia="en-GB"/>
        </w:rPr>
        <w:t xml:space="preserve">, </w:t>
      </w:r>
      <w:r w:rsidRPr="008159C8">
        <w:rPr>
          <w:rFonts w:eastAsia="Times New Roman" w:cs="Times New Roman"/>
          <w:i/>
          <w:iCs/>
          <w:szCs w:val="24"/>
          <w:lang w:eastAsia="en-GB"/>
        </w:rPr>
        <w:t>26</w:t>
      </w:r>
      <w:r w:rsidRPr="008159C8">
        <w:rPr>
          <w:rFonts w:eastAsia="Times New Roman" w:cs="Times New Roman"/>
          <w:szCs w:val="24"/>
          <w:lang w:eastAsia="en-GB"/>
        </w:rPr>
        <w:t>, 3005-3035.</w:t>
      </w:r>
    </w:p>
    <w:p w14:paraId="5729F08B" w14:textId="6DD6A1B9" w:rsidR="00D1664B" w:rsidRDefault="00EB57BF" w:rsidP="000D7C39">
      <w:pPr>
        <w:spacing w:after="0"/>
        <w:ind w:left="720" w:hanging="720"/>
      </w:pPr>
      <w:r>
        <w:lastRenderedPageBreak/>
        <w:t xml:space="preserve">Brosius, J. P., Tsing, A. L., &amp; Zerner, C. (1998). Representing communities: Histories and politics of community‐based natural resource management. </w:t>
      </w:r>
      <w:r>
        <w:rPr>
          <w:i/>
          <w:iCs/>
        </w:rPr>
        <w:t>Society &amp; Natural Resources</w:t>
      </w:r>
      <w:r>
        <w:t xml:space="preserve">, </w:t>
      </w:r>
      <w:r>
        <w:rPr>
          <w:i/>
          <w:iCs/>
        </w:rPr>
        <w:t>11</w:t>
      </w:r>
      <w:bookmarkStart w:id="477" w:name="_Hlk195386068"/>
      <w:r w:rsidR="000D7C39">
        <w:t>(2), 157–168.</w:t>
      </w:r>
    </w:p>
    <w:p w14:paraId="059A0C1E" w14:textId="177143D4" w:rsidR="00AF6C98" w:rsidRDefault="00D27874" w:rsidP="000D7C39">
      <w:pPr>
        <w:spacing w:after="0"/>
        <w:ind w:left="720" w:hanging="720"/>
        <w:rPr>
          <w:i/>
          <w:iCs/>
        </w:rPr>
      </w:pPr>
      <w:r>
        <w:t xml:space="preserve">Brown, D. (1999). </w:t>
      </w:r>
      <w:r w:rsidRPr="00620600">
        <w:rPr>
          <w:i/>
          <w:iCs/>
        </w:rPr>
        <w:t xml:space="preserve">Principles and practice of forest co-management: Evidence </w:t>
      </w:r>
    </w:p>
    <w:p w14:paraId="01CF7FB1" w14:textId="77777777" w:rsidR="00D27874" w:rsidRDefault="00D15027" w:rsidP="000D7C39">
      <w:pPr>
        <w:spacing w:after="0"/>
        <w:ind w:left="720" w:hanging="720"/>
      </w:pPr>
      <w:r>
        <w:rPr>
          <w:i/>
          <w:iCs/>
        </w:rPr>
        <w:tab/>
      </w:r>
      <w:r w:rsidR="00D27874" w:rsidRPr="00620600">
        <w:rPr>
          <w:i/>
          <w:iCs/>
        </w:rPr>
        <w:t>from West-Central Africa</w:t>
      </w:r>
      <w:r w:rsidR="00D27874">
        <w:t>. London: ODI.</w:t>
      </w:r>
    </w:p>
    <w:bookmarkEnd w:id="477"/>
    <w:p w14:paraId="79CAF6B2" w14:textId="6CDFB40F" w:rsidR="00791811" w:rsidRDefault="00791811" w:rsidP="000D7C39">
      <w:pPr>
        <w:spacing w:after="0"/>
        <w:ind w:left="720" w:hanging="720"/>
      </w:pPr>
      <w:r>
        <w:t>Brown D, Amanor K (2006) Informing the po</w:t>
      </w:r>
      <w:r w:rsidR="00D1664B">
        <w:t xml:space="preserve">licy process: decentralisation </w:t>
      </w:r>
      <w:r>
        <w:t>and environmental democracy in Ghana. Final technical report. Institute of African Studies &amp; University of Gana, Legon, London &amp; Accra</w:t>
      </w:r>
    </w:p>
    <w:p w14:paraId="06D77FAD" w14:textId="5D0B88AD" w:rsidR="001227B9" w:rsidRPr="001227B9" w:rsidRDefault="001227B9" w:rsidP="000D7C39">
      <w:pPr>
        <w:spacing w:after="0"/>
        <w:ind w:left="720" w:hanging="720"/>
        <w:rPr>
          <w:rFonts w:eastAsia="Times New Roman" w:cs="Times New Roman"/>
          <w:szCs w:val="24"/>
          <w:lang w:eastAsia="en-GB"/>
        </w:rPr>
      </w:pPr>
      <w:r w:rsidRPr="001227B9">
        <w:rPr>
          <w:rFonts w:eastAsia="Times New Roman" w:cs="Times New Roman"/>
          <w:szCs w:val="24"/>
          <w:lang w:eastAsia="en-GB"/>
        </w:rPr>
        <w:t xml:space="preserve">Brouwer, H., Woodhill, J., Hemmati, M., </w:t>
      </w:r>
      <w:proofErr w:type="spellStart"/>
      <w:r w:rsidRPr="001227B9">
        <w:rPr>
          <w:rFonts w:eastAsia="Times New Roman" w:cs="Times New Roman"/>
          <w:szCs w:val="24"/>
          <w:lang w:eastAsia="en-GB"/>
        </w:rPr>
        <w:t>Verhoosel</w:t>
      </w:r>
      <w:proofErr w:type="spellEnd"/>
      <w:r w:rsidRPr="001227B9">
        <w:rPr>
          <w:rFonts w:eastAsia="Times New Roman" w:cs="Times New Roman"/>
          <w:szCs w:val="24"/>
          <w:lang w:eastAsia="en-GB"/>
        </w:rPr>
        <w:t xml:space="preserve">, K., &amp; Van </w:t>
      </w:r>
      <w:proofErr w:type="spellStart"/>
      <w:r w:rsidRPr="001227B9">
        <w:rPr>
          <w:rFonts w:eastAsia="Times New Roman" w:cs="Times New Roman"/>
          <w:szCs w:val="24"/>
          <w:lang w:eastAsia="en-GB"/>
        </w:rPr>
        <w:t>Vugt</w:t>
      </w:r>
      <w:proofErr w:type="spellEnd"/>
      <w:r w:rsidRPr="001227B9">
        <w:rPr>
          <w:rFonts w:eastAsia="Times New Roman" w:cs="Times New Roman"/>
          <w:szCs w:val="24"/>
          <w:lang w:eastAsia="en-GB"/>
        </w:rPr>
        <w:t xml:space="preserve">, S. (2015). The MSP guide. </w:t>
      </w:r>
      <w:r w:rsidRPr="001227B9">
        <w:rPr>
          <w:rFonts w:eastAsia="Times New Roman" w:cs="Times New Roman"/>
          <w:i/>
          <w:iCs/>
          <w:szCs w:val="24"/>
          <w:lang w:eastAsia="en-GB"/>
        </w:rPr>
        <w:t>How to design and facilitate multi-stakeholder partnerships. Centre for Development Innovation, Wageningen UR, Wageningen</w:t>
      </w:r>
      <w:r w:rsidRPr="001227B9">
        <w:rPr>
          <w:rFonts w:eastAsia="Times New Roman" w:cs="Times New Roman"/>
          <w:szCs w:val="24"/>
          <w:lang w:eastAsia="en-GB"/>
        </w:rPr>
        <w:t>.</w:t>
      </w:r>
    </w:p>
    <w:p w14:paraId="106263E6" w14:textId="77777777" w:rsidR="00D27874" w:rsidRDefault="00D27874" w:rsidP="000D7C39">
      <w:pPr>
        <w:spacing w:after="0"/>
        <w:ind w:left="720" w:hanging="720"/>
      </w:pPr>
      <w:r>
        <w:t xml:space="preserve">Bryman, A. (2016). </w:t>
      </w:r>
      <w:r w:rsidRPr="009B7B51">
        <w:rPr>
          <w:i/>
          <w:iCs/>
        </w:rPr>
        <w:t>Social Research Methods</w:t>
      </w:r>
      <w:r>
        <w:t xml:space="preserve"> (5</w:t>
      </w:r>
      <w:r w:rsidR="009B7B51" w:rsidRPr="009B7B51">
        <w:rPr>
          <w:vertAlign w:val="superscript"/>
        </w:rPr>
        <w:t>th</w:t>
      </w:r>
      <w:r>
        <w:t xml:space="preserve"> ed.). London: Oxford University Press.</w:t>
      </w:r>
    </w:p>
    <w:p w14:paraId="280BDBFC" w14:textId="1E873DF9" w:rsidR="000B6554" w:rsidRPr="000B6554" w:rsidRDefault="000B6554" w:rsidP="000D7C39">
      <w:pPr>
        <w:spacing w:after="0"/>
        <w:ind w:left="720" w:hanging="720"/>
        <w:rPr>
          <w:rFonts w:eastAsia="Times New Roman" w:cs="Times New Roman"/>
          <w:szCs w:val="24"/>
          <w:lang w:eastAsia="en-GB"/>
        </w:rPr>
      </w:pPr>
      <w:bookmarkStart w:id="478" w:name="_Hlk166104601"/>
      <w:r w:rsidRPr="000B6554">
        <w:rPr>
          <w:rFonts w:eastAsia="Times New Roman" w:cs="Times New Roman"/>
          <w:szCs w:val="24"/>
          <w:lang w:eastAsia="en-GB"/>
        </w:rPr>
        <w:t xml:space="preserve">Cadman, T., </w:t>
      </w:r>
      <w:proofErr w:type="spellStart"/>
      <w:r w:rsidRPr="000B6554">
        <w:rPr>
          <w:rFonts w:eastAsia="Times New Roman" w:cs="Times New Roman"/>
          <w:szCs w:val="24"/>
          <w:lang w:eastAsia="en-GB"/>
        </w:rPr>
        <w:t>Maraseni</w:t>
      </w:r>
      <w:proofErr w:type="spellEnd"/>
      <w:r w:rsidRPr="000B6554">
        <w:rPr>
          <w:rFonts w:eastAsia="Times New Roman" w:cs="Times New Roman"/>
          <w:szCs w:val="24"/>
          <w:lang w:eastAsia="en-GB"/>
        </w:rPr>
        <w:t xml:space="preserve">, T., Koju, U. A., Shrestha, A., &amp; Karki, S. (2023). Forest governance in Nepal concerning sustainable community forest management and red panda conservation. </w:t>
      </w:r>
      <w:r w:rsidRPr="000B6554">
        <w:rPr>
          <w:rFonts w:eastAsia="Times New Roman" w:cs="Times New Roman"/>
          <w:i/>
          <w:iCs/>
          <w:szCs w:val="24"/>
          <w:lang w:eastAsia="en-GB"/>
        </w:rPr>
        <w:t>Land</w:t>
      </w:r>
      <w:r w:rsidRPr="000B6554">
        <w:rPr>
          <w:rFonts w:eastAsia="Times New Roman" w:cs="Times New Roman"/>
          <w:szCs w:val="24"/>
          <w:lang w:eastAsia="en-GB"/>
        </w:rPr>
        <w:t xml:space="preserve">, </w:t>
      </w:r>
      <w:r w:rsidRPr="000B6554">
        <w:rPr>
          <w:rFonts w:eastAsia="Times New Roman" w:cs="Times New Roman"/>
          <w:i/>
          <w:iCs/>
          <w:szCs w:val="24"/>
          <w:lang w:eastAsia="en-GB"/>
        </w:rPr>
        <w:t>12</w:t>
      </w:r>
      <w:r w:rsidRPr="000B6554">
        <w:rPr>
          <w:rFonts w:eastAsia="Times New Roman" w:cs="Times New Roman"/>
          <w:szCs w:val="24"/>
          <w:lang w:eastAsia="en-GB"/>
        </w:rPr>
        <w:t>(2), 493</w:t>
      </w:r>
      <w:r>
        <w:rPr>
          <w:rFonts w:eastAsia="Times New Roman" w:cs="Times New Roman"/>
          <w:szCs w:val="24"/>
          <w:lang w:eastAsia="en-GB"/>
        </w:rPr>
        <w:t>-516</w:t>
      </w:r>
      <w:r w:rsidRPr="000B6554">
        <w:rPr>
          <w:rFonts w:eastAsia="Times New Roman" w:cs="Times New Roman"/>
          <w:szCs w:val="24"/>
          <w:lang w:eastAsia="en-GB"/>
        </w:rPr>
        <w:t>.</w:t>
      </w:r>
    </w:p>
    <w:p w14:paraId="42EED648" w14:textId="45614D3A" w:rsidR="003334F3" w:rsidRPr="007B7AE6" w:rsidRDefault="003334F3" w:rsidP="000D7C39">
      <w:pPr>
        <w:spacing w:after="0"/>
        <w:ind w:left="720" w:hanging="720"/>
        <w:rPr>
          <w:rFonts w:eastAsia="Times New Roman" w:cs="Times New Roman"/>
          <w:szCs w:val="24"/>
          <w:lang w:eastAsia="en-GB"/>
        </w:rPr>
      </w:pPr>
      <w:r w:rsidRPr="007B7AE6">
        <w:rPr>
          <w:rFonts w:eastAsia="Times New Roman" w:cs="Times New Roman"/>
          <w:szCs w:val="24"/>
          <w:lang w:eastAsia="en-GB"/>
        </w:rPr>
        <w:t xml:space="preserve">Calvert, R. (1995). Rational actors, equilibrium, and social institutions. </w:t>
      </w:r>
      <w:r w:rsidRPr="007B7AE6">
        <w:rPr>
          <w:rFonts w:eastAsia="Times New Roman" w:cs="Times New Roman"/>
          <w:i/>
          <w:iCs/>
          <w:szCs w:val="24"/>
          <w:lang w:eastAsia="en-GB"/>
        </w:rPr>
        <w:t xml:space="preserve">Explaining </w:t>
      </w:r>
      <w:r w:rsidR="00220EBB">
        <w:rPr>
          <w:rFonts w:eastAsia="Times New Roman" w:cs="Times New Roman"/>
          <w:i/>
          <w:iCs/>
          <w:szCs w:val="24"/>
          <w:lang w:eastAsia="en-GB"/>
        </w:rPr>
        <w:t>S</w:t>
      </w:r>
      <w:r w:rsidRPr="007B7AE6">
        <w:rPr>
          <w:rFonts w:eastAsia="Times New Roman" w:cs="Times New Roman"/>
          <w:i/>
          <w:iCs/>
          <w:szCs w:val="24"/>
          <w:lang w:eastAsia="en-GB"/>
        </w:rPr>
        <w:t xml:space="preserve">ocial </w:t>
      </w:r>
      <w:r w:rsidR="00220EBB">
        <w:rPr>
          <w:rFonts w:eastAsia="Times New Roman" w:cs="Times New Roman"/>
          <w:i/>
          <w:iCs/>
          <w:szCs w:val="24"/>
          <w:lang w:eastAsia="en-GB"/>
        </w:rPr>
        <w:t>I</w:t>
      </w:r>
      <w:r w:rsidRPr="007B7AE6">
        <w:rPr>
          <w:rFonts w:eastAsia="Times New Roman" w:cs="Times New Roman"/>
          <w:i/>
          <w:iCs/>
          <w:szCs w:val="24"/>
          <w:lang w:eastAsia="en-GB"/>
        </w:rPr>
        <w:t>nstitutions</w:t>
      </w:r>
      <w:r w:rsidRPr="007B7AE6">
        <w:rPr>
          <w:rFonts w:eastAsia="Times New Roman" w:cs="Times New Roman"/>
          <w:szCs w:val="24"/>
          <w:lang w:eastAsia="en-GB"/>
        </w:rPr>
        <w:t>, 57-93.</w:t>
      </w:r>
      <w:r>
        <w:rPr>
          <w:rFonts w:eastAsia="Times New Roman" w:cs="Times New Roman"/>
          <w:szCs w:val="24"/>
          <w:lang w:eastAsia="en-GB"/>
        </w:rPr>
        <w:t xml:space="preserve"> The University of Michigan Press. USA.</w:t>
      </w:r>
    </w:p>
    <w:p w14:paraId="25AABFDF" w14:textId="1C3277D4" w:rsidR="00D1664B" w:rsidRPr="000D7C39" w:rsidRDefault="0031139D" w:rsidP="000D7C39">
      <w:pPr>
        <w:pStyle w:val="BodyText"/>
        <w:spacing w:after="0"/>
        <w:ind w:left="720" w:hanging="720"/>
        <w:rPr>
          <w:i/>
          <w:iCs/>
        </w:rPr>
      </w:pPr>
      <w:r>
        <w:t xml:space="preserve">Carlsson, L. </w:t>
      </w:r>
      <w:r w:rsidR="002A5E1F">
        <w:t>(</w:t>
      </w:r>
      <w:r>
        <w:t>2000</w:t>
      </w:r>
      <w:r w:rsidR="002A5E1F">
        <w:t>)</w:t>
      </w:r>
      <w:r>
        <w:t xml:space="preserve">. Policy networks as collective action. </w:t>
      </w:r>
      <w:r w:rsidR="00D1664B">
        <w:rPr>
          <w:i/>
          <w:iCs/>
        </w:rPr>
        <w:t xml:space="preserve">Policy Studies </w:t>
      </w:r>
      <w:r w:rsidRPr="0031139D">
        <w:rPr>
          <w:i/>
          <w:iCs/>
        </w:rPr>
        <w:t>Journal</w:t>
      </w:r>
      <w:r>
        <w:rPr>
          <w:i/>
          <w:iCs/>
        </w:rPr>
        <w:t>,</w:t>
      </w:r>
      <w:r>
        <w:t xml:space="preserve"> 28 (3), 502–520.</w:t>
      </w:r>
      <w:bookmarkEnd w:id="478"/>
    </w:p>
    <w:p w14:paraId="6D78FF11" w14:textId="228F91AD" w:rsidR="003334F3" w:rsidRPr="0075214C" w:rsidRDefault="003334F3" w:rsidP="000D7C39">
      <w:pPr>
        <w:spacing w:after="0"/>
        <w:ind w:left="720" w:hanging="720"/>
        <w:rPr>
          <w:rFonts w:eastAsia="Times New Roman" w:cs="Times New Roman"/>
          <w:szCs w:val="24"/>
          <w:lang w:eastAsia="en-GB"/>
        </w:rPr>
      </w:pPr>
      <w:proofErr w:type="spellStart"/>
      <w:r w:rsidRPr="0075214C">
        <w:rPr>
          <w:rFonts w:eastAsia="Times New Roman" w:cs="Times New Roman"/>
          <w:szCs w:val="24"/>
          <w:lang w:eastAsia="en-GB"/>
        </w:rPr>
        <w:t>Cashore</w:t>
      </w:r>
      <w:proofErr w:type="spellEnd"/>
      <w:r w:rsidRPr="0075214C">
        <w:rPr>
          <w:rFonts w:eastAsia="Times New Roman" w:cs="Times New Roman"/>
          <w:szCs w:val="24"/>
          <w:lang w:eastAsia="en-GB"/>
        </w:rPr>
        <w:t xml:space="preserve">, B., Bernstein, S., Humphreys, D., </w:t>
      </w:r>
      <w:proofErr w:type="spellStart"/>
      <w:r w:rsidRPr="0075214C">
        <w:rPr>
          <w:rFonts w:eastAsia="Times New Roman" w:cs="Times New Roman"/>
          <w:szCs w:val="24"/>
          <w:lang w:eastAsia="en-GB"/>
        </w:rPr>
        <w:t>Visseren-Hamakers</w:t>
      </w:r>
      <w:proofErr w:type="spellEnd"/>
      <w:r w:rsidRPr="0075214C">
        <w:rPr>
          <w:rFonts w:eastAsia="Times New Roman" w:cs="Times New Roman"/>
          <w:szCs w:val="24"/>
          <w:lang w:eastAsia="en-GB"/>
        </w:rPr>
        <w:t xml:space="preserve">, I., &amp; </w:t>
      </w:r>
      <w:proofErr w:type="spellStart"/>
      <w:r w:rsidRPr="0075214C">
        <w:rPr>
          <w:rFonts w:eastAsia="Times New Roman" w:cs="Times New Roman"/>
          <w:szCs w:val="24"/>
          <w:lang w:eastAsia="en-GB"/>
        </w:rPr>
        <w:t>Rietig</w:t>
      </w:r>
      <w:proofErr w:type="spellEnd"/>
      <w:r w:rsidRPr="0075214C">
        <w:rPr>
          <w:rFonts w:eastAsia="Times New Roman" w:cs="Times New Roman"/>
          <w:szCs w:val="24"/>
          <w:lang w:eastAsia="en-GB"/>
        </w:rPr>
        <w:t xml:space="preserve">, K. (2019). Designing stakeholder learning dialogues for effective global governance. </w:t>
      </w:r>
      <w:r w:rsidRPr="0075214C">
        <w:rPr>
          <w:rFonts w:eastAsia="Times New Roman" w:cs="Times New Roman"/>
          <w:i/>
          <w:iCs/>
          <w:szCs w:val="24"/>
          <w:lang w:eastAsia="en-GB"/>
        </w:rPr>
        <w:t>Policy and Society</w:t>
      </w:r>
      <w:r w:rsidRPr="0075214C">
        <w:rPr>
          <w:rFonts w:eastAsia="Times New Roman" w:cs="Times New Roman"/>
          <w:szCs w:val="24"/>
          <w:lang w:eastAsia="en-GB"/>
        </w:rPr>
        <w:t xml:space="preserve">, </w:t>
      </w:r>
      <w:r w:rsidRPr="0075214C">
        <w:rPr>
          <w:rFonts w:eastAsia="Times New Roman" w:cs="Times New Roman"/>
          <w:i/>
          <w:iCs/>
          <w:szCs w:val="24"/>
          <w:lang w:eastAsia="en-GB"/>
        </w:rPr>
        <w:t>38</w:t>
      </w:r>
      <w:r w:rsidRPr="0075214C">
        <w:rPr>
          <w:rFonts w:eastAsia="Times New Roman" w:cs="Times New Roman"/>
          <w:szCs w:val="24"/>
          <w:lang w:eastAsia="en-GB"/>
        </w:rPr>
        <w:t>(1), 118-147.</w:t>
      </w:r>
    </w:p>
    <w:p w14:paraId="17C85CA3" w14:textId="69B5A37B" w:rsidR="00D27874" w:rsidRPr="00D15027" w:rsidRDefault="00D27874" w:rsidP="000D7C39">
      <w:pPr>
        <w:pStyle w:val="BodyText"/>
        <w:spacing w:after="0"/>
        <w:ind w:left="720" w:hanging="720"/>
        <w:rPr>
          <w:i/>
          <w:iCs/>
          <w:color w:val="212121"/>
          <w:szCs w:val="24"/>
        </w:rPr>
      </w:pPr>
      <w:r w:rsidRPr="00E45BDD">
        <w:rPr>
          <w:color w:val="212121"/>
          <w:szCs w:val="24"/>
        </w:rPr>
        <w:lastRenderedPageBreak/>
        <w:t xml:space="preserve">Carter, J., &amp; Gronow, J. (2005). </w:t>
      </w:r>
      <w:r w:rsidRPr="00E45BDD">
        <w:rPr>
          <w:i/>
          <w:iCs/>
          <w:color w:val="212121"/>
          <w:szCs w:val="24"/>
        </w:rPr>
        <w:t xml:space="preserve">Recent experience in collaborative forest management: a </w:t>
      </w:r>
      <w:r>
        <w:rPr>
          <w:i/>
          <w:iCs/>
          <w:color w:val="212121"/>
          <w:szCs w:val="24"/>
        </w:rPr>
        <w:t>r</w:t>
      </w:r>
      <w:r w:rsidRPr="00E45BDD">
        <w:rPr>
          <w:i/>
          <w:iCs/>
          <w:color w:val="212121"/>
          <w:szCs w:val="24"/>
        </w:rPr>
        <w:t xml:space="preserve">eview paper </w:t>
      </w:r>
      <w:r w:rsidRPr="00E45BDD">
        <w:rPr>
          <w:color w:val="212121"/>
          <w:szCs w:val="24"/>
        </w:rPr>
        <w:t>(</w:t>
      </w:r>
      <w:r w:rsidRPr="009B7B51">
        <w:rPr>
          <w:i/>
          <w:iCs/>
          <w:color w:val="212121"/>
          <w:szCs w:val="24"/>
        </w:rPr>
        <w:t>No. CIFOR Occasional Paper no. 43, pp. v-48p</w:t>
      </w:r>
      <w:r w:rsidRPr="00E45BDD">
        <w:rPr>
          <w:color w:val="212121"/>
          <w:szCs w:val="24"/>
        </w:rPr>
        <w:t>). CIFOR, Bogor, Indonesia</w:t>
      </w:r>
      <w:r>
        <w:rPr>
          <w:color w:val="212121"/>
          <w:sz w:val="23"/>
          <w:szCs w:val="23"/>
        </w:rPr>
        <w:t>.</w:t>
      </w:r>
    </w:p>
    <w:p w14:paraId="7C969AB3" w14:textId="77777777" w:rsidR="00D27874" w:rsidRPr="00D15027" w:rsidRDefault="00D27874" w:rsidP="000D7C39">
      <w:pPr>
        <w:spacing w:after="0"/>
        <w:ind w:left="720" w:hanging="720"/>
      </w:pPr>
      <w:r>
        <w:t xml:space="preserve">Cavanagh, S. (1997) Content Analysis: Concepts, Methods and Applications. </w:t>
      </w:r>
      <w:r w:rsidRPr="006A37D3">
        <w:rPr>
          <w:i/>
          <w:iCs/>
        </w:rPr>
        <w:t>Nurse</w:t>
      </w:r>
      <w:r w:rsidR="00AF6C98">
        <w:rPr>
          <w:i/>
          <w:iCs/>
        </w:rPr>
        <w:t xml:space="preserve"> </w:t>
      </w:r>
      <w:r w:rsidRPr="006A37D3">
        <w:rPr>
          <w:i/>
          <w:iCs/>
        </w:rPr>
        <w:t xml:space="preserve">Researcher, 4, 5-13. </w:t>
      </w:r>
    </w:p>
    <w:p w14:paraId="38B9BBCA" w14:textId="77777777" w:rsidR="00D27874" w:rsidRDefault="00D27874" w:rsidP="000D7C39">
      <w:pPr>
        <w:spacing w:after="0"/>
        <w:ind w:left="720" w:hanging="720"/>
        <w:rPr>
          <w:szCs w:val="24"/>
        </w:rPr>
      </w:pPr>
      <w:bookmarkStart w:id="479" w:name="_Hlk166104644"/>
      <w:r w:rsidRPr="00193626">
        <w:rPr>
          <w:szCs w:val="24"/>
        </w:rPr>
        <w:t xml:space="preserve">Chao, S. </w:t>
      </w:r>
      <w:r>
        <w:rPr>
          <w:szCs w:val="24"/>
        </w:rPr>
        <w:t>(</w:t>
      </w:r>
      <w:r w:rsidRPr="00193626">
        <w:rPr>
          <w:szCs w:val="24"/>
        </w:rPr>
        <w:t>2012</w:t>
      </w:r>
      <w:r>
        <w:rPr>
          <w:szCs w:val="24"/>
        </w:rPr>
        <w:t>)</w:t>
      </w:r>
      <w:r w:rsidRPr="00193626">
        <w:rPr>
          <w:szCs w:val="24"/>
        </w:rPr>
        <w:t>. Forest peoples: numbers across the world. Forest</w:t>
      </w:r>
      <w:r>
        <w:rPr>
          <w:szCs w:val="24"/>
        </w:rPr>
        <w:t xml:space="preserve"> </w:t>
      </w:r>
      <w:r w:rsidRPr="00193626">
        <w:rPr>
          <w:szCs w:val="24"/>
        </w:rPr>
        <w:t>Peoples Programme, Moreton-in-Marsh, UK. [online]</w:t>
      </w:r>
    </w:p>
    <w:bookmarkEnd w:id="479"/>
    <w:p w14:paraId="1CF06217" w14:textId="78D44E25" w:rsidR="006238E1" w:rsidRDefault="006238E1" w:rsidP="000D7C39">
      <w:pPr>
        <w:spacing w:after="0"/>
        <w:ind w:left="720" w:hanging="720"/>
        <w:rPr>
          <w:rFonts w:eastAsia="Times New Roman" w:cs="Times New Roman"/>
          <w:szCs w:val="24"/>
          <w:lang w:eastAsia="en-GB"/>
        </w:rPr>
      </w:pPr>
      <w:r w:rsidRPr="006238E1">
        <w:rPr>
          <w:rFonts w:eastAsia="Times New Roman" w:cs="Times New Roman"/>
          <w:szCs w:val="24"/>
          <w:lang w:eastAsia="en-GB"/>
        </w:rPr>
        <w:t xml:space="preserve">Charnley, S., Carothers, C., Satterfield, T., Levine, A., Poe, M. R., Norman, K., ... &amp; Martin, K. S. (2017). Evaluating the best available social science for natural resource management decision-making. </w:t>
      </w:r>
      <w:r w:rsidRPr="006238E1">
        <w:rPr>
          <w:rFonts w:eastAsia="Times New Roman" w:cs="Times New Roman"/>
          <w:i/>
          <w:iCs/>
          <w:szCs w:val="24"/>
          <w:lang w:eastAsia="en-GB"/>
        </w:rPr>
        <w:t>Environmental Science &amp; Policy</w:t>
      </w:r>
      <w:r w:rsidRPr="006238E1">
        <w:rPr>
          <w:rFonts w:eastAsia="Times New Roman" w:cs="Times New Roman"/>
          <w:szCs w:val="24"/>
          <w:lang w:eastAsia="en-GB"/>
        </w:rPr>
        <w:t xml:space="preserve">, </w:t>
      </w:r>
      <w:r w:rsidRPr="006238E1">
        <w:rPr>
          <w:rFonts w:eastAsia="Times New Roman" w:cs="Times New Roman"/>
          <w:i/>
          <w:iCs/>
          <w:szCs w:val="24"/>
          <w:lang w:eastAsia="en-GB"/>
        </w:rPr>
        <w:t>73</w:t>
      </w:r>
      <w:r w:rsidRPr="006238E1">
        <w:rPr>
          <w:rFonts w:eastAsia="Times New Roman" w:cs="Times New Roman"/>
          <w:szCs w:val="24"/>
          <w:lang w:eastAsia="en-GB"/>
        </w:rPr>
        <w:t>, 80-88.</w:t>
      </w:r>
    </w:p>
    <w:p w14:paraId="2C47B333" w14:textId="03C6D968" w:rsidR="00E903B8" w:rsidRPr="00E903B8" w:rsidRDefault="00E903B8" w:rsidP="000D7C39">
      <w:pPr>
        <w:spacing w:after="0"/>
        <w:ind w:left="720" w:hanging="720"/>
        <w:rPr>
          <w:rFonts w:eastAsia="Times New Roman" w:cs="Times New Roman"/>
          <w:szCs w:val="24"/>
          <w:lang w:eastAsia="en-GB"/>
        </w:rPr>
      </w:pPr>
      <w:r w:rsidRPr="00E903B8">
        <w:rPr>
          <w:rFonts w:eastAsia="Times New Roman" w:cs="Times New Roman"/>
          <w:szCs w:val="24"/>
          <w:lang w:eastAsia="en-GB"/>
        </w:rPr>
        <w:t xml:space="preserve">Charnley, S., McLain, R. J., &amp; Poe, M. R. (2018). Natural resource access rights and wrongs: Nontimber forest products gathering in urban environments. </w:t>
      </w:r>
      <w:r w:rsidRPr="00E903B8">
        <w:rPr>
          <w:rFonts w:eastAsia="Times New Roman" w:cs="Times New Roman"/>
          <w:i/>
          <w:iCs/>
          <w:szCs w:val="24"/>
          <w:lang w:eastAsia="en-GB"/>
        </w:rPr>
        <w:t>Society &amp; Natural Resources</w:t>
      </w:r>
      <w:r w:rsidRPr="00E903B8">
        <w:rPr>
          <w:rFonts w:eastAsia="Times New Roman" w:cs="Times New Roman"/>
          <w:szCs w:val="24"/>
          <w:lang w:eastAsia="en-GB"/>
        </w:rPr>
        <w:t xml:space="preserve">, </w:t>
      </w:r>
      <w:r w:rsidRPr="00E903B8">
        <w:rPr>
          <w:rFonts w:eastAsia="Times New Roman" w:cs="Times New Roman"/>
          <w:i/>
          <w:iCs/>
          <w:szCs w:val="24"/>
          <w:lang w:eastAsia="en-GB"/>
        </w:rPr>
        <w:t>31</w:t>
      </w:r>
      <w:r w:rsidRPr="00E903B8">
        <w:rPr>
          <w:rFonts w:eastAsia="Times New Roman" w:cs="Times New Roman"/>
          <w:szCs w:val="24"/>
          <w:lang w:eastAsia="en-GB"/>
        </w:rPr>
        <w:t>(6), 734-750.</w:t>
      </w:r>
    </w:p>
    <w:p w14:paraId="7B5AFAF5" w14:textId="7E8F16E9" w:rsidR="00CB4276" w:rsidRPr="00CB4276" w:rsidRDefault="00CB4276" w:rsidP="000D7C39">
      <w:pPr>
        <w:spacing w:after="0"/>
        <w:ind w:left="720" w:hanging="720"/>
        <w:rPr>
          <w:rFonts w:eastAsia="Times New Roman" w:cs="Times New Roman"/>
          <w:szCs w:val="24"/>
          <w:lang w:eastAsia="en-GB"/>
        </w:rPr>
      </w:pPr>
      <w:r w:rsidRPr="00CB4276">
        <w:rPr>
          <w:rFonts w:eastAsia="Times New Roman" w:cs="Times New Roman"/>
          <w:szCs w:val="24"/>
          <w:lang w:eastAsia="en-GB"/>
        </w:rPr>
        <w:t xml:space="preserve">Child, B., &amp; Barnes, G. (2010). The conceptual evolution and practice of community-based natural resource management in southern Africa: past, present and future. </w:t>
      </w:r>
      <w:r w:rsidRPr="00CB4276">
        <w:rPr>
          <w:rFonts w:eastAsia="Times New Roman" w:cs="Times New Roman"/>
          <w:i/>
          <w:iCs/>
          <w:szCs w:val="24"/>
          <w:lang w:eastAsia="en-GB"/>
        </w:rPr>
        <w:t>Environmental Conservation</w:t>
      </w:r>
      <w:r w:rsidRPr="00CB4276">
        <w:rPr>
          <w:rFonts w:eastAsia="Times New Roman" w:cs="Times New Roman"/>
          <w:szCs w:val="24"/>
          <w:lang w:eastAsia="en-GB"/>
        </w:rPr>
        <w:t xml:space="preserve">, </w:t>
      </w:r>
      <w:r w:rsidRPr="00CB4276">
        <w:rPr>
          <w:rFonts w:eastAsia="Times New Roman" w:cs="Times New Roman"/>
          <w:i/>
          <w:iCs/>
          <w:szCs w:val="24"/>
          <w:lang w:eastAsia="en-GB"/>
        </w:rPr>
        <w:t>37</w:t>
      </w:r>
      <w:r w:rsidRPr="00CB4276">
        <w:rPr>
          <w:rFonts w:eastAsia="Times New Roman" w:cs="Times New Roman"/>
          <w:szCs w:val="24"/>
          <w:lang w:eastAsia="en-GB"/>
        </w:rPr>
        <w:t>(3), 283-295.</w:t>
      </w:r>
    </w:p>
    <w:p w14:paraId="363C1E18" w14:textId="77777777" w:rsidR="00D27874" w:rsidRDefault="00D27874" w:rsidP="000D7C39">
      <w:pPr>
        <w:spacing w:after="0"/>
        <w:ind w:left="720" w:hanging="720"/>
      </w:pPr>
      <w:r w:rsidRPr="00756BC8">
        <w:t xml:space="preserve">Chiwaya, C., &amp; </w:t>
      </w:r>
      <w:proofErr w:type="spellStart"/>
      <w:r w:rsidRPr="00756BC8">
        <w:t>Mzuza</w:t>
      </w:r>
      <w:proofErr w:type="spellEnd"/>
      <w:r w:rsidRPr="00756BC8">
        <w:t>, M. K. (2022). Factors I</w:t>
      </w:r>
      <w:r w:rsidR="00D15027">
        <w:t xml:space="preserve">nfluencing Community </w:t>
      </w:r>
      <w:r w:rsidRPr="00756BC8">
        <w:t xml:space="preserve">Participation in forestry Management in </w:t>
      </w:r>
      <w:proofErr w:type="spellStart"/>
      <w:r w:rsidRPr="00756BC8">
        <w:t>Chiradzulu</w:t>
      </w:r>
      <w:proofErr w:type="spellEnd"/>
      <w:r w:rsidRPr="00756BC8">
        <w:t xml:space="preserve"> District, Malawi. </w:t>
      </w:r>
      <w:r w:rsidRPr="009B7B51">
        <w:rPr>
          <w:i/>
          <w:iCs/>
        </w:rPr>
        <w:t>Open Journal of Forestry</w:t>
      </w:r>
      <w:r w:rsidRPr="00756BC8">
        <w:t xml:space="preserve">, 12, 177-184. </w:t>
      </w:r>
      <w:hyperlink r:id="rId40" w:history="1">
        <w:r w:rsidRPr="00756BC8">
          <w:rPr>
            <w:rStyle w:val="Hyperlink"/>
            <w:color w:val="auto"/>
            <w:u w:val="none"/>
          </w:rPr>
          <w:t>https://doi.org/10.4236/ojf.2</w:t>
        </w:r>
      </w:hyperlink>
      <w:r w:rsidRPr="00756BC8">
        <w:t xml:space="preserve"> </w:t>
      </w:r>
    </w:p>
    <w:p w14:paraId="3B5B6093" w14:textId="77777777" w:rsidR="006F7A7C" w:rsidRDefault="00D27874" w:rsidP="000D7C39">
      <w:pPr>
        <w:spacing w:after="0"/>
        <w:ind w:left="720" w:hanging="720"/>
        <w:rPr>
          <w:rFonts w:cs="Times New Roman"/>
          <w:szCs w:val="24"/>
        </w:rPr>
      </w:pPr>
      <w:bookmarkStart w:id="480" w:name="_Hlk166104705"/>
      <w:r w:rsidRPr="0080654F">
        <w:rPr>
          <w:rFonts w:cs="Times New Roman"/>
          <w:szCs w:val="24"/>
        </w:rPr>
        <w:t xml:space="preserve">Cinner, J. E., McClanahan, T. R., MacNeil, M. A., Graham, N. A. J., Daw, T. </w:t>
      </w:r>
    </w:p>
    <w:p w14:paraId="3B94C9C9" w14:textId="77777777" w:rsidR="00D27874" w:rsidRDefault="0036368F" w:rsidP="000D7C39">
      <w:pPr>
        <w:spacing w:after="0"/>
        <w:ind w:left="720" w:hanging="720"/>
        <w:rPr>
          <w:rFonts w:cs="Times New Roman"/>
          <w:szCs w:val="24"/>
        </w:rPr>
      </w:pPr>
      <w:r>
        <w:rPr>
          <w:rFonts w:cs="Times New Roman"/>
          <w:szCs w:val="24"/>
        </w:rPr>
        <w:tab/>
      </w:r>
      <w:r w:rsidR="00D27874" w:rsidRPr="0080654F">
        <w:rPr>
          <w:rFonts w:cs="Times New Roman"/>
          <w:szCs w:val="24"/>
        </w:rPr>
        <w:t xml:space="preserve">M., </w:t>
      </w:r>
      <w:proofErr w:type="spellStart"/>
      <w:r w:rsidR="00D27874" w:rsidRPr="0080654F">
        <w:rPr>
          <w:rFonts w:cs="Times New Roman"/>
          <w:szCs w:val="24"/>
        </w:rPr>
        <w:t>Mukminin</w:t>
      </w:r>
      <w:proofErr w:type="spellEnd"/>
      <w:r w:rsidR="00D27874" w:rsidRPr="0080654F">
        <w:rPr>
          <w:rFonts w:cs="Times New Roman"/>
          <w:szCs w:val="24"/>
        </w:rPr>
        <w:t xml:space="preserve">, A., </w:t>
      </w:r>
      <w:r w:rsidR="00D27874">
        <w:rPr>
          <w:rFonts w:cs="Times New Roman"/>
          <w:szCs w:val="24"/>
        </w:rPr>
        <w:t xml:space="preserve">&amp; </w:t>
      </w:r>
      <w:proofErr w:type="spellStart"/>
      <w:r w:rsidR="00D27874" w:rsidRPr="0080654F">
        <w:rPr>
          <w:rFonts w:cs="Times New Roman"/>
          <w:szCs w:val="24"/>
        </w:rPr>
        <w:t>Kuange</w:t>
      </w:r>
      <w:proofErr w:type="spellEnd"/>
      <w:r w:rsidR="00D27874" w:rsidRPr="0080654F">
        <w:rPr>
          <w:rFonts w:cs="Times New Roman"/>
          <w:szCs w:val="24"/>
        </w:rPr>
        <w:t xml:space="preserve">, J. (2012). </w:t>
      </w:r>
      <w:proofErr w:type="spellStart"/>
      <w:r w:rsidR="00D27874" w:rsidRPr="009B7B51">
        <w:rPr>
          <w:rFonts w:cs="Times New Roman"/>
          <w:i/>
          <w:iCs/>
          <w:szCs w:val="24"/>
        </w:rPr>
        <w:t>Comanagement</w:t>
      </w:r>
      <w:proofErr w:type="spellEnd"/>
      <w:r w:rsidR="00D27874" w:rsidRPr="009B7B51">
        <w:rPr>
          <w:rFonts w:cs="Times New Roman"/>
          <w:i/>
          <w:iCs/>
          <w:szCs w:val="24"/>
        </w:rPr>
        <w:t xml:space="preserve"> of coral reef social-ecological systems. Proceedings of the National Academy of Sciences of the United States of America,</w:t>
      </w:r>
      <w:r w:rsidR="00D27874" w:rsidRPr="0080654F">
        <w:rPr>
          <w:rFonts w:cs="Times New Roman"/>
          <w:szCs w:val="24"/>
        </w:rPr>
        <w:t xml:space="preserve"> 109, 5219–5222.</w:t>
      </w:r>
    </w:p>
    <w:bookmarkEnd w:id="480"/>
    <w:p w14:paraId="77ADEB08" w14:textId="3DC9D347" w:rsidR="008A756A" w:rsidRDefault="008A756A" w:rsidP="000D7C39">
      <w:pPr>
        <w:spacing w:after="0"/>
        <w:ind w:left="720" w:hanging="720"/>
        <w:rPr>
          <w:rFonts w:eastAsia="Times New Roman" w:cs="Times New Roman"/>
          <w:szCs w:val="24"/>
          <w:lang w:eastAsia="en-GB"/>
        </w:rPr>
      </w:pPr>
      <w:r w:rsidRPr="008A756A">
        <w:rPr>
          <w:rFonts w:eastAsia="Times New Roman" w:cs="Times New Roman"/>
          <w:szCs w:val="24"/>
          <w:lang w:eastAsia="en-GB"/>
        </w:rPr>
        <w:t xml:space="preserve">Cochran, W. G. (1977). </w:t>
      </w:r>
      <w:r w:rsidRPr="008A756A">
        <w:rPr>
          <w:rFonts w:eastAsia="Times New Roman" w:cs="Times New Roman"/>
          <w:i/>
          <w:iCs/>
          <w:szCs w:val="24"/>
          <w:lang w:eastAsia="en-GB"/>
        </w:rPr>
        <w:t>Sampling techniques</w:t>
      </w:r>
      <w:bookmarkStart w:id="481" w:name="_Hlk165479531"/>
      <w:r w:rsidR="00D1664B">
        <w:rPr>
          <w:rFonts w:eastAsia="Times New Roman" w:cs="Times New Roman"/>
          <w:szCs w:val="24"/>
          <w:lang w:eastAsia="en-GB"/>
        </w:rPr>
        <w:t>. John Wiley &amp; Sons.</w:t>
      </w:r>
    </w:p>
    <w:p w14:paraId="53A2EA61" w14:textId="77777777" w:rsidR="001E72B7" w:rsidRPr="00F21AB0" w:rsidRDefault="001E72B7" w:rsidP="001E72B7">
      <w:pPr>
        <w:spacing w:after="0"/>
        <w:ind w:left="720" w:hanging="720"/>
        <w:rPr>
          <w:rFonts w:eastAsia="Times New Roman" w:cs="Times New Roman"/>
        </w:rPr>
      </w:pPr>
      <w:r w:rsidRPr="00F21AB0">
        <w:rPr>
          <w:rFonts w:eastAsia="Times New Roman" w:cs="Times New Roman"/>
        </w:rPr>
        <w:lastRenderedPageBreak/>
        <w:t xml:space="preserve">Cole, D. H., Epstein, G., &amp; McGinnis, M. D. (2019). The utility of combining the IAD and SES frameworks. </w:t>
      </w:r>
      <w:r w:rsidRPr="00F21AB0">
        <w:rPr>
          <w:rFonts w:eastAsia="Times New Roman" w:cs="Times New Roman"/>
          <w:i/>
          <w:iCs/>
        </w:rPr>
        <w:t>International Journal of the Commons</w:t>
      </w:r>
      <w:r w:rsidRPr="00F21AB0">
        <w:rPr>
          <w:rFonts w:eastAsia="Times New Roman" w:cs="Times New Roman"/>
        </w:rPr>
        <w:t xml:space="preserve">, </w:t>
      </w:r>
      <w:r w:rsidRPr="00F21AB0">
        <w:rPr>
          <w:rFonts w:eastAsia="Times New Roman" w:cs="Times New Roman"/>
          <w:i/>
          <w:iCs/>
        </w:rPr>
        <w:t>13</w:t>
      </w:r>
      <w:r w:rsidRPr="00F21AB0">
        <w:rPr>
          <w:rFonts w:eastAsia="Times New Roman" w:cs="Times New Roman"/>
        </w:rPr>
        <w:t>(1)</w:t>
      </w:r>
      <w:r>
        <w:rPr>
          <w:rFonts w:eastAsia="Times New Roman" w:cs="Times New Roman"/>
        </w:rPr>
        <w:t xml:space="preserve">, </w:t>
      </w:r>
      <w:r w:rsidRPr="00B900F2">
        <w:rPr>
          <w:rFonts w:eastAsia="Times New Roman" w:cs="Times New Roman"/>
        </w:rPr>
        <w:t>244-275</w:t>
      </w:r>
      <w:r>
        <w:rPr>
          <w:rFonts w:eastAsia="Times New Roman" w:cs="Times New Roman"/>
        </w:rPr>
        <w:t>.</w:t>
      </w:r>
    </w:p>
    <w:p w14:paraId="560DEA73" w14:textId="7E28A0CE" w:rsidR="006F7A7C" w:rsidRDefault="00D27874" w:rsidP="000D7C39">
      <w:pPr>
        <w:spacing w:after="0"/>
        <w:ind w:left="720" w:hanging="720"/>
        <w:rPr>
          <w:rFonts w:eastAsia="Times New Roman" w:cs="Times New Roman"/>
          <w:szCs w:val="24"/>
          <w:lang w:eastAsia="en-GB"/>
        </w:rPr>
      </w:pPr>
      <w:bookmarkStart w:id="482" w:name="_Hlk195387393"/>
      <w:r w:rsidRPr="00A21180">
        <w:rPr>
          <w:rFonts w:eastAsia="Times New Roman" w:cs="Times New Roman"/>
          <w:szCs w:val="24"/>
          <w:lang w:eastAsia="en-GB"/>
        </w:rPr>
        <w:t>Colombo, S.</w:t>
      </w:r>
      <w:r>
        <w:rPr>
          <w:rFonts w:eastAsia="Times New Roman" w:cs="Times New Roman"/>
          <w:szCs w:val="24"/>
          <w:lang w:eastAsia="en-GB"/>
        </w:rPr>
        <w:t xml:space="preserve"> </w:t>
      </w:r>
      <w:r w:rsidRPr="00A21180">
        <w:rPr>
          <w:rFonts w:eastAsia="Times New Roman" w:cs="Times New Roman"/>
          <w:szCs w:val="24"/>
          <w:lang w:eastAsia="en-GB"/>
        </w:rPr>
        <w:t>J., Chen, J., Ter-Mikaelian, M.</w:t>
      </w:r>
      <w:r>
        <w:rPr>
          <w:rFonts w:eastAsia="Times New Roman" w:cs="Times New Roman"/>
          <w:szCs w:val="24"/>
          <w:lang w:eastAsia="en-GB"/>
        </w:rPr>
        <w:t xml:space="preserve"> </w:t>
      </w:r>
      <w:r w:rsidRPr="00A21180">
        <w:rPr>
          <w:rFonts w:eastAsia="Times New Roman" w:cs="Times New Roman"/>
          <w:szCs w:val="24"/>
          <w:lang w:eastAsia="en-GB"/>
        </w:rPr>
        <w:t xml:space="preserve">T., McKechnie, J., Elkie, P.C., </w:t>
      </w:r>
    </w:p>
    <w:p w14:paraId="6EE83416" w14:textId="77777777" w:rsidR="00D27874" w:rsidRDefault="0036368F" w:rsidP="000D7C39">
      <w:pPr>
        <w:spacing w:after="0"/>
        <w:ind w:left="720" w:hanging="720"/>
        <w:rPr>
          <w:rFonts w:eastAsia="Times New Roman" w:cs="Times New Roman"/>
          <w:szCs w:val="24"/>
          <w:lang w:eastAsia="en-GB"/>
        </w:rPr>
      </w:pPr>
      <w:r>
        <w:rPr>
          <w:rFonts w:eastAsia="Times New Roman" w:cs="Times New Roman"/>
          <w:szCs w:val="24"/>
          <w:lang w:eastAsia="en-GB"/>
        </w:rPr>
        <w:tab/>
      </w:r>
      <w:proofErr w:type="spellStart"/>
      <w:r w:rsidR="00D27874" w:rsidRPr="00A17D73">
        <w:rPr>
          <w:rFonts w:eastAsia="Times New Roman" w:cs="Times New Roman"/>
          <w:szCs w:val="24"/>
          <w:lang w:val="fr-FR" w:eastAsia="en-GB"/>
        </w:rPr>
        <w:t>MacLean</w:t>
      </w:r>
      <w:proofErr w:type="spellEnd"/>
      <w:r w:rsidR="00D27874" w:rsidRPr="00A17D73">
        <w:rPr>
          <w:rFonts w:eastAsia="Times New Roman" w:cs="Times New Roman"/>
          <w:szCs w:val="24"/>
          <w:lang w:val="fr-FR" w:eastAsia="en-GB"/>
        </w:rPr>
        <w:t xml:space="preserve">, H. L., et al. </w:t>
      </w:r>
      <w:r w:rsidR="00D27874">
        <w:rPr>
          <w:rFonts w:eastAsia="Times New Roman" w:cs="Times New Roman"/>
          <w:szCs w:val="24"/>
          <w:lang w:eastAsia="en-GB"/>
        </w:rPr>
        <w:t>(</w:t>
      </w:r>
      <w:r w:rsidR="00D27874" w:rsidRPr="00A21180">
        <w:rPr>
          <w:rFonts w:eastAsia="Times New Roman" w:cs="Times New Roman"/>
          <w:szCs w:val="24"/>
          <w:lang w:eastAsia="en-GB"/>
        </w:rPr>
        <w:t>2012</w:t>
      </w:r>
      <w:r w:rsidR="00D27874">
        <w:rPr>
          <w:rFonts w:eastAsia="Times New Roman" w:cs="Times New Roman"/>
          <w:szCs w:val="24"/>
          <w:lang w:eastAsia="en-GB"/>
        </w:rPr>
        <w:t>)</w:t>
      </w:r>
      <w:r w:rsidR="00D27874" w:rsidRPr="00A21180">
        <w:rPr>
          <w:rFonts w:eastAsia="Times New Roman" w:cs="Times New Roman"/>
          <w:szCs w:val="24"/>
          <w:lang w:eastAsia="en-GB"/>
        </w:rPr>
        <w:t xml:space="preserve">. Forest protection and forest harvest as strategies for ecological sustainability and climate change mitigation. </w:t>
      </w:r>
      <w:r w:rsidR="00D27874" w:rsidRPr="00AD4F30">
        <w:rPr>
          <w:rFonts w:eastAsia="Times New Roman" w:cs="Times New Roman"/>
          <w:i/>
          <w:iCs/>
          <w:szCs w:val="24"/>
          <w:lang w:eastAsia="en-GB"/>
        </w:rPr>
        <w:t>For. Ecol. Manage</w:t>
      </w:r>
      <w:r w:rsidR="00D27874" w:rsidRPr="00A21180">
        <w:rPr>
          <w:rFonts w:eastAsia="Times New Roman" w:cs="Times New Roman"/>
          <w:szCs w:val="24"/>
          <w:lang w:eastAsia="en-GB"/>
        </w:rPr>
        <w:t>.</w:t>
      </w:r>
      <w:r w:rsidR="009B7B51">
        <w:rPr>
          <w:rFonts w:eastAsia="Times New Roman" w:cs="Times New Roman"/>
          <w:szCs w:val="24"/>
          <w:lang w:eastAsia="en-GB"/>
        </w:rPr>
        <w:t>,</w:t>
      </w:r>
      <w:r w:rsidR="00D27874" w:rsidRPr="00A21180">
        <w:rPr>
          <w:rFonts w:eastAsia="Times New Roman" w:cs="Times New Roman"/>
          <w:szCs w:val="24"/>
          <w:lang w:eastAsia="en-GB"/>
        </w:rPr>
        <w:t xml:space="preserve"> 281, 140–151.</w:t>
      </w:r>
    </w:p>
    <w:bookmarkEnd w:id="482"/>
    <w:p w14:paraId="4609BFAD" w14:textId="77777777" w:rsidR="00D1664B" w:rsidRDefault="00D14CDD" w:rsidP="000D7C39">
      <w:pPr>
        <w:pStyle w:val="BodyText"/>
        <w:spacing w:after="0"/>
        <w:ind w:left="720" w:hanging="720"/>
      </w:pPr>
      <w:r>
        <w:t xml:space="preserve">Constitution of the Republic of Ghana, (1993). </w:t>
      </w:r>
    </w:p>
    <w:p w14:paraId="3C98C807" w14:textId="7F0B3419" w:rsidR="00D14CDD" w:rsidRPr="00D14CDD" w:rsidRDefault="006B5FFA" w:rsidP="000D7C39">
      <w:pPr>
        <w:pStyle w:val="BodyText"/>
        <w:spacing w:after="0"/>
        <w:ind w:left="720" w:firstLine="0"/>
      </w:pPr>
      <w:hyperlink r:id="rId41" w:history="1">
        <w:r w:rsidRPr="008726B6">
          <w:rPr>
            <w:rStyle w:val="Hyperlink"/>
          </w:rPr>
          <w:t>https://www.refworld.org/legal/legislation/natlegbod/1993/en/102652[2</w:t>
        </w:r>
      </w:hyperlink>
      <w:r w:rsidR="00D14CDD">
        <w:t>].</w:t>
      </w:r>
    </w:p>
    <w:p w14:paraId="60E1935C" w14:textId="6BDAA4A1" w:rsidR="00EE3C0C" w:rsidRPr="00EE3C0C" w:rsidRDefault="00EE3C0C" w:rsidP="000D7C39">
      <w:pPr>
        <w:spacing w:after="0"/>
        <w:ind w:left="720" w:hanging="720"/>
        <w:rPr>
          <w:rFonts w:eastAsia="Times New Roman" w:cs="Times New Roman"/>
          <w:szCs w:val="24"/>
          <w:lang w:eastAsia="en-GB"/>
        </w:rPr>
      </w:pPr>
      <w:r w:rsidRPr="00EE3C0C">
        <w:rPr>
          <w:rFonts w:eastAsia="Times New Roman" w:cs="Times New Roman"/>
          <w:szCs w:val="24"/>
          <w:lang w:eastAsia="en-GB"/>
        </w:rPr>
        <w:t xml:space="preserve">Cooke, B., &amp; Kothari, U. (2001). </w:t>
      </w:r>
      <w:r w:rsidRPr="00EE3C0C">
        <w:rPr>
          <w:rFonts w:eastAsia="Times New Roman" w:cs="Times New Roman"/>
          <w:i/>
          <w:iCs/>
          <w:szCs w:val="24"/>
          <w:lang w:eastAsia="en-GB"/>
        </w:rPr>
        <w:t>Participation: The new tyranny</w:t>
      </w:r>
      <w:r>
        <w:rPr>
          <w:rFonts w:eastAsia="Times New Roman" w:cs="Times New Roman"/>
          <w:i/>
          <w:iCs/>
          <w:szCs w:val="24"/>
          <w:lang w:eastAsia="en-GB"/>
        </w:rPr>
        <w:t>?</w:t>
      </w:r>
      <w:r w:rsidRPr="00EE3C0C">
        <w:rPr>
          <w:rFonts w:eastAsia="Times New Roman" w:cs="Times New Roman"/>
          <w:szCs w:val="24"/>
          <w:lang w:eastAsia="en-GB"/>
        </w:rPr>
        <w:t xml:space="preserve"> Zed books.</w:t>
      </w:r>
    </w:p>
    <w:bookmarkEnd w:id="481"/>
    <w:p w14:paraId="5D2328ED" w14:textId="77777777" w:rsidR="009B7B51" w:rsidRDefault="009B7B51" w:rsidP="000D7C39">
      <w:pPr>
        <w:spacing w:after="0"/>
        <w:ind w:left="720" w:hanging="720"/>
        <w:rPr>
          <w:rFonts w:eastAsia="Times New Roman" w:cs="Times New Roman"/>
          <w:szCs w:val="24"/>
          <w:lang w:eastAsia="en-GB"/>
        </w:rPr>
      </w:pPr>
      <w:r w:rsidRPr="006750C0">
        <w:rPr>
          <w:rFonts w:eastAsia="Times New Roman" w:cs="Times New Roman"/>
          <w:szCs w:val="24"/>
          <w:lang w:eastAsia="en-GB"/>
        </w:rPr>
        <w:t>Cooper, D. R.,</w:t>
      </w:r>
      <w:r>
        <w:rPr>
          <w:rFonts w:eastAsia="Times New Roman" w:cs="Times New Roman"/>
          <w:szCs w:val="24"/>
          <w:lang w:eastAsia="en-GB"/>
        </w:rPr>
        <w:t xml:space="preserve"> </w:t>
      </w:r>
      <w:r w:rsidRPr="006750C0">
        <w:rPr>
          <w:rFonts w:eastAsia="Times New Roman" w:cs="Times New Roman"/>
          <w:szCs w:val="24"/>
          <w:lang w:eastAsia="en-GB"/>
        </w:rPr>
        <w:t xml:space="preserve">&amp; Schindler, P. S. (2014). </w:t>
      </w:r>
      <w:r w:rsidRPr="009B7B51">
        <w:rPr>
          <w:rFonts w:eastAsia="Times New Roman" w:cs="Times New Roman"/>
          <w:i/>
          <w:iCs/>
          <w:szCs w:val="24"/>
          <w:lang w:eastAsia="en-GB"/>
        </w:rPr>
        <w:t>Business research methods</w:t>
      </w:r>
      <w:r w:rsidRPr="006750C0">
        <w:rPr>
          <w:rFonts w:eastAsia="Times New Roman" w:cs="Times New Roman"/>
          <w:szCs w:val="24"/>
          <w:lang w:eastAsia="en-GB"/>
        </w:rPr>
        <w:t xml:space="preserve"> (12</w:t>
      </w:r>
      <w:r w:rsidRPr="009B7B51">
        <w:rPr>
          <w:rFonts w:eastAsia="Times New Roman" w:cs="Times New Roman"/>
          <w:szCs w:val="24"/>
          <w:vertAlign w:val="superscript"/>
          <w:lang w:eastAsia="en-GB"/>
        </w:rPr>
        <w:t>th</w:t>
      </w:r>
      <w:r w:rsidRPr="006750C0">
        <w:rPr>
          <w:rFonts w:eastAsia="Times New Roman" w:cs="Times New Roman"/>
          <w:szCs w:val="24"/>
          <w:lang w:eastAsia="en-GB"/>
        </w:rPr>
        <w:t xml:space="preserve"> ed.). McGraw-Hill.</w:t>
      </w:r>
    </w:p>
    <w:p w14:paraId="28E7C6A1" w14:textId="6BD5616F" w:rsidR="00DD0592" w:rsidRPr="00D1664B" w:rsidRDefault="00DD0592" w:rsidP="000D7C39">
      <w:pPr>
        <w:spacing w:after="0"/>
        <w:ind w:left="720" w:hanging="720"/>
        <w:rPr>
          <w:i/>
          <w:iCs/>
        </w:rPr>
      </w:pPr>
      <w:r>
        <w:t>Commons, J.</w:t>
      </w:r>
      <w:r w:rsidR="006B5FFA">
        <w:t xml:space="preserve"> </w:t>
      </w:r>
      <w:r>
        <w:t xml:space="preserve">R. (1934) </w:t>
      </w:r>
      <w:r w:rsidRPr="00E72EBE">
        <w:rPr>
          <w:i/>
          <w:iCs/>
        </w:rPr>
        <w:t>Institutional Economics; Its Place in Political Economy</w:t>
      </w:r>
      <w:r>
        <w:t>. Macmillan, New York</w:t>
      </w:r>
    </w:p>
    <w:p w14:paraId="28E5EC88" w14:textId="77777777" w:rsidR="00F82B12" w:rsidRPr="00D15027" w:rsidRDefault="00F82B12" w:rsidP="000D7C39">
      <w:pPr>
        <w:pStyle w:val="NormalWeb"/>
        <w:spacing w:before="0" w:beforeAutospacing="0" w:after="0" w:afterAutospacing="0" w:line="480" w:lineRule="auto"/>
        <w:ind w:left="720" w:hanging="720"/>
        <w:jc w:val="both"/>
        <w:rPr>
          <w:i/>
          <w:iCs/>
        </w:rPr>
      </w:pPr>
      <w:r>
        <w:t xml:space="preserve">Cornwall, A. (2002). </w:t>
      </w:r>
      <w:r w:rsidRPr="00A74384">
        <w:rPr>
          <w:i/>
          <w:iCs/>
        </w:rPr>
        <w:t>Making Spaces, Changing Places: Situating Participation in Development.</w:t>
      </w:r>
      <w:r>
        <w:t xml:space="preserve"> IDS Working Paper 170, Brighton: IDS.</w:t>
      </w:r>
    </w:p>
    <w:p w14:paraId="42913FA3" w14:textId="7407DB07" w:rsidR="00A404B5" w:rsidRPr="00A404B5" w:rsidRDefault="00A404B5" w:rsidP="000D7C39">
      <w:pPr>
        <w:spacing w:after="0"/>
        <w:ind w:left="720" w:hanging="720"/>
        <w:rPr>
          <w:rFonts w:eastAsia="Times New Roman" w:cs="Times New Roman"/>
          <w:szCs w:val="24"/>
          <w:lang w:eastAsia="en-GB"/>
        </w:rPr>
      </w:pPr>
      <w:bookmarkStart w:id="483" w:name="_Hlk166104755"/>
      <w:r w:rsidRPr="00A404B5">
        <w:rPr>
          <w:rFonts w:eastAsia="Times New Roman" w:cs="Times New Roman"/>
          <w:szCs w:val="24"/>
          <w:lang w:eastAsia="en-GB"/>
        </w:rPr>
        <w:t xml:space="preserve">Cornwall, A., &amp; </w:t>
      </w:r>
      <w:proofErr w:type="spellStart"/>
      <w:r w:rsidRPr="00A404B5">
        <w:rPr>
          <w:rFonts w:eastAsia="Times New Roman" w:cs="Times New Roman"/>
          <w:szCs w:val="24"/>
          <w:lang w:eastAsia="en-GB"/>
        </w:rPr>
        <w:t>Gaventa</w:t>
      </w:r>
      <w:proofErr w:type="spellEnd"/>
      <w:r w:rsidRPr="00A404B5">
        <w:rPr>
          <w:rFonts w:eastAsia="Times New Roman" w:cs="Times New Roman"/>
          <w:szCs w:val="24"/>
          <w:lang w:eastAsia="en-GB"/>
        </w:rPr>
        <w:t xml:space="preserve">, J. (2001). Bridging the gap: citizenship, participation and accountability. </w:t>
      </w:r>
      <w:r w:rsidRPr="00A404B5">
        <w:rPr>
          <w:rFonts w:eastAsia="Times New Roman" w:cs="Times New Roman"/>
          <w:i/>
          <w:iCs/>
          <w:szCs w:val="24"/>
          <w:lang w:eastAsia="en-GB"/>
        </w:rPr>
        <w:t>PLA notes</w:t>
      </w:r>
      <w:r w:rsidRPr="00A404B5">
        <w:rPr>
          <w:rFonts w:eastAsia="Times New Roman" w:cs="Times New Roman"/>
          <w:szCs w:val="24"/>
          <w:lang w:eastAsia="en-GB"/>
        </w:rPr>
        <w:t xml:space="preserve">, </w:t>
      </w:r>
      <w:r w:rsidRPr="00A404B5">
        <w:rPr>
          <w:rFonts w:eastAsia="Times New Roman" w:cs="Times New Roman"/>
          <w:i/>
          <w:iCs/>
          <w:szCs w:val="24"/>
          <w:lang w:eastAsia="en-GB"/>
        </w:rPr>
        <w:t>40</w:t>
      </w:r>
      <w:r w:rsidRPr="00A404B5">
        <w:rPr>
          <w:rFonts w:eastAsia="Times New Roman" w:cs="Times New Roman"/>
          <w:szCs w:val="24"/>
          <w:lang w:eastAsia="en-GB"/>
        </w:rPr>
        <w:t>(2001), 32-35.</w:t>
      </w:r>
    </w:p>
    <w:p w14:paraId="17AFEE7B" w14:textId="2ED08291" w:rsidR="006F7A7C" w:rsidRDefault="00D27874" w:rsidP="000D7C39">
      <w:pPr>
        <w:spacing w:after="0"/>
        <w:ind w:left="720" w:hanging="720"/>
        <w:rPr>
          <w:rFonts w:eastAsia="Times New Roman" w:cs="Times New Roman"/>
          <w:szCs w:val="24"/>
          <w:lang w:eastAsia="en-GB"/>
        </w:rPr>
      </w:pPr>
      <w:r w:rsidRPr="00C325FC">
        <w:rPr>
          <w:rFonts w:eastAsia="Times New Roman" w:cs="Times New Roman"/>
          <w:szCs w:val="24"/>
          <w:lang w:eastAsia="en-GB"/>
        </w:rPr>
        <w:t>Cox, M. (2016). The pathology of command and control: A formal synthesis.</w:t>
      </w:r>
      <w:r>
        <w:rPr>
          <w:rFonts w:eastAsia="Times New Roman" w:cs="Times New Roman"/>
          <w:szCs w:val="24"/>
          <w:lang w:eastAsia="en-GB"/>
        </w:rPr>
        <w:t xml:space="preserve"> </w:t>
      </w:r>
    </w:p>
    <w:p w14:paraId="535CACB0" w14:textId="77777777" w:rsidR="00D27874" w:rsidRDefault="0036368F" w:rsidP="000D7C39">
      <w:pPr>
        <w:spacing w:after="0"/>
        <w:ind w:left="720" w:hanging="720"/>
        <w:rPr>
          <w:rFonts w:eastAsia="Times New Roman" w:cs="Times New Roman"/>
          <w:szCs w:val="24"/>
          <w:lang w:eastAsia="en-GB"/>
        </w:rPr>
      </w:pPr>
      <w:r>
        <w:rPr>
          <w:rFonts w:eastAsia="Times New Roman" w:cs="Times New Roman"/>
          <w:i/>
          <w:iCs/>
          <w:szCs w:val="24"/>
          <w:lang w:eastAsia="en-GB"/>
        </w:rPr>
        <w:tab/>
      </w:r>
      <w:r w:rsidR="00D27874" w:rsidRPr="00982156">
        <w:rPr>
          <w:rFonts w:eastAsia="Times New Roman" w:cs="Times New Roman"/>
          <w:i/>
          <w:iCs/>
          <w:szCs w:val="24"/>
          <w:lang w:eastAsia="en-GB"/>
        </w:rPr>
        <w:t>Ecol. Soc</w:t>
      </w:r>
      <w:r w:rsidR="00D27874" w:rsidRPr="00C325FC">
        <w:rPr>
          <w:rFonts w:eastAsia="Times New Roman" w:cs="Times New Roman"/>
          <w:szCs w:val="24"/>
          <w:lang w:eastAsia="en-GB"/>
        </w:rPr>
        <w:t>.</w:t>
      </w:r>
      <w:r w:rsidR="009B7B51">
        <w:rPr>
          <w:rFonts w:eastAsia="Times New Roman" w:cs="Times New Roman"/>
          <w:szCs w:val="24"/>
          <w:lang w:eastAsia="en-GB"/>
        </w:rPr>
        <w:t>,</w:t>
      </w:r>
      <w:r w:rsidR="00D27874" w:rsidRPr="00C325FC">
        <w:rPr>
          <w:rFonts w:eastAsia="Times New Roman" w:cs="Times New Roman"/>
          <w:szCs w:val="24"/>
          <w:lang w:eastAsia="en-GB"/>
        </w:rPr>
        <w:t xml:space="preserve"> 21</w:t>
      </w:r>
      <w:r w:rsidR="009B7B51">
        <w:rPr>
          <w:rFonts w:eastAsia="Times New Roman" w:cs="Times New Roman"/>
          <w:szCs w:val="24"/>
          <w:lang w:eastAsia="en-GB"/>
        </w:rPr>
        <w:t>,</w:t>
      </w:r>
      <w:r w:rsidR="00D27874" w:rsidRPr="00C325FC">
        <w:rPr>
          <w:rFonts w:eastAsia="Times New Roman" w:cs="Times New Roman"/>
          <w:szCs w:val="24"/>
          <w:lang w:eastAsia="en-GB"/>
        </w:rPr>
        <w:t>33.</w:t>
      </w:r>
    </w:p>
    <w:p w14:paraId="6257451D" w14:textId="6C6A978C" w:rsidR="00AC4D34" w:rsidRPr="00D1664B" w:rsidRDefault="00AC4D34" w:rsidP="000D7C39">
      <w:pPr>
        <w:pStyle w:val="BodyText"/>
        <w:spacing w:after="0"/>
        <w:ind w:left="720" w:hanging="720"/>
        <w:rPr>
          <w:i/>
          <w:iCs/>
        </w:rPr>
      </w:pPr>
      <w:r>
        <w:t xml:space="preserve">Creswell, J. W. (2014). </w:t>
      </w:r>
      <w:r w:rsidRPr="00AC4D34">
        <w:rPr>
          <w:i/>
          <w:iCs/>
        </w:rPr>
        <w:t>Research Design: Qualitative, Quantitative and Mixed Methods Approaches (4th ed.).</w:t>
      </w:r>
      <w:r>
        <w:t xml:space="preserve"> Thousand Oaks, CA: Sage.</w:t>
      </w:r>
    </w:p>
    <w:p w14:paraId="2FC237A3" w14:textId="77777777" w:rsidR="0075280C" w:rsidRPr="009B7B51" w:rsidRDefault="0075280C" w:rsidP="000D7C39">
      <w:pPr>
        <w:spacing w:after="0"/>
        <w:ind w:left="720" w:hanging="720"/>
        <w:rPr>
          <w:i/>
          <w:iCs/>
        </w:rPr>
      </w:pPr>
      <w:bookmarkStart w:id="484" w:name="_Hlk165479332"/>
      <w:r>
        <w:t xml:space="preserve">Creswell, J. W. (2009). Mapping the field of mixed methods research. </w:t>
      </w:r>
      <w:r w:rsidRPr="009B7B51">
        <w:rPr>
          <w:i/>
          <w:iCs/>
        </w:rPr>
        <w:t xml:space="preserve">Journal </w:t>
      </w:r>
    </w:p>
    <w:p w14:paraId="48DD23A2" w14:textId="77777777" w:rsidR="0075280C" w:rsidRDefault="0075280C" w:rsidP="000D7C39">
      <w:pPr>
        <w:spacing w:after="0"/>
        <w:ind w:left="720" w:hanging="720"/>
      </w:pPr>
      <w:r>
        <w:rPr>
          <w:i/>
          <w:iCs/>
        </w:rPr>
        <w:tab/>
      </w:r>
      <w:r w:rsidRPr="009B7B51">
        <w:rPr>
          <w:i/>
          <w:iCs/>
        </w:rPr>
        <w:t>of Mixed Methods Research</w:t>
      </w:r>
      <w:r>
        <w:t>, 3(2), 95-108.</w:t>
      </w:r>
    </w:p>
    <w:p w14:paraId="73ABC338" w14:textId="79A18EE7" w:rsidR="001F4121" w:rsidRPr="00D1664B" w:rsidRDefault="001F4121" w:rsidP="000D7C39">
      <w:pPr>
        <w:pStyle w:val="BodyText"/>
        <w:spacing w:after="0"/>
        <w:ind w:left="720" w:hanging="720"/>
        <w:rPr>
          <w:i/>
          <w:iCs/>
        </w:rPr>
      </w:pPr>
      <w:bookmarkStart w:id="485" w:name="_Hlk195387455"/>
      <w:bookmarkEnd w:id="484"/>
      <w:r>
        <w:lastRenderedPageBreak/>
        <w:t xml:space="preserve">Creswell, J. W., &amp; Clark, V. L. P. (2007). </w:t>
      </w:r>
      <w:r w:rsidR="00D1664B">
        <w:rPr>
          <w:rStyle w:val="Emphasis"/>
        </w:rPr>
        <w:t xml:space="preserve">Designing and conducting mixed </w:t>
      </w:r>
      <w:r>
        <w:rPr>
          <w:rStyle w:val="Emphasis"/>
        </w:rPr>
        <w:t>methods research.</w:t>
      </w:r>
      <w:r>
        <w:t xml:space="preserve"> Sage Publications, Inc.</w:t>
      </w:r>
    </w:p>
    <w:bookmarkEnd w:id="485"/>
    <w:p w14:paraId="4BDD07D4" w14:textId="3E0C534E" w:rsidR="00AC4D34" w:rsidRPr="00D1664B" w:rsidRDefault="00AC4D34" w:rsidP="000D7C39">
      <w:pPr>
        <w:pStyle w:val="BodyText"/>
        <w:spacing w:after="0"/>
        <w:ind w:left="720" w:hanging="720"/>
        <w:rPr>
          <w:i/>
          <w:iCs/>
        </w:rPr>
      </w:pPr>
      <w:r>
        <w:t>Creswell, J.</w:t>
      </w:r>
      <w:r w:rsidR="0045273C">
        <w:t xml:space="preserve"> </w:t>
      </w:r>
      <w:r>
        <w:t>W. and Plano Clark, V.</w:t>
      </w:r>
      <w:r w:rsidR="0045273C">
        <w:t xml:space="preserve"> </w:t>
      </w:r>
      <w:r>
        <w:t>L. (2011)</w:t>
      </w:r>
      <w:r w:rsidR="0045273C">
        <w:t>.</w:t>
      </w:r>
      <w:r>
        <w:t xml:space="preserve"> </w:t>
      </w:r>
      <w:r w:rsidRPr="0045273C">
        <w:rPr>
          <w:i/>
          <w:iCs/>
        </w:rPr>
        <w:t xml:space="preserve">Designing and Conducting Mixed Methods Research </w:t>
      </w:r>
      <w:r w:rsidR="0045273C" w:rsidRPr="0045273C">
        <w:rPr>
          <w:i/>
          <w:iCs/>
        </w:rPr>
        <w:t>(</w:t>
      </w:r>
      <w:r w:rsidRPr="0045273C">
        <w:rPr>
          <w:i/>
          <w:iCs/>
        </w:rPr>
        <w:t xml:space="preserve">2nd </w:t>
      </w:r>
      <w:r w:rsidR="0045273C" w:rsidRPr="0045273C">
        <w:rPr>
          <w:i/>
          <w:iCs/>
        </w:rPr>
        <w:t>e</w:t>
      </w:r>
      <w:r w:rsidRPr="0045273C">
        <w:rPr>
          <w:i/>
          <w:iCs/>
        </w:rPr>
        <w:t>d</w:t>
      </w:r>
      <w:r w:rsidR="0045273C" w:rsidRPr="0045273C">
        <w:rPr>
          <w:i/>
          <w:iCs/>
        </w:rPr>
        <w:t>)</w:t>
      </w:r>
      <w:r w:rsidR="0045273C">
        <w:t>.</w:t>
      </w:r>
      <w:r>
        <w:t xml:space="preserve"> Sage Publications, Los Angeles.</w:t>
      </w:r>
    </w:p>
    <w:bookmarkEnd w:id="483"/>
    <w:p w14:paraId="2B5513F6" w14:textId="77777777" w:rsidR="006F7A7C" w:rsidRDefault="00D27874" w:rsidP="000D7C39">
      <w:pPr>
        <w:spacing w:after="0"/>
        <w:ind w:left="720" w:hanging="720"/>
        <w:rPr>
          <w:rFonts w:eastAsia="Times New Roman" w:cs="Times New Roman"/>
          <w:i/>
          <w:iCs/>
          <w:szCs w:val="24"/>
          <w:lang w:eastAsia="en-GB"/>
        </w:rPr>
      </w:pPr>
      <w:r w:rsidRPr="00C325FC">
        <w:rPr>
          <w:rFonts w:eastAsia="Times New Roman" w:cs="Times New Roman"/>
          <w:szCs w:val="24"/>
          <w:lang w:eastAsia="en-GB"/>
        </w:rPr>
        <w:t xml:space="preserve">Creswell, J. W. (2013). </w:t>
      </w:r>
      <w:r w:rsidRPr="00982156">
        <w:rPr>
          <w:rFonts w:eastAsia="Times New Roman" w:cs="Times New Roman"/>
          <w:i/>
          <w:iCs/>
          <w:szCs w:val="24"/>
          <w:lang w:eastAsia="en-GB"/>
        </w:rPr>
        <w:t>Qualitative Inquiry and Research Design: Choosing</w:t>
      </w:r>
      <w:r>
        <w:rPr>
          <w:rFonts w:eastAsia="Times New Roman" w:cs="Times New Roman"/>
          <w:i/>
          <w:iCs/>
          <w:szCs w:val="24"/>
          <w:lang w:eastAsia="en-GB"/>
        </w:rPr>
        <w:t xml:space="preserve"> </w:t>
      </w:r>
    </w:p>
    <w:p w14:paraId="79EB8A46" w14:textId="207D6CE2" w:rsidR="00D27874" w:rsidRDefault="0036368F" w:rsidP="000D7C39">
      <w:pPr>
        <w:spacing w:after="0"/>
        <w:ind w:left="720" w:hanging="720"/>
        <w:rPr>
          <w:rFonts w:eastAsia="Times New Roman" w:cs="Times New Roman"/>
          <w:szCs w:val="24"/>
          <w:lang w:eastAsia="en-GB"/>
        </w:rPr>
      </w:pPr>
      <w:r>
        <w:rPr>
          <w:rFonts w:eastAsia="Times New Roman" w:cs="Times New Roman"/>
          <w:i/>
          <w:iCs/>
          <w:szCs w:val="24"/>
          <w:lang w:eastAsia="en-GB"/>
        </w:rPr>
        <w:tab/>
      </w:r>
      <w:r w:rsidR="00D27874" w:rsidRPr="00982156">
        <w:rPr>
          <w:rFonts w:eastAsia="Times New Roman" w:cs="Times New Roman"/>
          <w:i/>
          <w:iCs/>
          <w:szCs w:val="24"/>
          <w:lang w:eastAsia="en-GB"/>
        </w:rPr>
        <w:t xml:space="preserve">Among Five Approaches </w:t>
      </w:r>
      <w:r w:rsidR="00D27874">
        <w:rPr>
          <w:rFonts w:eastAsia="Times New Roman" w:cs="Times New Roman"/>
          <w:i/>
          <w:iCs/>
          <w:szCs w:val="24"/>
          <w:lang w:eastAsia="en-GB"/>
        </w:rPr>
        <w:t>(</w:t>
      </w:r>
      <w:r w:rsidR="00D27874" w:rsidRPr="00982156">
        <w:rPr>
          <w:rFonts w:eastAsia="Times New Roman" w:cs="Times New Roman"/>
          <w:i/>
          <w:iCs/>
          <w:szCs w:val="24"/>
          <w:lang w:eastAsia="en-GB"/>
        </w:rPr>
        <w:t>3</w:t>
      </w:r>
      <w:r w:rsidR="009B7B51" w:rsidRPr="009B7B51">
        <w:rPr>
          <w:rFonts w:eastAsia="Times New Roman" w:cs="Times New Roman"/>
          <w:i/>
          <w:iCs/>
          <w:szCs w:val="24"/>
          <w:vertAlign w:val="superscript"/>
          <w:lang w:eastAsia="en-GB"/>
        </w:rPr>
        <w:t>rd</w:t>
      </w:r>
      <w:r w:rsidR="009B7B51">
        <w:rPr>
          <w:rFonts w:eastAsia="Times New Roman" w:cs="Times New Roman"/>
          <w:i/>
          <w:iCs/>
          <w:szCs w:val="24"/>
          <w:lang w:eastAsia="en-GB"/>
        </w:rPr>
        <w:t xml:space="preserve"> e</w:t>
      </w:r>
      <w:r w:rsidR="00D27874" w:rsidRPr="00982156">
        <w:rPr>
          <w:rFonts w:eastAsia="Times New Roman" w:cs="Times New Roman"/>
          <w:i/>
          <w:iCs/>
          <w:szCs w:val="24"/>
          <w:lang w:eastAsia="en-GB"/>
        </w:rPr>
        <w:t>d</w:t>
      </w:r>
      <w:r w:rsidR="00D27874">
        <w:rPr>
          <w:rFonts w:eastAsia="Times New Roman" w:cs="Times New Roman"/>
          <w:i/>
          <w:iCs/>
          <w:szCs w:val="24"/>
          <w:lang w:eastAsia="en-GB"/>
        </w:rPr>
        <w:t>)</w:t>
      </w:r>
      <w:r w:rsidR="00D27874" w:rsidRPr="00C325FC">
        <w:rPr>
          <w:rFonts w:eastAsia="Times New Roman" w:cs="Times New Roman"/>
          <w:szCs w:val="24"/>
          <w:lang w:eastAsia="en-GB"/>
        </w:rPr>
        <w:t>. Thousand Oaks: Sage.</w:t>
      </w:r>
    </w:p>
    <w:p w14:paraId="283D8A83" w14:textId="77777777" w:rsidR="0040290D" w:rsidRDefault="0040290D" w:rsidP="000D7C39">
      <w:pPr>
        <w:spacing w:after="0"/>
        <w:ind w:left="720" w:hanging="720"/>
      </w:pPr>
      <w:r>
        <w:t xml:space="preserve">Creswell J. W., Plano Clark V. L. (2018). </w:t>
      </w:r>
      <w:r>
        <w:rPr>
          <w:rStyle w:val="Emphasis"/>
        </w:rPr>
        <w:t>Designing and conducting mixed methods research</w:t>
      </w:r>
      <w:r>
        <w:t xml:space="preserve"> (3rd ed.). Sage.</w:t>
      </w:r>
    </w:p>
    <w:p w14:paraId="2FBFAE25" w14:textId="0E3F26ED" w:rsidR="00DD0592" w:rsidRDefault="00DD0592" w:rsidP="000D7C39">
      <w:pPr>
        <w:spacing w:after="0"/>
        <w:ind w:left="720" w:hanging="720"/>
        <w:rPr>
          <w:rFonts w:eastAsia="Times New Roman" w:cs="Times New Roman"/>
          <w:szCs w:val="24"/>
          <w:lang w:eastAsia="en-GB"/>
        </w:rPr>
      </w:pPr>
      <w:proofErr w:type="spellStart"/>
      <w:r w:rsidRPr="007A0263">
        <w:rPr>
          <w:rFonts w:eastAsia="Times New Roman" w:cs="Times New Roman"/>
          <w:szCs w:val="24"/>
          <w:lang w:eastAsia="en-GB"/>
        </w:rPr>
        <w:t>Cropanzano</w:t>
      </w:r>
      <w:proofErr w:type="spellEnd"/>
      <w:r w:rsidRPr="007A0263">
        <w:rPr>
          <w:rFonts w:eastAsia="Times New Roman" w:cs="Times New Roman"/>
          <w:szCs w:val="24"/>
          <w:lang w:eastAsia="en-GB"/>
        </w:rPr>
        <w:t xml:space="preserve">, R., &amp; Mitchell, M. S. (2005). Social exchange theory: An interdisciplinary review. </w:t>
      </w:r>
      <w:r w:rsidRPr="007A0263">
        <w:rPr>
          <w:rFonts w:eastAsia="Times New Roman" w:cs="Times New Roman"/>
          <w:i/>
          <w:iCs/>
          <w:szCs w:val="24"/>
          <w:lang w:eastAsia="en-GB"/>
        </w:rPr>
        <w:t>Journal of management</w:t>
      </w:r>
      <w:r w:rsidRPr="007A0263">
        <w:rPr>
          <w:rFonts w:eastAsia="Times New Roman" w:cs="Times New Roman"/>
          <w:szCs w:val="24"/>
          <w:lang w:eastAsia="en-GB"/>
        </w:rPr>
        <w:t xml:space="preserve">, </w:t>
      </w:r>
      <w:r w:rsidRPr="007A0263">
        <w:rPr>
          <w:rFonts w:eastAsia="Times New Roman" w:cs="Times New Roman"/>
          <w:i/>
          <w:iCs/>
          <w:szCs w:val="24"/>
          <w:lang w:eastAsia="en-GB"/>
        </w:rPr>
        <w:t>31</w:t>
      </w:r>
      <w:r w:rsidRPr="007A0263">
        <w:rPr>
          <w:rFonts w:eastAsia="Times New Roman" w:cs="Times New Roman"/>
          <w:szCs w:val="24"/>
          <w:lang w:eastAsia="en-GB"/>
        </w:rPr>
        <w:t>(6), 874-900.</w:t>
      </w:r>
    </w:p>
    <w:p w14:paraId="67E0DC28" w14:textId="27C51349" w:rsidR="00B06CF2" w:rsidRPr="00B06CF2" w:rsidRDefault="00B06CF2" w:rsidP="000D7C39">
      <w:pPr>
        <w:spacing w:after="0"/>
        <w:ind w:left="720" w:hanging="720"/>
        <w:rPr>
          <w:rFonts w:eastAsia="Times New Roman" w:cs="Times New Roman"/>
          <w:szCs w:val="24"/>
          <w:lang w:eastAsia="en-GB"/>
        </w:rPr>
      </w:pPr>
      <w:r w:rsidRPr="00B06CF2">
        <w:rPr>
          <w:rFonts w:eastAsia="Times New Roman" w:cs="Times New Roman"/>
          <w:szCs w:val="24"/>
          <w:lang w:eastAsia="en-GB"/>
        </w:rPr>
        <w:t xml:space="preserve">Crona, B. I., &amp; Parker, J. N. (2012). Learning in support of governance: theories, methods, and a framework to assess how bridging organizations contribute to adaptive resource governance. </w:t>
      </w:r>
      <w:r w:rsidRPr="00B06CF2">
        <w:rPr>
          <w:rFonts w:eastAsia="Times New Roman" w:cs="Times New Roman"/>
          <w:i/>
          <w:iCs/>
          <w:szCs w:val="24"/>
          <w:lang w:eastAsia="en-GB"/>
        </w:rPr>
        <w:t>Ecology and Society</w:t>
      </w:r>
      <w:r w:rsidRPr="00B06CF2">
        <w:rPr>
          <w:rFonts w:eastAsia="Times New Roman" w:cs="Times New Roman"/>
          <w:szCs w:val="24"/>
          <w:lang w:eastAsia="en-GB"/>
        </w:rPr>
        <w:t xml:space="preserve">, </w:t>
      </w:r>
      <w:r w:rsidRPr="00B06CF2">
        <w:rPr>
          <w:rFonts w:eastAsia="Times New Roman" w:cs="Times New Roman"/>
          <w:i/>
          <w:iCs/>
          <w:szCs w:val="24"/>
          <w:lang w:eastAsia="en-GB"/>
        </w:rPr>
        <w:t>17</w:t>
      </w:r>
      <w:r w:rsidRPr="00B06CF2">
        <w:rPr>
          <w:rFonts w:eastAsia="Times New Roman" w:cs="Times New Roman"/>
          <w:szCs w:val="24"/>
          <w:lang w:eastAsia="en-GB"/>
        </w:rPr>
        <w:t>(1)</w:t>
      </w:r>
      <w:r w:rsidR="00BD7ED1">
        <w:rPr>
          <w:rFonts w:eastAsia="Times New Roman" w:cs="Times New Roman"/>
          <w:szCs w:val="24"/>
          <w:lang w:eastAsia="en-GB"/>
        </w:rPr>
        <w:t>, 1-18.</w:t>
      </w:r>
    </w:p>
    <w:p w14:paraId="0FFF18EA" w14:textId="60A62648" w:rsidR="0071039B" w:rsidRDefault="00927DCF" w:rsidP="000D7C39">
      <w:pPr>
        <w:spacing w:after="0"/>
        <w:ind w:left="720" w:hanging="720"/>
      </w:pPr>
      <w:proofErr w:type="spellStart"/>
      <w:r>
        <w:t>Cronkleton</w:t>
      </w:r>
      <w:proofErr w:type="spellEnd"/>
      <w:r>
        <w:t xml:space="preserve">, P., Bray, D. B., &amp; Medina, G. </w:t>
      </w:r>
      <w:r w:rsidR="00D1664B">
        <w:t xml:space="preserve">(2011). Community forestry and </w:t>
      </w:r>
      <w:r>
        <w:t xml:space="preserve">the challenge of governance and sustainability in Nicaragua. </w:t>
      </w:r>
      <w:r w:rsidRPr="005A38DB">
        <w:rPr>
          <w:i/>
          <w:iCs/>
        </w:rPr>
        <w:t>Ecology and Society,</w:t>
      </w:r>
      <w:r>
        <w:t xml:space="preserve"> 16(2), 20.</w:t>
      </w:r>
    </w:p>
    <w:p w14:paraId="7D53FA3E" w14:textId="61178493" w:rsidR="003334F3" w:rsidRPr="00A11EFF" w:rsidRDefault="003334F3" w:rsidP="000D7C39">
      <w:pPr>
        <w:spacing w:after="0"/>
        <w:ind w:left="720" w:hanging="720"/>
        <w:rPr>
          <w:rFonts w:eastAsia="Times New Roman" w:cs="Times New Roman"/>
          <w:szCs w:val="24"/>
          <w:lang w:eastAsia="en-GB"/>
        </w:rPr>
      </w:pPr>
      <w:proofErr w:type="spellStart"/>
      <w:r w:rsidRPr="00A11EFF">
        <w:rPr>
          <w:rFonts w:eastAsia="Times New Roman" w:cs="Times New Roman"/>
          <w:szCs w:val="24"/>
          <w:lang w:eastAsia="en-GB"/>
        </w:rPr>
        <w:t>Cronkleton</w:t>
      </w:r>
      <w:proofErr w:type="spellEnd"/>
      <w:r w:rsidRPr="00A11EFF">
        <w:rPr>
          <w:rFonts w:eastAsia="Times New Roman" w:cs="Times New Roman"/>
          <w:szCs w:val="24"/>
          <w:lang w:eastAsia="en-GB"/>
        </w:rPr>
        <w:t xml:space="preserve">, P., </w:t>
      </w:r>
      <w:proofErr w:type="spellStart"/>
      <w:r w:rsidRPr="00A11EFF">
        <w:rPr>
          <w:rFonts w:eastAsia="Times New Roman" w:cs="Times New Roman"/>
          <w:szCs w:val="24"/>
          <w:lang w:eastAsia="en-GB"/>
        </w:rPr>
        <w:t>Pulhin</w:t>
      </w:r>
      <w:proofErr w:type="spellEnd"/>
      <w:r w:rsidRPr="00A11EFF">
        <w:rPr>
          <w:rFonts w:eastAsia="Times New Roman" w:cs="Times New Roman"/>
          <w:szCs w:val="24"/>
          <w:lang w:eastAsia="en-GB"/>
        </w:rPr>
        <w:t xml:space="preserve">, J. M., &amp; Saigal, S. (2012). Co-management in community forestry: How the partial devolution of management rights creates challenges for forest communities. </w:t>
      </w:r>
      <w:r w:rsidRPr="00A11EFF">
        <w:rPr>
          <w:rFonts w:eastAsia="Times New Roman" w:cs="Times New Roman"/>
          <w:i/>
          <w:iCs/>
          <w:szCs w:val="24"/>
          <w:lang w:eastAsia="en-GB"/>
        </w:rPr>
        <w:t>Conservation and Society</w:t>
      </w:r>
      <w:r w:rsidRPr="00A11EFF">
        <w:rPr>
          <w:rFonts w:eastAsia="Times New Roman" w:cs="Times New Roman"/>
          <w:szCs w:val="24"/>
          <w:lang w:eastAsia="en-GB"/>
        </w:rPr>
        <w:t xml:space="preserve">, </w:t>
      </w:r>
      <w:r w:rsidRPr="00A11EFF">
        <w:rPr>
          <w:rFonts w:eastAsia="Times New Roman" w:cs="Times New Roman"/>
          <w:i/>
          <w:iCs/>
          <w:szCs w:val="24"/>
          <w:lang w:eastAsia="en-GB"/>
        </w:rPr>
        <w:t>10</w:t>
      </w:r>
      <w:r w:rsidRPr="00A11EFF">
        <w:rPr>
          <w:rFonts w:eastAsia="Times New Roman" w:cs="Times New Roman"/>
          <w:szCs w:val="24"/>
          <w:lang w:eastAsia="en-GB"/>
        </w:rPr>
        <w:t>(2), 91-102.</w:t>
      </w:r>
    </w:p>
    <w:p w14:paraId="5C2496D4" w14:textId="5940DBCF" w:rsidR="00C37C7C" w:rsidRDefault="00C37C7C" w:rsidP="000D7C39">
      <w:pPr>
        <w:spacing w:after="0"/>
        <w:ind w:left="720" w:hanging="720"/>
        <w:rPr>
          <w:rFonts w:cs="Times New Roman"/>
          <w:szCs w:val="24"/>
        </w:rPr>
      </w:pPr>
      <w:r w:rsidRPr="00CF7673">
        <w:rPr>
          <w:rFonts w:cs="Times New Roman"/>
          <w:szCs w:val="24"/>
        </w:rPr>
        <w:t>Dale, V.</w:t>
      </w:r>
      <w:r>
        <w:rPr>
          <w:rFonts w:cs="Times New Roman"/>
          <w:szCs w:val="24"/>
        </w:rPr>
        <w:t xml:space="preserve"> </w:t>
      </w:r>
      <w:r w:rsidRPr="00CF7673">
        <w:rPr>
          <w:rFonts w:cs="Times New Roman"/>
          <w:szCs w:val="24"/>
        </w:rPr>
        <w:t>H. &amp; Beyeler, S.</w:t>
      </w:r>
      <w:r>
        <w:rPr>
          <w:rFonts w:cs="Times New Roman"/>
          <w:szCs w:val="24"/>
        </w:rPr>
        <w:t xml:space="preserve"> </w:t>
      </w:r>
      <w:r w:rsidRPr="00CF7673">
        <w:rPr>
          <w:rFonts w:cs="Times New Roman"/>
          <w:szCs w:val="24"/>
        </w:rPr>
        <w:t>C. (2001). Challenges in the devel</w:t>
      </w:r>
      <w:r>
        <w:rPr>
          <w:rFonts w:cs="Times New Roman"/>
          <w:szCs w:val="24"/>
        </w:rPr>
        <w:t>o</w:t>
      </w:r>
      <w:r w:rsidRPr="00CF7673">
        <w:rPr>
          <w:rFonts w:cs="Times New Roman"/>
          <w:szCs w:val="24"/>
        </w:rPr>
        <w:t xml:space="preserve">pment and use of </w:t>
      </w:r>
    </w:p>
    <w:p w14:paraId="02BB1AC3" w14:textId="5285961A" w:rsidR="00C37C7C" w:rsidRPr="00CF7673" w:rsidRDefault="0036368F" w:rsidP="000D7C39">
      <w:pPr>
        <w:spacing w:after="0"/>
        <w:ind w:left="720" w:hanging="720"/>
        <w:rPr>
          <w:rFonts w:cs="Times New Roman"/>
          <w:szCs w:val="24"/>
        </w:rPr>
      </w:pPr>
      <w:r>
        <w:rPr>
          <w:rFonts w:cs="Times New Roman"/>
          <w:szCs w:val="24"/>
        </w:rPr>
        <w:tab/>
      </w:r>
      <w:r w:rsidR="00C37C7C" w:rsidRPr="00CF7673">
        <w:rPr>
          <w:rFonts w:cs="Times New Roman"/>
          <w:szCs w:val="24"/>
        </w:rPr>
        <w:t xml:space="preserve">ecological indicators. </w:t>
      </w:r>
      <w:r w:rsidR="00C37C7C" w:rsidRPr="00CF7673">
        <w:rPr>
          <w:rFonts w:cs="Times New Roman"/>
          <w:i/>
          <w:iCs/>
          <w:szCs w:val="24"/>
        </w:rPr>
        <w:t xml:space="preserve">Ecological </w:t>
      </w:r>
      <w:r w:rsidR="00910E9F">
        <w:rPr>
          <w:rFonts w:cs="Times New Roman"/>
          <w:i/>
          <w:iCs/>
          <w:szCs w:val="24"/>
        </w:rPr>
        <w:t>I</w:t>
      </w:r>
      <w:r w:rsidR="00C37C7C" w:rsidRPr="00CF7673">
        <w:rPr>
          <w:rFonts w:cs="Times New Roman"/>
          <w:i/>
          <w:iCs/>
          <w:szCs w:val="24"/>
        </w:rPr>
        <w:t>ndicators</w:t>
      </w:r>
      <w:r w:rsidR="00C37C7C" w:rsidRPr="00CF7673">
        <w:rPr>
          <w:rFonts w:cs="Times New Roman"/>
          <w:szCs w:val="24"/>
        </w:rPr>
        <w:t>,</w:t>
      </w:r>
      <w:r w:rsidR="00C37C7C">
        <w:rPr>
          <w:rFonts w:cs="Times New Roman"/>
          <w:szCs w:val="24"/>
        </w:rPr>
        <w:t xml:space="preserve"> </w:t>
      </w:r>
      <w:r w:rsidR="00C37C7C" w:rsidRPr="00CF7673">
        <w:rPr>
          <w:rFonts w:cs="Times New Roman"/>
          <w:szCs w:val="24"/>
        </w:rPr>
        <w:t xml:space="preserve">1, 3-10. </w:t>
      </w:r>
    </w:p>
    <w:p w14:paraId="5DBD4EE3" w14:textId="77777777" w:rsidR="006F7A7C" w:rsidRDefault="00D27874" w:rsidP="000D7C39">
      <w:pPr>
        <w:spacing w:after="0"/>
        <w:ind w:left="720" w:hanging="720"/>
        <w:rPr>
          <w:rFonts w:eastAsia="Times New Roman" w:cs="Times New Roman"/>
          <w:szCs w:val="24"/>
          <w:lang w:eastAsia="en-GB"/>
        </w:rPr>
      </w:pPr>
      <w:proofErr w:type="spellStart"/>
      <w:r w:rsidRPr="00380579">
        <w:rPr>
          <w:rFonts w:eastAsia="Times New Roman" w:cs="Times New Roman"/>
          <w:szCs w:val="24"/>
          <w:lang w:eastAsia="en-GB"/>
        </w:rPr>
        <w:t>deMarsh</w:t>
      </w:r>
      <w:proofErr w:type="spellEnd"/>
      <w:r w:rsidRPr="00380579">
        <w:rPr>
          <w:rFonts w:eastAsia="Times New Roman" w:cs="Times New Roman"/>
          <w:szCs w:val="24"/>
          <w:lang w:eastAsia="en-GB"/>
        </w:rPr>
        <w:t xml:space="preserve">, P., Boscolo, M., </w:t>
      </w:r>
      <w:proofErr w:type="spellStart"/>
      <w:r w:rsidRPr="00380579">
        <w:rPr>
          <w:rFonts w:eastAsia="Times New Roman" w:cs="Times New Roman"/>
          <w:szCs w:val="24"/>
          <w:lang w:eastAsia="en-GB"/>
        </w:rPr>
        <w:t>Savenije</w:t>
      </w:r>
      <w:proofErr w:type="spellEnd"/>
      <w:r w:rsidRPr="00380579">
        <w:rPr>
          <w:rFonts w:eastAsia="Times New Roman" w:cs="Times New Roman"/>
          <w:szCs w:val="24"/>
          <w:lang w:eastAsia="en-GB"/>
        </w:rPr>
        <w:t xml:space="preserve">, H., </w:t>
      </w:r>
      <w:proofErr w:type="spellStart"/>
      <w:r w:rsidRPr="00380579">
        <w:rPr>
          <w:rFonts w:eastAsia="Times New Roman" w:cs="Times New Roman"/>
          <w:szCs w:val="24"/>
          <w:lang w:eastAsia="en-GB"/>
        </w:rPr>
        <w:t>Grouwels</w:t>
      </w:r>
      <w:proofErr w:type="spellEnd"/>
      <w:r w:rsidRPr="00380579">
        <w:rPr>
          <w:rFonts w:eastAsia="Times New Roman" w:cs="Times New Roman"/>
          <w:szCs w:val="24"/>
          <w:lang w:eastAsia="en-GB"/>
        </w:rPr>
        <w:t xml:space="preserve">, S., Zapata, J., Campbell, J., </w:t>
      </w:r>
    </w:p>
    <w:p w14:paraId="42883534" w14:textId="77777777" w:rsidR="00D27874" w:rsidRDefault="0036368F" w:rsidP="000D7C39">
      <w:pPr>
        <w:spacing w:after="0"/>
        <w:ind w:left="720" w:hanging="720"/>
        <w:rPr>
          <w:rFonts w:eastAsia="Times New Roman" w:cs="Times New Roman"/>
          <w:szCs w:val="24"/>
          <w:lang w:eastAsia="en-GB"/>
        </w:rPr>
      </w:pPr>
      <w:r>
        <w:rPr>
          <w:rFonts w:eastAsia="Times New Roman" w:cs="Times New Roman"/>
          <w:szCs w:val="24"/>
          <w:lang w:eastAsia="en-GB"/>
        </w:rPr>
        <w:lastRenderedPageBreak/>
        <w:tab/>
      </w:r>
      <w:r w:rsidR="00D27874">
        <w:rPr>
          <w:rFonts w:eastAsia="Times New Roman" w:cs="Times New Roman"/>
          <w:szCs w:val="24"/>
          <w:lang w:eastAsia="en-GB"/>
        </w:rPr>
        <w:t xml:space="preserve">&amp; </w:t>
      </w:r>
      <w:r w:rsidR="00D27874" w:rsidRPr="00380579">
        <w:rPr>
          <w:rFonts w:eastAsia="Times New Roman" w:cs="Times New Roman"/>
          <w:szCs w:val="24"/>
          <w:lang w:eastAsia="en-GB"/>
        </w:rPr>
        <w:t>Macqueen,</w:t>
      </w:r>
      <w:r w:rsidR="00D27874">
        <w:rPr>
          <w:rFonts w:eastAsia="Times New Roman" w:cs="Times New Roman"/>
          <w:szCs w:val="24"/>
          <w:lang w:eastAsia="en-GB"/>
        </w:rPr>
        <w:t xml:space="preserve"> </w:t>
      </w:r>
      <w:r w:rsidR="00D27874" w:rsidRPr="00380579">
        <w:rPr>
          <w:rFonts w:eastAsia="Times New Roman" w:cs="Times New Roman"/>
          <w:szCs w:val="24"/>
          <w:lang w:eastAsia="en-GB"/>
        </w:rPr>
        <w:t>D.</w:t>
      </w:r>
      <w:r w:rsidR="00D27874">
        <w:rPr>
          <w:rFonts w:eastAsia="Times New Roman" w:cs="Times New Roman"/>
          <w:szCs w:val="24"/>
          <w:lang w:eastAsia="en-GB"/>
        </w:rPr>
        <w:t xml:space="preserve"> (</w:t>
      </w:r>
      <w:r w:rsidR="00D27874" w:rsidRPr="00380579">
        <w:rPr>
          <w:rFonts w:eastAsia="Times New Roman" w:cs="Times New Roman"/>
          <w:szCs w:val="24"/>
          <w:lang w:eastAsia="en-GB"/>
        </w:rPr>
        <w:t>2014</w:t>
      </w:r>
      <w:r w:rsidR="00D27874">
        <w:rPr>
          <w:rFonts w:eastAsia="Times New Roman" w:cs="Times New Roman"/>
          <w:szCs w:val="24"/>
          <w:lang w:eastAsia="en-GB"/>
        </w:rPr>
        <w:t>)</w:t>
      </w:r>
      <w:r w:rsidR="00D27874" w:rsidRPr="00380579">
        <w:rPr>
          <w:rFonts w:eastAsia="Times New Roman" w:cs="Times New Roman"/>
          <w:szCs w:val="24"/>
          <w:lang w:eastAsia="en-GB"/>
        </w:rPr>
        <w:t xml:space="preserve">. </w:t>
      </w:r>
      <w:r w:rsidR="00D27874" w:rsidRPr="009B7B51">
        <w:rPr>
          <w:rFonts w:eastAsia="Times New Roman" w:cs="Times New Roman"/>
          <w:i/>
          <w:iCs/>
          <w:szCs w:val="24"/>
          <w:lang w:eastAsia="en-GB"/>
        </w:rPr>
        <w:t>Making Change Happen. In: What can Governments Do to Strengthen Forest Producer Organi</w:t>
      </w:r>
      <w:r w:rsidR="009B7B51">
        <w:rPr>
          <w:rFonts w:eastAsia="Times New Roman" w:cs="Times New Roman"/>
          <w:i/>
          <w:iCs/>
          <w:szCs w:val="24"/>
          <w:lang w:eastAsia="en-GB"/>
        </w:rPr>
        <w:t>s</w:t>
      </w:r>
      <w:r w:rsidR="00D27874" w:rsidRPr="009B7B51">
        <w:rPr>
          <w:rFonts w:eastAsia="Times New Roman" w:cs="Times New Roman"/>
          <w:i/>
          <w:iCs/>
          <w:szCs w:val="24"/>
          <w:lang w:eastAsia="en-GB"/>
        </w:rPr>
        <w:t>ations</w:t>
      </w:r>
      <w:r w:rsidR="00D27874" w:rsidRPr="00380579">
        <w:rPr>
          <w:rFonts w:eastAsia="Times New Roman" w:cs="Times New Roman"/>
          <w:szCs w:val="24"/>
          <w:lang w:eastAsia="en-GB"/>
        </w:rPr>
        <w:t>? Rome, FAO, the Forest and Farm Facility. International and</w:t>
      </w:r>
      <w:r w:rsidR="00D27874">
        <w:rPr>
          <w:rFonts w:eastAsia="Times New Roman" w:cs="Times New Roman"/>
          <w:szCs w:val="24"/>
          <w:lang w:eastAsia="en-GB"/>
        </w:rPr>
        <w:t xml:space="preserve"> </w:t>
      </w:r>
      <w:r w:rsidR="00D27874" w:rsidRPr="00380579">
        <w:rPr>
          <w:rFonts w:eastAsia="Times New Roman" w:cs="Times New Roman"/>
          <w:szCs w:val="24"/>
          <w:lang w:eastAsia="en-GB"/>
        </w:rPr>
        <w:t xml:space="preserve">the International Family Forestry Alliance, </w:t>
      </w:r>
      <w:proofErr w:type="spellStart"/>
      <w:r w:rsidR="00D27874" w:rsidRPr="00380579">
        <w:rPr>
          <w:rFonts w:eastAsia="Times New Roman" w:cs="Times New Roman"/>
          <w:szCs w:val="24"/>
          <w:lang w:eastAsia="en-GB"/>
        </w:rPr>
        <w:t>Tropenbos</w:t>
      </w:r>
      <w:proofErr w:type="spellEnd"/>
      <w:r w:rsidR="00D27874">
        <w:rPr>
          <w:rFonts w:eastAsia="Times New Roman" w:cs="Times New Roman"/>
          <w:szCs w:val="24"/>
          <w:lang w:eastAsia="en-GB"/>
        </w:rPr>
        <w:t>.</w:t>
      </w:r>
    </w:p>
    <w:p w14:paraId="7790F3A1" w14:textId="5E45F53C" w:rsidR="005762D6" w:rsidRPr="00D1664B" w:rsidRDefault="005762D6" w:rsidP="000D7C39">
      <w:pPr>
        <w:spacing w:after="0"/>
        <w:ind w:left="720" w:hanging="720"/>
        <w:rPr>
          <w:rFonts w:eastAsia="Times New Roman" w:cs="Times New Roman"/>
          <w:i/>
          <w:iCs/>
          <w:szCs w:val="24"/>
          <w:lang w:eastAsia="en-GB"/>
        </w:rPr>
      </w:pPr>
      <w:proofErr w:type="spellStart"/>
      <w:r w:rsidRPr="0019675E">
        <w:rPr>
          <w:rFonts w:eastAsia="Times New Roman" w:cs="Times New Roman"/>
          <w:szCs w:val="24"/>
          <w:lang w:eastAsia="en-GB"/>
        </w:rPr>
        <w:t>Demsetz</w:t>
      </w:r>
      <w:proofErr w:type="spellEnd"/>
      <w:r w:rsidRPr="0019675E">
        <w:rPr>
          <w:rFonts w:eastAsia="Times New Roman" w:cs="Times New Roman"/>
          <w:szCs w:val="24"/>
          <w:lang w:eastAsia="en-GB"/>
        </w:rPr>
        <w:t xml:space="preserve">, H. (1967). Toward a theory of property rights. </w:t>
      </w:r>
      <w:r w:rsidRPr="009A27FF">
        <w:rPr>
          <w:rFonts w:eastAsia="Times New Roman" w:cs="Times New Roman"/>
          <w:i/>
          <w:iCs/>
          <w:szCs w:val="24"/>
          <w:lang w:eastAsia="en-GB"/>
        </w:rPr>
        <w:t>The American Economic Review</w:t>
      </w:r>
      <w:r w:rsidRPr="0019675E">
        <w:rPr>
          <w:rFonts w:eastAsia="Times New Roman" w:cs="Times New Roman"/>
          <w:szCs w:val="24"/>
          <w:lang w:eastAsia="en-GB"/>
        </w:rPr>
        <w:t>, 57(2), 347-359.</w:t>
      </w:r>
    </w:p>
    <w:p w14:paraId="33921569" w14:textId="3CDDE5F9" w:rsidR="0075280C" w:rsidRPr="0075280C" w:rsidRDefault="0075280C" w:rsidP="000D7C39">
      <w:pPr>
        <w:spacing w:after="0"/>
        <w:ind w:left="720" w:hanging="720"/>
        <w:rPr>
          <w:rFonts w:eastAsia="Times New Roman" w:cs="Times New Roman"/>
          <w:szCs w:val="24"/>
          <w:lang w:eastAsia="en-GB"/>
        </w:rPr>
      </w:pPr>
      <w:r w:rsidRPr="0075280C">
        <w:rPr>
          <w:rFonts w:eastAsia="Times New Roman" w:cs="Times New Roman"/>
          <w:szCs w:val="24"/>
          <w:lang w:eastAsia="en-GB"/>
        </w:rPr>
        <w:t xml:space="preserve">Denscombe, M. (2008). The length of responses to open-ended questions: A comparison of online and paper questionnaires in terms of a mode effect. </w:t>
      </w:r>
      <w:r w:rsidRPr="0075280C">
        <w:rPr>
          <w:rFonts w:eastAsia="Times New Roman" w:cs="Times New Roman"/>
          <w:i/>
          <w:iCs/>
          <w:szCs w:val="24"/>
          <w:lang w:eastAsia="en-GB"/>
        </w:rPr>
        <w:t>Social Science Computer Review</w:t>
      </w:r>
      <w:r w:rsidRPr="0075280C">
        <w:rPr>
          <w:rFonts w:eastAsia="Times New Roman" w:cs="Times New Roman"/>
          <w:szCs w:val="24"/>
          <w:lang w:eastAsia="en-GB"/>
        </w:rPr>
        <w:t xml:space="preserve">, </w:t>
      </w:r>
      <w:r w:rsidRPr="0075280C">
        <w:rPr>
          <w:rFonts w:eastAsia="Times New Roman" w:cs="Times New Roman"/>
          <w:i/>
          <w:iCs/>
          <w:szCs w:val="24"/>
          <w:lang w:eastAsia="en-GB"/>
        </w:rPr>
        <w:t>26</w:t>
      </w:r>
      <w:r w:rsidRPr="0075280C">
        <w:rPr>
          <w:rFonts w:eastAsia="Times New Roman" w:cs="Times New Roman"/>
          <w:szCs w:val="24"/>
          <w:lang w:eastAsia="en-GB"/>
        </w:rPr>
        <w:t>(3), 359-368.</w:t>
      </w:r>
    </w:p>
    <w:p w14:paraId="0EDF5CAE" w14:textId="77777777" w:rsidR="00321F92" w:rsidRPr="009B7B51" w:rsidRDefault="00D27874" w:rsidP="000D7C39">
      <w:pPr>
        <w:spacing w:after="0"/>
        <w:ind w:left="720" w:hanging="720"/>
        <w:rPr>
          <w:i/>
          <w:iCs/>
        </w:rPr>
      </w:pPr>
      <w:bookmarkStart w:id="486" w:name="_Hlk165313537"/>
      <w:proofErr w:type="spellStart"/>
      <w:r>
        <w:t>Derkyi</w:t>
      </w:r>
      <w:proofErr w:type="spellEnd"/>
      <w:r>
        <w:t>, M. A. (2012)</w:t>
      </w:r>
      <w:r w:rsidR="009B7B51">
        <w:t>.</w:t>
      </w:r>
      <w:r>
        <w:t xml:space="preserve"> </w:t>
      </w:r>
      <w:r w:rsidRPr="009B7B51">
        <w:rPr>
          <w:i/>
          <w:iCs/>
        </w:rPr>
        <w:t xml:space="preserve">Fighting over forest: Interactive governance of conflicts </w:t>
      </w:r>
    </w:p>
    <w:p w14:paraId="29F335FC" w14:textId="77777777" w:rsidR="00D27874" w:rsidRDefault="0036368F" w:rsidP="000D7C39">
      <w:pPr>
        <w:spacing w:after="0"/>
        <w:ind w:left="720" w:hanging="720"/>
      </w:pPr>
      <w:r>
        <w:rPr>
          <w:i/>
          <w:iCs/>
        </w:rPr>
        <w:tab/>
      </w:r>
      <w:r w:rsidR="00D27874" w:rsidRPr="009B7B51">
        <w:rPr>
          <w:i/>
          <w:iCs/>
        </w:rPr>
        <w:t>over forest and tree resources in Ghana’s high forest zone</w:t>
      </w:r>
      <w:r w:rsidR="00D27874">
        <w:t>. African Studies Centre, Leiden</w:t>
      </w:r>
    </w:p>
    <w:bookmarkEnd w:id="486"/>
    <w:p w14:paraId="726AD5EB" w14:textId="77777777" w:rsidR="00321F92" w:rsidRDefault="00D27874" w:rsidP="000D7C39">
      <w:pPr>
        <w:spacing w:after="0"/>
        <w:ind w:left="720" w:hanging="720"/>
        <w:rPr>
          <w:rFonts w:eastAsia="Times New Roman" w:cs="Times New Roman"/>
          <w:szCs w:val="24"/>
          <w:lang w:eastAsia="en-GB"/>
        </w:rPr>
      </w:pPr>
      <w:proofErr w:type="spellStart"/>
      <w:r w:rsidRPr="00AC0EAA">
        <w:rPr>
          <w:rFonts w:eastAsia="Times New Roman" w:cs="Times New Roman"/>
          <w:szCs w:val="24"/>
          <w:lang w:eastAsia="en-GB"/>
        </w:rPr>
        <w:t>Diansyah</w:t>
      </w:r>
      <w:proofErr w:type="spellEnd"/>
      <w:r w:rsidRPr="00AC0EAA">
        <w:rPr>
          <w:rFonts w:eastAsia="Times New Roman" w:cs="Times New Roman"/>
          <w:szCs w:val="24"/>
          <w:lang w:eastAsia="en-GB"/>
        </w:rPr>
        <w:t xml:space="preserve">, W., Abas, A., </w:t>
      </w:r>
      <w:r>
        <w:rPr>
          <w:rFonts w:eastAsia="Times New Roman" w:cs="Times New Roman"/>
          <w:szCs w:val="24"/>
          <w:lang w:eastAsia="en-GB"/>
        </w:rPr>
        <w:t>&amp;</w:t>
      </w:r>
      <w:r w:rsidRPr="00AC0EAA">
        <w:rPr>
          <w:rFonts w:eastAsia="Times New Roman" w:cs="Times New Roman"/>
          <w:szCs w:val="24"/>
          <w:lang w:eastAsia="en-GB"/>
        </w:rPr>
        <w:t xml:space="preserve"> </w:t>
      </w:r>
      <w:proofErr w:type="spellStart"/>
      <w:r w:rsidRPr="00AC0EAA">
        <w:rPr>
          <w:rFonts w:eastAsia="Times New Roman" w:cs="Times New Roman"/>
          <w:szCs w:val="24"/>
          <w:lang w:eastAsia="en-GB"/>
        </w:rPr>
        <w:t>Sakawi</w:t>
      </w:r>
      <w:proofErr w:type="spellEnd"/>
      <w:r w:rsidRPr="00AC0EAA">
        <w:rPr>
          <w:rFonts w:eastAsia="Times New Roman" w:cs="Times New Roman"/>
          <w:szCs w:val="24"/>
          <w:lang w:eastAsia="en-GB"/>
        </w:rPr>
        <w:t>, Z. (2021). A Systematic Review on</w:t>
      </w:r>
      <w:r>
        <w:rPr>
          <w:rFonts w:eastAsia="Times New Roman" w:cs="Times New Roman"/>
          <w:szCs w:val="24"/>
          <w:lang w:eastAsia="en-GB"/>
        </w:rPr>
        <w:t xml:space="preserve"> </w:t>
      </w:r>
    </w:p>
    <w:p w14:paraId="46B0C1FC" w14:textId="2FAE897A" w:rsidR="000D7C39" w:rsidRPr="00524689" w:rsidRDefault="0036368F" w:rsidP="0052468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AC0EAA">
        <w:rPr>
          <w:rFonts w:eastAsia="Times New Roman" w:cs="Times New Roman"/>
          <w:szCs w:val="24"/>
          <w:lang w:eastAsia="en-GB"/>
        </w:rPr>
        <w:t>Community Forest Management in Southeast Asia: Current Practices and Impacts</w:t>
      </w:r>
      <w:r w:rsidR="00D27874">
        <w:rPr>
          <w:rFonts w:eastAsia="Times New Roman" w:cs="Times New Roman"/>
          <w:szCs w:val="24"/>
          <w:lang w:eastAsia="en-GB"/>
        </w:rPr>
        <w:t xml:space="preserve"> </w:t>
      </w:r>
      <w:r w:rsidR="00D27874" w:rsidRPr="00AC0EAA">
        <w:rPr>
          <w:rFonts w:eastAsia="Times New Roman" w:cs="Times New Roman"/>
          <w:szCs w:val="24"/>
          <w:lang w:eastAsia="en-GB"/>
        </w:rPr>
        <w:t>on Biodiversity Conservation and Livelihood Quality of Local Communities.</w:t>
      </w:r>
      <w:r w:rsidR="00D27874">
        <w:rPr>
          <w:rFonts w:eastAsia="Times New Roman" w:cs="Times New Roman"/>
          <w:szCs w:val="24"/>
          <w:lang w:eastAsia="en-GB"/>
        </w:rPr>
        <w:t xml:space="preserve"> </w:t>
      </w:r>
      <w:r w:rsidR="00D27874" w:rsidRPr="00982156">
        <w:rPr>
          <w:rFonts w:eastAsia="Times New Roman" w:cs="Times New Roman"/>
          <w:i/>
          <w:iCs/>
          <w:szCs w:val="24"/>
          <w:lang w:eastAsia="en-GB"/>
        </w:rPr>
        <w:t>Hum. Ecol. Rev</w:t>
      </w:r>
      <w:r w:rsidR="00D27874" w:rsidRPr="00AC0EAA">
        <w:rPr>
          <w:rFonts w:eastAsia="Times New Roman" w:cs="Times New Roman"/>
          <w:szCs w:val="24"/>
          <w:lang w:eastAsia="en-GB"/>
        </w:rPr>
        <w:t>.</w:t>
      </w:r>
      <w:r w:rsidR="009B7B51">
        <w:rPr>
          <w:rFonts w:eastAsia="Times New Roman" w:cs="Times New Roman"/>
          <w:szCs w:val="24"/>
          <w:lang w:eastAsia="en-GB"/>
        </w:rPr>
        <w:t>,</w:t>
      </w:r>
      <w:r w:rsidR="00D27874" w:rsidRPr="00AC0EAA">
        <w:rPr>
          <w:rFonts w:eastAsia="Times New Roman" w:cs="Times New Roman"/>
          <w:szCs w:val="24"/>
          <w:lang w:eastAsia="en-GB"/>
        </w:rPr>
        <w:t xml:space="preserve"> 27, 3–21. </w:t>
      </w:r>
    </w:p>
    <w:p w14:paraId="3FB48209" w14:textId="77777777" w:rsidR="00321F92" w:rsidRDefault="00D27874" w:rsidP="000D7C39">
      <w:pPr>
        <w:pStyle w:val="BodyText"/>
        <w:spacing w:after="0"/>
        <w:ind w:left="720" w:hanging="720"/>
        <w:rPr>
          <w:rFonts w:cs="Times New Roman"/>
          <w:szCs w:val="24"/>
        </w:rPr>
      </w:pPr>
      <w:proofErr w:type="spellStart"/>
      <w:r w:rsidRPr="00191A6B">
        <w:rPr>
          <w:rFonts w:cs="Times New Roman"/>
          <w:szCs w:val="24"/>
        </w:rPr>
        <w:t>Diawuo</w:t>
      </w:r>
      <w:proofErr w:type="spellEnd"/>
      <w:r w:rsidRPr="00191A6B">
        <w:rPr>
          <w:rFonts w:cs="Times New Roman"/>
          <w:szCs w:val="24"/>
        </w:rPr>
        <w:t xml:space="preserve">, F., </w:t>
      </w:r>
      <w:r>
        <w:rPr>
          <w:rFonts w:cs="Times New Roman"/>
          <w:szCs w:val="24"/>
        </w:rPr>
        <w:t xml:space="preserve">&amp; </w:t>
      </w:r>
      <w:proofErr w:type="spellStart"/>
      <w:r w:rsidRPr="00191A6B">
        <w:rPr>
          <w:rFonts w:cs="Times New Roman"/>
          <w:szCs w:val="24"/>
        </w:rPr>
        <w:t>Issifu</w:t>
      </w:r>
      <w:proofErr w:type="spellEnd"/>
      <w:r w:rsidRPr="00191A6B">
        <w:rPr>
          <w:rFonts w:cs="Times New Roman"/>
          <w:szCs w:val="24"/>
        </w:rPr>
        <w:t xml:space="preserve">, A. K. (2015). </w:t>
      </w:r>
      <w:r w:rsidRPr="00EF7BBE">
        <w:rPr>
          <w:rFonts w:cs="Times New Roman"/>
          <w:szCs w:val="24"/>
        </w:rPr>
        <w:t xml:space="preserve">Exploring the African traditional belief </w:t>
      </w:r>
    </w:p>
    <w:p w14:paraId="50350BB7" w14:textId="4C0FBF74" w:rsidR="00D27874" w:rsidRDefault="0036368F" w:rsidP="000D7C39">
      <w:pPr>
        <w:pStyle w:val="BodyText"/>
        <w:spacing w:after="0"/>
        <w:ind w:left="720" w:hanging="720"/>
        <w:rPr>
          <w:rFonts w:cs="Times New Roman"/>
          <w:szCs w:val="24"/>
        </w:rPr>
      </w:pPr>
      <w:r>
        <w:rPr>
          <w:rFonts w:cs="Times New Roman"/>
          <w:szCs w:val="24"/>
        </w:rPr>
        <w:tab/>
      </w:r>
      <w:r w:rsidR="00D27874" w:rsidRPr="00EF7BBE">
        <w:rPr>
          <w:rFonts w:cs="Times New Roman"/>
          <w:szCs w:val="24"/>
        </w:rPr>
        <w:t>systems in natural resource conservation and management in Ghana</w:t>
      </w:r>
      <w:r w:rsidR="00D27874" w:rsidRPr="00191A6B">
        <w:rPr>
          <w:rFonts w:cs="Times New Roman"/>
          <w:szCs w:val="24"/>
        </w:rPr>
        <w:t xml:space="preserve">. </w:t>
      </w:r>
      <w:r w:rsidR="00D27874" w:rsidRPr="00EF7BBE">
        <w:rPr>
          <w:rFonts w:cs="Times New Roman"/>
          <w:i/>
          <w:iCs/>
          <w:szCs w:val="24"/>
        </w:rPr>
        <w:t>J. Pan Afr. Stud</w:t>
      </w:r>
      <w:r w:rsidR="00D27874" w:rsidRPr="00191A6B">
        <w:rPr>
          <w:rFonts w:cs="Times New Roman"/>
          <w:szCs w:val="24"/>
        </w:rPr>
        <w:t>.</w:t>
      </w:r>
      <w:r w:rsidR="009B7B51">
        <w:rPr>
          <w:rFonts w:cs="Times New Roman"/>
          <w:szCs w:val="24"/>
        </w:rPr>
        <w:t>,</w:t>
      </w:r>
      <w:r w:rsidR="00D27874" w:rsidRPr="00191A6B">
        <w:rPr>
          <w:rFonts w:cs="Times New Roman"/>
          <w:szCs w:val="24"/>
        </w:rPr>
        <w:t xml:space="preserve"> 8 (9), 115–131.</w:t>
      </w:r>
    </w:p>
    <w:p w14:paraId="5C988885" w14:textId="66869C64" w:rsidR="00741E63" w:rsidRDefault="00741E63" w:rsidP="000D7C39">
      <w:pPr>
        <w:spacing w:after="0"/>
        <w:ind w:left="720" w:hanging="720"/>
      </w:pPr>
      <w:r>
        <w:t>DiMaggio, P. J. &amp; Powell, W. W. (</w:t>
      </w:r>
      <w:r w:rsidR="00D1664B">
        <w:t xml:space="preserve">1991). New Institutionalism in </w:t>
      </w:r>
      <w:r>
        <w:t>Organizational Analysis. University of Chicago Press, Chicago.</w:t>
      </w:r>
    </w:p>
    <w:p w14:paraId="55DCE8BB" w14:textId="77777777" w:rsidR="00524689" w:rsidRDefault="00524689" w:rsidP="000D7C39">
      <w:pPr>
        <w:pStyle w:val="BodyText"/>
        <w:spacing w:after="0"/>
        <w:ind w:left="720" w:hanging="720"/>
        <w:rPr>
          <w:rFonts w:cs="Times New Roman"/>
          <w:szCs w:val="24"/>
        </w:rPr>
      </w:pPr>
      <w:bookmarkStart w:id="487" w:name="_Hlk143697999"/>
    </w:p>
    <w:p w14:paraId="1E0F526F" w14:textId="77777777" w:rsidR="00321F92" w:rsidRPr="004D58E6" w:rsidRDefault="00D27874" w:rsidP="000D7C39">
      <w:pPr>
        <w:pStyle w:val="BodyText"/>
        <w:spacing w:after="0"/>
        <w:ind w:left="720" w:hanging="720"/>
        <w:rPr>
          <w:rFonts w:cs="Times New Roman"/>
          <w:szCs w:val="24"/>
        </w:rPr>
      </w:pPr>
      <w:r w:rsidRPr="004D58E6">
        <w:rPr>
          <w:rFonts w:cs="Times New Roman"/>
          <w:szCs w:val="24"/>
        </w:rPr>
        <w:t xml:space="preserve">Djomo, A. N., Grant, J. A, </w:t>
      </w:r>
      <w:proofErr w:type="spellStart"/>
      <w:r w:rsidRPr="004D58E6">
        <w:rPr>
          <w:rFonts w:cs="Times New Roman"/>
          <w:szCs w:val="24"/>
        </w:rPr>
        <w:t>Fonyikeh-Bomboh</w:t>
      </w:r>
      <w:proofErr w:type="spellEnd"/>
      <w:r w:rsidRPr="004D58E6">
        <w:rPr>
          <w:rFonts w:cs="Times New Roman"/>
          <w:szCs w:val="24"/>
        </w:rPr>
        <w:t xml:space="preserve">, L. C., </w:t>
      </w:r>
      <w:proofErr w:type="spellStart"/>
      <w:r w:rsidRPr="004D58E6">
        <w:rPr>
          <w:rFonts w:cs="Times New Roman"/>
          <w:szCs w:val="24"/>
        </w:rPr>
        <w:t>Tchoko</w:t>
      </w:r>
      <w:proofErr w:type="spellEnd"/>
      <w:r w:rsidRPr="004D58E6">
        <w:rPr>
          <w:rFonts w:cs="Times New Roman"/>
          <w:szCs w:val="24"/>
        </w:rPr>
        <w:t xml:space="preserve">, G. J., </w:t>
      </w:r>
      <w:proofErr w:type="spellStart"/>
      <w:r w:rsidRPr="004D58E6">
        <w:rPr>
          <w:rFonts w:cs="Times New Roman"/>
          <w:szCs w:val="24"/>
        </w:rPr>
        <w:t>Fonton</w:t>
      </w:r>
      <w:proofErr w:type="spellEnd"/>
      <w:r w:rsidRPr="004D58E6">
        <w:rPr>
          <w:rFonts w:cs="Times New Roman"/>
          <w:szCs w:val="24"/>
        </w:rPr>
        <w:t xml:space="preserve"> N. </w:t>
      </w:r>
    </w:p>
    <w:p w14:paraId="4CDA35D4" w14:textId="789E41B2" w:rsidR="00D27874" w:rsidRPr="004D58E6" w:rsidRDefault="0036368F" w:rsidP="000D7C39">
      <w:pPr>
        <w:pStyle w:val="BodyText"/>
        <w:spacing w:after="0"/>
        <w:ind w:left="720" w:hanging="720"/>
        <w:rPr>
          <w:rFonts w:cs="Times New Roman"/>
          <w:szCs w:val="24"/>
        </w:rPr>
      </w:pPr>
      <w:r w:rsidRPr="004D58E6">
        <w:rPr>
          <w:rFonts w:cs="Times New Roman"/>
          <w:szCs w:val="24"/>
        </w:rPr>
        <w:lastRenderedPageBreak/>
        <w:tab/>
      </w:r>
      <w:r w:rsidR="00D27874" w:rsidRPr="004D58E6">
        <w:rPr>
          <w:rFonts w:cs="Times New Roman"/>
          <w:szCs w:val="24"/>
        </w:rPr>
        <w:t xml:space="preserve">H., Scott, N., &amp; </w:t>
      </w:r>
      <w:proofErr w:type="spellStart"/>
      <w:r w:rsidR="00D27874" w:rsidRPr="004D58E6">
        <w:rPr>
          <w:rFonts w:cs="Times New Roman"/>
          <w:szCs w:val="24"/>
        </w:rPr>
        <w:t>Sonwa</w:t>
      </w:r>
      <w:proofErr w:type="spellEnd"/>
      <w:r w:rsidR="00D27874" w:rsidRPr="004D58E6">
        <w:rPr>
          <w:rFonts w:cs="Times New Roman"/>
          <w:szCs w:val="24"/>
        </w:rPr>
        <w:t xml:space="preserve">, D. J. (2018). Forest governance and REDD+ in Central Africa: towards a participatory model to increase stakeholder involvement in carbon markets. </w:t>
      </w:r>
      <w:r w:rsidR="00D27874" w:rsidRPr="004D58E6">
        <w:rPr>
          <w:rFonts w:cs="Times New Roman"/>
          <w:i/>
          <w:iCs/>
          <w:szCs w:val="24"/>
        </w:rPr>
        <w:t>Int J Environ Stud</w:t>
      </w:r>
      <w:r w:rsidR="009B7B51" w:rsidRPr="004D58E6">
        <w:rPr>
          <w:rFonts w:cs="Times New Roman"/>
          <w:szCs w:val="24"/>
        </w:rPr>
        <w:t>.,</w:t>
      </w:r>
      <w:r w:rsidR="00D27874" w:rsidRPr="004D58E6">
        <w:rPr>
          <w:rFonts w:cs="Times New Roman"/>
          <w:szCs w:val="24"/>
        </w:rPr>
        <w:t>75</w:t>
      </w:r>
      <w:r w:rsidR="009B7B51" w:rsidRPr="004D58E6">
        <w:rPr>
          <w:rFonts w:cs="Times New Roman"/>
          <w:szCs w:val="24"/>
        </w:rPr>
        <w:t>,</w:t>
      </w:r>
      <w:r w:rsidR="00D27874" w:rsidRPr="004D58E6">
        <w:rPr>
          <w:rFonts w:cs="Times New Roman"/>
          <w:szCs w:val="24"/>
        </w:rPr>
        <w:t xml:space="preserve"> 251-266.</w:t>
      </w:r>
    </w:p>
    <w:p w14:paraId="6A4FE71F" w14:textId="77777777" w:rsidR="00321F92" w:rsidRDefault="00D27874" w:rsidP="000D7C39">
      <w:pPr>
        <w:spacing w:after="0"/>
        <w:ind w:left="720" w:hanging="720"/>
        <w:rPr>
          <w:rFonts w:eastAsia="Times New Roman" w:cs="Times New Roman"/>
          <w:szCs w:val="24"/>
          <w:lang w:eastAsia="en-GB"/>
        </w:rPr>
      </w:pPr>
      <w:bookmarkStart w:id="488" w:name="_Hlk166852287"/>
      <w:bookmarkEnd w:id="487"/>
      <w:r w:rsidRPr="00DC3C6D">
        <w:rPr>
          <w:rFonts w:eastAsia="Times New Roman" w:cs="Times New Roman"/>
          <w:szCs w:val="24"/>
          <w:lang w:eastAsia="en-GB"/>
        </w:rPr>
        <w:t>Doimo, I., Masiero, M. and Gatto, P. (2020)</w:t>
      </w:r>
      <w:r>
        <w:rPr>
          <w:rFonts w:eastAsia="Times New Roman" w:cs="Times New Roman"/>
          <w:szCs w:val="24"/>
          <w:lang w:eastAsia="en-GB"/>
        </w:rPr>
        <w:t xml:space="preserve">. </w:t>
      </w:r>
      <w:r w:rsidRPr="00DC3C6D">
        <w:rPr>
          <w:rFonts w:eastAsia="Times New Roman" w:cs="Times New Roman"/>
          <w:szCs w:val="24"/>
          <w:lang w:eastAsia="en-GB"/>
        </w:rPr>
        <w:t xml:space="preserve">Forest and wellbeing: bridging </w:t>
      </w:r>
    </w:p>
    <w:p w14:paraId="166279B0" w14:textId="77777777" w:rsidR="00D27874" w:rsidRPr="00DC3C6D" w:rsidRDefault="0036368F"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DC3C6D">
        <w:rPr>
          <w:rFonts w:eastAsia="Times New Roman" w:cs="Times New Roman"/>
          <w:szCs w:val="24"/>
          <w:lang w:eastAsia="en-GB"/>
        </w:rPr>
        <w:t>medical and forest</w:t>
      </w:r>
      <w:r w:rsidR="00D27874">
        <w:rPr>
          <w:rFonts w:eastAsia="Times New Roman" w:cs="Times New Roman"/>
          <w:szCs w:val="24"/>
          <w:lang w:eastAsia="en-GB"/>
        </w:rPr>
        <w:t xml:space="preserve"> </w:t>
      </w:r>
      <w:r w:rsidR="00D27874" w:rsidRPr="00DC3C6D">
        <w:rPr>
          <w:rFonts w:eastAsia="Times New Roman" w:cs="Times New Roman"/>
          <w:szCs w:val="24"/>
          <w:lang w:eastAsia="en-GB"/>
        </w:rPr>
        <w:t>research for effective forest-based initiatives</w:t>
      </w:r>
      <w:r w:rsidR="00D27874">
        <w:rPr>
          <w:rFonts w:eastAsia="Times New Roman" w:cs="Times New Roman"/>
          <w:szCs w:val="24"/>
          <w:lang w:eastAsia="en-GB"/>
        </w:rPr>
        <w:t xml:space="preserve">. </w:t>
      </w:r>
      <w:r w:rsidR="00D27874" w:rsidRPr="00364A37">
        <w:rPr>
          <w:rFonts w:eastAsia="Times New Roman" w:cs="Times New Roman"/>
          <w:i/>
          <w:iCs/>
          <w:szCs w:val="24"/>
          <w:lang w:eastAsia="en-GB"/>
        </w:rPr>
        <w:t>Forests,</w:t>
      </w:r>
      <w:r w:rsidR="00D27874" w:rsidRPr="00DC3C6D">
        <w:rPr>
          <w:rFonts w:eastAsia="Times New Roman" w:cs="Times New Roman"/>
          <w:szCs w:val="24"/>
          <w:lang w:eastAsia="en-GB"/>
        </w:rPr>
        <w:t xml:space="preserve"> 11</w:t>
      </w:r>
      <w:r w:rsidR="00D27874">
        <w:rPr>
          <w:rFonts w:eastAsia="Times New Roman" w:cs="Times New Roman"/>
          <w:szCs w:val="24"/>
          <w:lang w:eastAsia="en-GB"/>
        </w:rPr>
        <w:t>(</w:t>
      </w:r>
      <w:r w:rsidR="00D27874" w:rsidRPr="00DC3C6D">
        <w:rPr>
          <w:rFonts w:eastAsia="Times New Roman" w:cs="Times New Roman"/>
          <w:szCs w:val="24"/>
          <w:lang w:eastAsia="en-GB"/>
        </w:rPr>
        <w:t>8</w:t>
      </w:r>
      <w:r w:rsidR="00D27874">
        <w:rPr>
          <w:rFonts w:eastAsia="Times New Roman" w:cs="Times New Roman"/>
          <w:szCs w:val="24"/>
          <w:lang w:eastAsia="en-GB"/>
        </w:rPr>
        <w:t>)</w:t>
      </w:r>
      <w:r w:rsidR="00D27874" w:rsidRPr="00DC3C6D">
        <w:rPr>
          <w:rFonts w:eastAsia="Times New Roman" w:cs="Times New Roman"/>
          <w:szCs w:val="24"/>
          <w:lang w:eastAsia="en-GB"/>
        </w:rPr>
        <w:t xml:space="preserve">,1-31, </w:t>
      </w:r>
    </w:p>
    <w:bookmarkEnd w:id="488"/>
    <w:p w14:paraId="026CC84A" w14:textId="77777777" w:rsidR="00321F92" w:rsidRDefault="00D27874" w:rsidP="000D7C39">
      <w:pPr>
        <w:spacing w:after="0"/>
        <w:ind w:left="720" w:hanging="720"/>
      </w:pPr>
      <w:r>
        <w:t xml:space="preserve">Doso Jnr, S., </w:t>
      </w:r>
      <w:proofErr w:type="spellStart"/>
      <w:r>
        <w:t>Ayensu</w:t>
      </w:r>
      <w:proofErr w:type="spellEnd"/>
      <w:r>
        <w:t xml:space="preserve">-Ntim, A., Twumasi-Ankrah, B., &amp; Twum Barimah, P </w:t>
      </w:r>
    </w:p>
    <w:p w14:paraId="224C60AD" w14:textId="77777777" w:rsidR="00D27874" w:rsidRDefault="0036368F" w:rsidP="000D7C39">
      <w:pPr>
        <w:spacing w:after="0"/>
        <w:ind w:left="720" w:hanging="720"/>
      </w:pPr>
      <w:r>
        <w:tab/>
      </w:r>
      <w:r w:rsidR="00D27874">
        <w:t xml:space="preserve">(2015). </w:t>
      </w:r>
      <w:r w:rsidR="00321F92">
        <w:t xml:space="preserve">Effects of loss of agricultural land due to large-scale gold mining on agriculture </w:t>
      </w:r>
      <w:r w:rsidR="00D27874">
        <w:t xml:space="preserve">in Ghana: The Case of the Western Region. </w:t>
      </w:r>
      <w:r w:rsidR="00D27874" w:rsidRPr="00F7064B">
        <w:rPr>
          <w:i/>
          <w:iCs/>
        </w:rPr>
        <w:t>BJR</w:t>
      </w:r>
      <w:r w:rsidR="00D27874">
        <w:t xml:space="preserve">, </w:t>
      </w:r>
      <w:r w:rsidR="00D27874" w:rsidRPr="00243D14">
        <w:t>2</w:t>
      </w:r>
      <w:r w:rsidR="00D27874">
        <w:t>(</w:t>
      </w:r>
      <w:r w:rsidR="00D27874" w:rsidRPr="00243D14">
        <w:t>6</w:t>
      </w:r>
      <w:r w:rsidR="00D27874">
        <w:t xml:space="preserve">), </w:t>
      </w:r>
      <w:r w:rsidR="00D27874" w:rsidRPr="00243D14">
        <w:t>196-221</w:t>
      </w:r>
      <w:r w:rsidR="00D27874">
        <w:t>.</w:t>
      </w:r>
    </w:p>
    <w:p w14:paraId="6D8D09C9" w14:textId="5D518074" w:rsidR="0055119D" w:rsidRDefault="0055119D" w:rsidP="000D7C39">
      <w:pPr>
        <w:spacing w:after="0"/>
        <w:ind w:left="720" w:hanging="720"/>
      </w:pPr>
      <w:r>
        <w:t xml:space="preserve">Downs, A., &amp; Niskanen, W. A. (1971). </w:t>
      </w:r>
      <w:r w:rsidR="00D1664B">
        <w:t xml:space="preserve">Bureaucracy and representative </w:t>
      </w:r>
      <w:r>
        <w:t>government. Transaction Publishers.</w:t>
      </w:r>
      <w:r w:rsidRPr="00C90F7B">
        <w:rPr>
          <w:rFonts w:cs="Times New Roman"/>
          <w:szCs w:val="24"/>
        </w:rPr>
        <w:t xml:space="preserve"> </w:t>
      </w:r>
      <w:r>
        <w:t xml:space="preserve"> </w:t>
      </w:r>
    </w:p>
    <w:p w14:paraId="7FF423E8" w14:textId="0BE18F00" w:rsidR="000D7C39" w:rsidRPr="00524689" w:rsidRDefault="00BF0644" w:rsidP="00524689">
      <w:pPr>
        <w:spacing w:after="0"/>
        <w:ind w:left="720" w:hanging="720"/>
        <w:rPr>
          <w:rFonts w:eastAsia="Times New Roman" w:cs="Times New Roman"/>
          <w:szCs w:val="24"/>
          <w:lang w:eastAsia="en-GB"/>
        </w:rPr>
      </w:pPr>
      <w:proofErr w:type="spellStart"/>
      <w:r w:rsidRPr="00BF0644">
        <w:rPr>
          <w:rFonts w:eastAsia="Times New Roman" w:cs="Times New Roman"/>
          <w:szCs w:val="24"/>
          <w:lang w:eastAsia="en-GB"/>
        </w:rPr>
        <w:t>Duguma</w:t>
      </w:r>
      <w:proofErr w:type="spellEnd"/>
      <w:r w:rsidRPr="00BF0644">
        <w:rPr>
          <w:rFonts w:eastAsia="Times New Roman" w:cs="Times New Roman"/>
          <w:szCs w:val="24"/>
          <w:lang w:eastAsia="en-GB"/>
        </w:rPr>
        <w:t xml:space="preserve">, L. A., Atela, J., </w:t>
      </w:r>
      <w:proofErr w:type="spellStart"/>
      <w:r w:rsidRPr="00BF0644">
        <w:rPr>
          <w:rFonts w:eastAsia="Times New Roman" w:cs="Times New Roman"/>
          <w:szCs w:val="24"/>
          <w:lang w:eastAsia="en-GB"/>
        </w:rPr>
        <w:t>Minang</w:t>
      </w:r>
      <w:proofErr w:type="spellEnd"/>
      <w:r w:rsidRPr="00BF0644">
        <w:rPr>
          <w:rFonts w:eastAsia="Times New Roman" w:cs="Times New Roman"/>
          <w:szCs w:val="24"/>
          <w:lang w:eastAsia="en-GB"/>
        </w:rPr>
        <w:t xml:space="preserve">, P. A., Ayana, A. N., Gizachew, B., </w:t>
      </w:r>
      <w:proofErr w:type="spellStart"/>
      <w:r w:rsidRPr="00BF0644">
        <w:rPr>
          <w:rFonts w:eastAsia="Times New Roman" w:cs="Times New Roman"/>
          <w:szCs w:val="24"/>
          <w:lang w:eastAsia="en-GB"/>
        </w:rPr>
        <w:t>Nzyoka</w:t>
      </w:r>
      <w:proofErr w:type="spellEnd"/>
      <w:r w:rsidRPr="00BF0644">
        <w:rPr>
          <w:rFonts w:eastAsia="Times New Roman" w:cs="Times New Roman"/>
          <w:szCs w:val="24"/>
          <w:lang w:eastAsia="en-GB"/>
        </w:rPr>
        <w:t xml:space="preserve">, J. M., &amp; Bernard, F. (2019). Deforestation and forest degradation as an environmental </w:t>
      </w:r>
      <w:proofErr w:type="spellStart"/>
      <w:r w:rsidRPr="00BF0644">
        <w:rPr>
          <w:rFonts w:eastAsia="Times New Roman" w:cs="Times New Roman"/>
          <w:szCs w:val="24"/>
          <w:lang w:eastAsia="en-GB"/>
        </w:rPr>
        <w:t>behavior</w:t>
      </w:r>
      <w:proofErr w:type="spellEnd"/>
      <w:r w:rsidRPr="00BF0644">
        <w:rPr>
          <w:rFonts w:eastAsia="Times New Roman" w:cs="Times New Roman"/>
          <w:szCs w:val="24"/>
          <w:lang w:eastAsia="en-GB"/>
        </w:rPr>
        <w:t xml:space="preserve">: unpacking realities shaping community actions. </w:t>
      </w:r>
      <w:r w:rsidRPr="00BF0644">
        <w:rPr>
          <w:rFonts w:eastAsia="Times New Roman" w:cs="Times New Roman"/>
          <w:i/>
          <w:iCs/>
          <w:szCs w:val="24"/>
          <w:lang w:eastAsia="en-GB"/>
        </w:rPr>
        <w:t>Land</w:t>
      </w:r>
      <w:r w:rsidRPr="00BF0644">
        <w:rPr>
          <w:rFonts w:eastAsia="Times New Roman" w:cs="Times New Roman"/>
          <w:szCs w:val="24"/>
          <w:lang w:eastAsia="en-GB"/>
        </w:rPr>
        <w:t xml:space="preserve">, </w:t>
      </w:r>
      <w:r w:rsidRPr="00BF0644">
        <w:rPr>
          <w:rFonts w:eastAsia="Times New Roman" w:cs="Times New Roman"/>
          <w:i/>
          <w:iCs/>
          <w:szCs w:val="24"/>
          <w:lang w:eastAsia="en-GB"/>
        </w:rPr>
        <w:t>8</w:t>
      </w:r>
      <w:r w:rsidRPr="00BF0644">
        <w:rPr>
          <w:rFonts w:eastAsia="Times New Roman" w:cs="Times New Roman"/>
          <w:szCs w:val="24"/>
          <w:lang w:eastAsia="en-GB"/>
        </w:rPr>
        <w:t>(2), 26</w:t>
      </w:r>
      <w:r w:rsidR="00A6233A">
        <w:rPr>
          <w:rFonts w:eastAsia="Times New Roman" w:cs="Times New Roman"/>
          <w:szCs w:val="24"/>
          <w:lang w:eastAsia="en-GB"/>
        </w:rPr>
        <w:t>-43</w:t>
      </w:r>
      <w:bookmarkStart w:id="489" w:name="_Hlk165479628"/>
      <w:r w:rsidR="00524689">
        <w:rPr>
          <w:rFonts w:eastAsia="Times New Roman" w:cs="Times New Roman"/>
          <w:szCs w:val="24"/>
          <w:lang w:eastAsia="en-GB"/>
        </w:rPr>
        <w:t>.</w:t>
      </w:r>
    </w:p>
    <w:p w14:paraId="6725A39D" w14:textId="77777777" w:rsidR="00D27874" w:rsidRDefault="00D27874" w:rsidP="000D7C39">
      <w:pPr>
        <w:spacing w:after="0"/>
        <w:ind w:left="720" w:hanging="720"/>
      </w:pPr>
      <w:proofErr w:type="spellStart"/>
      <w:r>
        <w:t>Duntoye</w:t>
      </w:r>
      <w:proofErr w:type="spellEnd"/>
      <w:r>
        <w:t xml:space="preserve">, S. J. (2015). </w:t>
      </w:r>
      <w:r w:rsidRPr="009B7B51">
        <w:rPr>
          <w:i/>
          <w:iCs/>
        </w:rPr>
        <w:t>Getting the sample size right</w:t>
      </w:r>
      <w:r>
        <w:t xml:space="preserve">. Available online from: </w:t>
      </w:r>
    </w:p>
    <w:p w14:paraId="2A02BBEB" w14:textId="77777777" w:rsidR="00D27874" w:rsidRDefault="0036368F" w:rsidP="000D7C39">
      <w:pPr>
        <w:spacing w:after="0"/>
        <w:ind w:left="720" w:hanging="720"/>
      </w:pPr>
      <w:r>
        <w:tab/>
      </w:r>
      <w:hyperlink r:id="rId42" w:history="1">
        <w:r w:rsidR="00321F92" w:rsidRPr="00F2292D">
          <w:rPr>
            <w:rStyle w:val="Hyperlink"/>
          </w:rPr>
          <w:t>https://www.linkedin.com/pulse/getting-sample-size-right-sunday-j-duntoye</w:t>
        </w:r>
      </w:hyperlink>
      <w:r w:rsidR="00D27874">
        <w:t>.</w:t>
      </w:r>
    </w:p>
    <w:p w14:paraId="6FE46DA7" w14:textId="629E3BA8" w:rsidR="00433E16" w:rsidRPr="00D1664B" w:rsidRDefault="00433E16" w:rsidP="000D7C39">
      <w:pPr>
        <w:spacing w:after="0"/>
        <w:ind w:left="720" w:hanging="720"/>
        <w:rPr>
          <w:i/>
          <w:iCs/>
        </w:rPr>
      </w:pPr>
      <w:r>
        <w:t xml:space="preserve">Durkheim, E. (1895). </w:t>
      </w:r>
      <w:r w:rsidRPr="003A113D">
        <w:rPr>
          <w:i/>
          <w:iCs/>
        </w:rPr>
        <w:t>Introduction to Sociology: The Rules of Sociological Method</w:t>
      </w:r>
      <w:r>
        <w:t xml:space="preserve">. </w:t>
      </w:r>
      <w:hyperlink r:id="rId43" w:history="1">
        <w:r w:rsidR="00782B58" w:rsidRPr="00EA33C9">
          <w:rPr>
            <w:rStyle w:val="Hyperlink"/>
          </w:rPr>
          <w:t>http://www.cf.ac.uk/socsi</w:t>
        </w:r>
      </w:hyperlink>
      <w:r w:rsidR="00782B58">
        <w:t>.</w:t>
      </w:r>
    </w:p>
    <w:p w14:paraId="0A4D0DF2" w14:textId="629C52F3" w:rsidR="00782B58" w:rsidRDefault="00782B58" w:rsidP="000D7C39">
      <w:pPr>
        <w:spacing w:after="0"/>
        <w:ind w:left="720" w:hanging="720"/>
      </w:pPr>
      <w:r>
        <w:t>Evans et al. (2004).</w:t>
      </w:r>
      <w:r w:rsidRPr="006C62AE">
        <w:t xml:space="preserve"> </w:t>
      </w:r>
      <w:r>
        <w:t>Evans, J. and Turnbull, J.W.</w:t>
      </w:r>
      <w:r w:rsidR="00D1664B">
        <w:t xml:space="preserve"> (2004) Plantation Forestry in </w:t>
      </w:r>
      <w:r>
        <w:t>the Tropics. 3rd Edition, Oxford University Press, 467.</w:t>
      </w:r>
    </w:p>
    <w:p w14:paraId="0295766C" w14:textId="0C05D9E5" w:rsidR="00F41483" w:rsidRPr="00634A67" w:rsidRDefault="00F41483" w:rsidP="000D7C39">
      <w:pPr>
        <w:spacing w:after="0"/>
        <w:ind w:left="720" w:hanging="720"/>
        <w:rPr>
          <w:lang w:eastAsia="en-GB"/>
        </w:rPr>
      </w:pPr>
      <w:bookmarkStart w:id="490" w:name="_Hlk195387537"/>
      <w:r w:rsidRPr="00634A67">
        <w:rPr>
          <w:lang w:eastAsia="en-GB"/>
        </w:rPr>
        <w:t xml:space="preserve">Fa, J. E., Watson, J. E., Leiper, I., Potapov, P., Evans, T. D., Burgess, N. D., ... &amp; Garnett, S. T. (2020). Importance of Indigenous Peoples’ lands for </w:t>
      </w:r>
      <w:r w:rsidRPr="00634A67">
        <w:rPr>
          <w:lang w:eastAsia="en-GB"/>
        </w:rPr>
        <w:lastRenderedPageBreak/>
        <w:t xml:space="preserve">the conservation of Intact Forest Landscapes. </w:t>
      </w:r>
      <w:r w:rsidRPr="00634A67">
        <w:rPr>
          <w:i/>
          <w:iCs/>
          <w:lang w:eastAsia="en-GB"/>
        </w:rPr>
        <w:t>Frontiers in Ecology and the Environment</w:t>
      </w:r>
      <w:r w:rsidRPr="00634A67">
        <w:rPr>
          <w:lang w:eastAsia="en-GB"/>
        </w:rPr>
        <w:t xml:space="preserve">, </w:t>
      </w:r>
      <w:r w:rsidRPr="00634A67">
        <w:rPr>
          <w:i/>
          <w:iCs/>
          <w:lang w:eastAsia="en-GB"/>
        </w:rPr>
        <w:t>18</w:t>
      </w:r>
      <w:r w:rsidRPr="00634A67">
        <w:rPr>
          <w:lang w:eastAsia="en-GB"/>
        </w:rPr>
        <w:t>(3), 135-140.</w:t>
      </w:r>
    </w:p>
    <w:bookmarkEnd w:id="489"/>
    <w:bookmarkEnd w:id="490"/>
    <w:p w14:paraId="09DB5A91" w14:textId="1C5322D4" w:rsidR="000F6C31" w:rsidRPr="000F6C31" w:rsidRDefault="000F6C31" w:rsidP="000D7C39">
      <w:pPr>
        <w:spacing w:after="0"/>
        <w:ind w:left="720" w:hanging="720"/>
        <w:rPr>
          <w:rFonts w:eastAsia="Times New Roman" w:cs="Times New Roman"/>
          <w:szCs w:val="24"/>
          <w:lang w:eastAsia="en-GB"/>
        </w:rPr>
      </w:pPr>
      <w:r w:rsidRPr="000F6C31">
        <w:rPr>
          <w:rFonts w:eastAsia="Times New Roman" w:cs="Times New Roman"/>
          <w:szCs w:val="24"/>
          <w:lang w:eastAsia="en-GB"/>
        </w:rPr>
        <w:t xml:space="preserve">Fabricius, C., &amp; Collins, S. (2007). Community-based natural resource management: governing the commons. </w:t>
      </w:r>
      <w:r w:rsidRPr="000F6C31">
        <w:rPr>
          <w:rFonts w:eastAsia="Times New Roman" w:cs="Times New Roman"/>
          <w:i/>
          <w:iCs/>
          <w:szCs w:val="24"/>
          <w:lang w:eastAsia="en-GB"/>
        </w:rPr>
        <w:t>Water Policy</w:t>
      </w:r>
      <w:r w:rsidRPr="000F6C31">
        <w:rPr>
          <w:rFonts w:eastAsia="Times New Roman" w:cs="Times New Roman"/>
          <w:szCs w:val="24"/>
          <w:lang w:eastAsia="en-GB"/>
        </w:rPr>
        <w:t xml:space="preserve">, </w:t>
      </w:r>
      <w:r w:rsidRPr="000F6C31">
        <w:rPr>
          <w:rFonts w:eastAsia="Times New Roman" w:cs="Times New Roman"/>
          <w:i/>
          <w:iCs/>
          <w:szCs w:val="24"/>
          <w:lang w:eastAsia="en-GB"/>
        </w:rPr>
        <w:t>9</w:t>
      </w:r>
      <w:r w:rsidRPr="000F6C31">
        <w:rPr>
          <w:rFonts w:eastAsia="Times New Roman" w:cs="Times New Roman"/>
          <w:szCs w:val="24"/>
          <w:lang w:eastAsia="en-GB"/>
        </w:rPr>
        <w:t>(2), 83-97.</w:t>
      </w:r>
    </w:p>
    <w:p w14:paraId="45EFDFD7" w14:textId="2D620B44" w:rsidR="00D27874" w:rsidRDefault="00D27874" w:rsidP="000D7C39">
      <w:pPr>
        <w:pStyle w:val="BodyText"/>
        <w:spacing w:after="0"/>
        <w:ind w:left="720" w:hanging="720"/>
        <w:rPr>
          <w:rFonts w:cs="Times New Roman"/>
          <w:szCs w:val="24"/>
        </w:rPr>
      </w:pPr>
      <w:r w:rsidRPr="00191A6B">
        <w:rPr>
          <w:rFonts w:cs="Times New Roman"/>
          <w:szCs w:val="24"/>
        </w:rPr>
        <w:t>FAO</w:t>
      </w:r>
      <w:r w:rsidR="0053226F">
        <w:rPr>
          <w:rFonts w:cs="Times New Roman"/>
          <w:szCs w:val="24"/>
        </w:rPr>
        <w:t>.</w:t>
      </w:r>
      <w:r w:rsidRPr="00191A6B">
        <w:rPr>
          <w:rFonts w:cs="Times New Roman"/>
          <w:szCs w:val="24"/>
        </w:rPr>
        <w:t xml:space="preserve"> (2012). </w:t>
      </w:r>
      <w:r w:rsidRPr="00DE71FD">
        <w:rPr>
          <w:rFonts w:cs="Times New Roman"/>
          <w:i/>
          <w:iCs/>
          <w:szCs w:val="24"/>
        </w:rPr>
        <w:t>FRA 2015, Forest Futures Methodology</w:t>
      </w:r>
      <w:r w:rsidRPr="00191A6B">
        <w:rPr>
          <w:rFonts w:cs="Times New Roman"/>
          <w:szCs w:val="24"/>
        </w:rPr>
        <w:t>. FAO, Rome.</w:t>
      </w:r>
    </w:p>
    <w:p w14:paraId="3BD1E1E8" w14:textId="27A1B95F" w:rsidR="00A444E5" w:rsidRDefault="00A444E5" w:rsidP="000D7C39">
      <w:pPr>
        <w:pStyle w:val="BodyText"/>
        <w:spacing w:after="0"/>
        <w:ind w:left="720" w:hanging="720"/>
        <w:rPr>
          <w:rFonts w:cs="Times New Roman"/>
          <w:szCs w:val="24"/>
        </w:rPr>
      </w:pPr>
      <w:r w:rsidRPr="00A444E5">
        <w:rPr>
          <w:rFonts w:cs="Times New Roman"/>
          <w:szCs w:val="24"/>
        </w:rPr>
        <w:t xml:space="preserve">FAO. </w:t>
      </w:r>
      <w:r>
        <w:rPr>
          <w:rFonts w:cs="Times New Roman"/>
          <w:szCs w:val="24"/>
        </w:rPr>
        <w:t>(</w:t>
      </w:r>
      <w:r w:rsidRPr="00A444E5">
        <w:rPr>
          <w:rFonts w:cs="Times New Roman"/>
          <w:szCs w:val="24"/>
        </w:rPr>
        <w:t>2005</w:t>
      </w:r>
      <w:r>
        <w:rPr>
          <w:rFonts w:cs="Times New Roman"/>
          <w:szCs w:val="24"/>
        </w:rPr>
        <w:t>)</w:t>
      </w:r>
      <w:r w:rsidRPr="00A444E5">
        <w:rPr>
          <w:rFonts w:cs="Times New Roman"/>
          <w:szCs w:val="24"/>
        </w:rPr>
        <w:t>. Global Forest Resources Assessment 2005,</w:t>
      </w:r>
      <w:r>
        <w:rPr>
          <w:rFonts w:cs="Times New Roman"/>
          <w:szCs w:val="24"/>
        </w:rPr>
        <w:t xml:space="preserve"> </w:t>
      </w:r>
      <w:r w:rsidRPr="00A444E5">
        <w:rPr>
          <w:rFonts w:cs="Times New Roman"/>
          <w:szCs w:val="24"/>
        </w:rPr>
        <w:t>Progress towards sustainable forest management.</w:t>
      </w:r>
      <w:r>
        <w:rPr>
          <w:rFonts w:cs="Times New Roman"/>
          <w:szCs w:val="24"/>
        </w:rPr>
        <w:t xml:space="preserve"> </w:t>
      </w:r>
      <w:r w:rsidRPr="00A444E5">
        <w:rPr>
          <w:rFonts w:cs="Times New Roman"/>
          <w:szCs w:val="24"/>
        </w:rPr>
        <w:t>Vol. 147 of FAO Forestry Paper. Food and Agriculture Organization of the United Nations, Rome.</w:t>
      </w:r>
    </w:p>
    <w:p w14:paraId="17AC061F" w14:textId="7ED4912A" w:rsidR="0093167D" w:rsidRPr="00191A6B" w:rsidRDefault="0093167D" w:rsidP="000D7C39">
      <w:pPr>
        <w:pStyle w:val="BodyText"/>
        <w:spacing w:after="0"/>
        <w:ind w:left="720" w:hanging="720"/>
        <w:rPr>
          <w:rFonts w:cs="Times New Roman"/>
          <w:szCs w:val="24"/>
        </w:rPr>
      </w:pPr>
      <w:r w:rsidRPr="0093167D">
        <w:rPr>
          <w:rFonts w:cs="Times New Roman"/>
          <w:szCs w:val="24"/>
        </w:rPr>
        <w:t>FAO.</w:t>
      </w:r>
      <w:r w:rsidR="0053226F">
        <w:rPr>
          <w:rFonts w:cs="Times New Roman"/>
          <w:szCs w:val="24"/>
        </w:rPr>
        <w:t xml:space="preserve"> (</w:t>
      </w:r>
      <w:r w:rsidRPr="0093167D">
        <w:rPr>
          <w:rFonts w:cs="Times New Roman"/>
          <w:szCs w:val="24"/>
        </w:rPr>
        <w:t>2003b</w:t>
      </w:r>
      <w:r w:rsidR="0053226F">
        <w:rPr>
          <w:rFonts w:cs="Times New Roman"/>
          <w:szCs w:val="24"/>
        </w:rPr>
        <w:t>)</w:t>
      </w:r>
      <w:r w:rsidRPr="0093167D">
        <w:rPr>
          <w:rFonts w:cs="Times New Roman"/>
          <w:szCs w:val="24"/>
        </w:rPr>
        <w:t>. Commission on Genetic Resources</w:t>
      </w:r>
      <w:r>
        <w:rPr>
          <w:rFonts w:cs="Times New Roman"/>
          <w:szCs w:val="24"/>
        </w:rPr>
        <w:t xml:space="preserve"> </w:t>
      </w:r>
      <w:r w:rsidRPr="0093167D">
        <w:rPr>
          <w:rFonts w:cs="Times New Roman"/>
          <w:szCs w:val="24"/>
        </w:rPr>
        <w:t>for Food and Agriculture (www.fao.org/ag).</w:t>
      </w:r>
    </w:p>
    <w:p w14:paraId="1E6B2129" w14:textId="77777777" w:rsidR="00D27874" w:rsidRDefault="00D27874" w:rsidP="000D7C39">
      <w:pPr>
        <w:spacing w:after="0"/>
        <w:ind w:left="720" w:hanging="720"/>
      </w:pPr>
      <w:bookmarkStart w:id="491" w:name="_Hlk166852360"/>
      <w:r>
        <w:t xml:space="preserve">FAO (2015). </w:t>
      </w:r>
      <w:r w:rsidRPr="009B7B51">
        <w:rPr>
          <w:i/>
          <w:iCs/>
        </w:rPr>
        <w:t>Strengthening criteria and indicators (C&amp;I) for sustainable forest management (SFM) in policy and practice</w:t>
      </w:r>
      <w:r>
        <w:t>. In: Lobal FAO C&amp;I Expert Workshop, FAO Rome, Italy.</w:t>
      </w:r>
      <w:bookmarkEnd w:id="491"/>
    </w:p>
    <w:p w14:paraId="5412793C" w14:textId="19A87AD8" w:rsidR="000D7C39" w:rsidRPr="00524689" w:rsidRDefault="0093167D" w:rsidP="00524689">
      <w:pPr>
        <w:spacing w:after="0"/>
        <w:ind w:left="720" w:hanging="720"/>
        <w:rPr>
          <w:rFonts w:eastAsia="Times New Roman" w:cs="Times New Roman"/>
          <w:szCs w:val="24"/>
          <w:lang w:eastAsia="en-GB"/>
        </w:rPr>
      </w:pPr>
      <w:r w:rsidRPr="00DF64C7">
        <w:rPr>
          <w:rFonts w:eastAsia="Times New Roman" w:cs="Times New Roman"/>
          <w:szCs w:val="24"/>
          <w:lang w:eastAsia="en-GB"/>
        </w:rPr>
        <w:t>FAO. (2015). FAOSTAT. Food and Agriculture Organization of the United Nations, Rome, Italy.</w:t>
      </w:r>
      <w:bookmarkStart w:id="492" w:name="_Hlk166852446"/>
    </w:p>
    <w:p w14:paraId="0EE3E482" w14:textId="77777777" w:rsidR="00321F92" w:rsidRDefault="00D27874" w:rsidP="000D7C39">
      <w:pPr>
        <w:spacing w:after="0"/>
        <w:ind w:left="720" w:hanging="720"/>
      </w:pPr>
      <w:r>
        <w:t xml:space="preserve">FAO (2020a). The State of the World’s Forests 2020. Forest, Biodiversity and </w:t>
      </w:r>
    </w:p>
    <w:p w14:paraId="57C2150F" w14:textId="77777777" w:rsidR="00D27874" w:rsidRDefault="0036368F" w:rsidP="000D7C39">
      <w:pPr>
        <w:spacing w:after="0"/>
        <w:ind w:left="720" w:hanging="720"/>
      </w:pPr>
      <w:r>
        <w:tab/>
      </w:r>
      <w:r w:rsidR="00D27874">
        <w:t xml:space="preserve">People. Food and Agriculture Organisation of the United Nations (FAO), Rome Field, A. (2005) Reliability analysis. In: Field, A., Ed., Discovering Statistics Using SPSS </w:t>
      </w:r>
      <w:r w:rsidR="00DE71FD">
        <w:t>(</w:t>
      </w:r>
      <w:r w:rsidR="00D27874">
        <w:t xml:space="preserve">2nd </w:t>
      </w:r>
      <w:r w:rsidR="00DE71FD">
        <w:t>ed)</w:t>
      </w:r>
      <w:r w:rsidR="00D27874">
        <w:t>, Sage, London, Chapter 15.</w:t>
      </w:r>
    </w:p>
    <w:bookmarkEnd w:id="492"/>
    <w:p w14:paraId="4BAEC561" w14:textId="77777777" w:rsidR="00C37C7C" w:rsidRDefault="00C37C7C" w:rsidP="000D7C39">
      <w:pPr>
        <w:spacing w:after="0"/>
        <w:ind w:left="720" w:hanging="720"/>
        <w:rPr>
          <w:rFonts w:cs="Times New Roman"/>
          <w:i/>
          <w:iCs/>
          <w:szCs w:val="24"/>
        </w:rPr>
      </w:pPr>
      <w:r w:rsidRPr="00CF7673">
        <w:rPr>
          <w:rFonts w:cs="Times New Roman"/>
          <w:szCs w:val="24"/>
        </w:rPr>
        <w:t xml:space="preserve">FAO/ITTO/INAB. </w:t>
      </w:r>
      <w:r>
        <w:rPr>
          <w:rFonts w:cs="Times New Roman"/>
          <w:szCs w:val="24"/>
        </w:rPr>
        <w:t>(</w:t>
      </w:r>
      <w:r w:rsidRPr="00CF7673">
        <w:rPr>
          <w:rFonts w:cs="Times New Roman"/>
          <w:szCs w:val="24"/>
        </w:rPr>
        <w:t>2003</w:t>
      </w:r>
      <w:r>
        <w:rPr>
          <w:rFonts w:cs="Times New Roman"/>
          <w:szCs w:val="24"/>
        </w:rPr>
        <w:t>)</w:t>
      </w:r>
      <w:r w:rsidRPr="00CF7673">
        <w:rPr>
          <w:rFonts w:cs="Times New Roman"/>
          <w:szCs w:val="24"/>
        </w:rPr>
        <w:t xml:space="preserve">. </w:t>
      </w:r>
      <w:r w:rsidRPr="00EA3054">
        <w:rPr>
          <w:rFonts w:cs="Times New Roman"/>
          <w:i/>
          <w:iCs/>
          <w:szCs w:val="24"/>
        </w:rPr>
        <w:t xml:space="preserve">International Conference on the Contribution of </w:t>
      </w:r>
    </w:p>
    <w:p w14:paraId="0AD6E76B" w14:textId="54F353B3" w:rsidR="00C37C7C" w:rsidRDefault="0036368F" w:rsidP="000D7C39">
      <w:pPr>
        <w:spacing w:after="0"/>
        <w:ind w:left="720" w:hanging="720"/>
        <w:rPr>
          <w:rFonts w:cs="Times New Roman"/>
          <w:szCs w:val="24"/>
        </w:rPr>
      </w:pPr>
      <w:r>
        <w:rPr>
          <w:rFonts w:cs="Times New Roman"/>
          <w:i/>
          <w:iCs/>
          <w:szCs w:val="24"/>
        </w:rPr>
        <w:tab/>
      </w:r>
      <w:r w:rsidR="00C37C7C" w:rsidRPr="00EA3054">
        <w:rPr>
          <w:rFonts w:cs="Times New Roman"/>
          <w:i/>
          <w:iCs/>
          <w:szCs w:val="24"/>
        </w:rPr>
        <w:t>Criteria and Indicators for Sustainable Forest Management: The Way Forward. Final Report, 1.</w:t>
      </w:r>
      <w:r w:rsidR="00C37C7C" w:rsidRPr="00CF7673">
        <w:rPr>
          <w:rFonts w:cs="Times New Roman"/>
          <w:szCs w:val="24"/>
        </w:rPr>
        <w:t xml:space="preserve"> Rome.</w:t>
      </w:r>
    </w:p>
    <w:p w14:paraId="70A70EF3" w14:textId="1EC88463" w:rsidR="003D4878" w:rsidRPr="003D4878" w:rsidRDefault="003D4878" w:rsidP="000D7C39">
      <w:pPr>
        <w:pStyle w:val="BodyText"/>
        <w:spacing w:after="0"/>
        <w:ind w:left="720" w:hanging="720"/>
      </w:pPr>
      <w:r>
        <w:t>Fernandez</w:t>
      </w:r>
      <w:r w:rsidR="000F555F">
        <w:t>,</w:t>
      </w:r>
      <w:r>
        <w:t xml:space="preserve"> R.</w:t>
      </w:r>
      <w:r w:rsidR="000F555F">
        <w:t xml:space="preserve"> </w:t>
      </w:r>
      <w:r>
        <w:t>S, Davidson P., Griffiths R</w:t>
      </w:r>
      <w:r w:rsidR="000D7C39">
        <w:t xml:space="preserve">., Juergens C., Stafford B., &amp; </w:t>
      </w:r>
      <w:proofErr w:type="spellStart"/>
      <w:r>
        <w:t>Salamonson</w:t>
      </w:r>
      <w:proofErr w:type="spellEnd"/>
      <w:r>
        <w:t xml:space="preserve"> Y. A (2009). Pilot randomised controlled trial comparing a health-related lifestyle self-management intervention with standard </w:t>
      </w:r>
      <w:r>
        <w:lastRenderedPageBreak/>
        <w:t xml:space="preserve">cardiac rehabilitation following an acute cardiac event: Implications for a larger clinical trial. </w:t>
      </w:r>
      <w:r w:rsidRPr="008C1095">
        <w:rPr>
          <w:i/>
          <w:iCs/>
        </w:rPr>
        <w:t>Australian Critical Care</w:t>
      </w:r>
      <w:r>
        <w:t>., 22, 17-27</w:t>
      </w:r>
    </w:p>
    <w:p w14:paraId="7178AACA" w14:textId="3D151E81" w:rsidR="00D27874" w:rsidRDefault="00D27874" w:rsidP="000D7C39">
      <w:pPr>
        <w:spacing w:after="0"/>
        <w:ind w:left="720" w:hanging="720"/>
      </w:pPr>
      <w:r w:rsidRPr="00756BC8">
        <w:t>Fetters, M. D., Curry, L. A., &amp; Creswell, J. W. (2013). Achieving integration in mixed</w:t>
      </w:r>
      <w:r w:rsidR="00321F92">
        <w:t xml:space="preserve"> </w:t>
      </w:r>
      <w:r w:rsidRPr="00756BC8">
        <w:t xml:space="preserve">methods designs—principles and practices. </w:t>
      </w:r>
      <w:r w:rsidRPr="00756BC8">
        <w:rPr>
          <w:i/>
          <w:iCs/>
        </w:rPr>
        <w:t>Health services research</w:t>
      </w:r>
      <w:r w:rsidRPr="00756BC8">
        <w:t xml:space="preserve">, </w:t>
      </w:r>
      <w:r w:rsidRPr="00036055">
        <w:t>48</w:t>
      </w:r>
      <w:r w:rsidRPr="00756BC8">
        <w:t>, 2134-2156</w:t>
      </w:r>
      <w:r w:rsidR="00E036B5">
        <w:t>.</w:t>
      </w:r>
    </w:p>
    <w:p w14:paraId="2A365CC6" w14:textId="11FDC05A" w:rsidR="00E036B5" w:rsidRDefault="00E036B5" w:rsidP="000D7C39">
      <w:pPr>
        <w:spacing w:after="0"/>
        <w:ind w:left="720" w:hanging="720"/>
        <w:rPr>
          <w:rFonts w:eastAsia="Times New Roman" w:cs="Times New Roman"/>
          <w:szCs w:val="24"/>
          <w:lang w:eastAsia="en-GB"/>
        </w:rPr>
      </w:pPr>
      <w:bookmarkStart w:id="493" w:name="_Hlk195387576"/>
      <w:r w:rsidRPr="00E036B5">
        <w:rPr>
          <w:rFonts w:eastAsia="Times New Roman" w:cs="Times New Roman"/>
          <w:szCs w:val="24"/>
          <w:lang w:eastAsia="en-GB"/>
        </w:rPr>
        <w:t xml:space="preserve">Field, A. P. (2005). Is the meta-analysis of correlation coefficients accurate when population correlations </w:t>
      </w:r>
      <w:proofErr w:type="gramStart"/>
      <w:r w:rsidRPr="00E036B5">
        <w:rPr>
          <w:rFonts w:eastAsia="Times New Roman" w:cs="Times New Roman"/>
          <w:szCs w:val="24"/>
          <w:lang w:eastAsia="en-GB"/>
        </w:rPr>
        <w:t>vary?.</w:t>
      </w:r>
      <w:proofErr w:type="gramEnd"/>
      <w:r w:rsidRPr="00E036B5">
        <w:rPr>
          <w:rFonts w:eastAsia="Times New Roman" w:cs="Times New Roman"/>
          <w:szCs w:val="24"/>
          <w:lang w:eastAsia="en-GB"/>
        </w:rPr>
        <w:t xml:space="preserve"> </w:t>
      </w:r>
      <w:r w:rsidRPr="00E036B5">
        <w:rPr>
          <w:rFonts w:eastAsia="Times New Roman" w:cs="Times New Roman"/>
          <w:i/>
          <w:iCs/>
          <w:szCs w:val="24"/>
          <w:lang w:eastAsia="en-GB"/>
        </w:rPr>
        <w:t>Psychological methods</w:t>
      </w:r>
      <w:r w:rsidRPr="00E036B5">
        <w:rPr>
          <w:rFonts w:eastAsia="Times New Roman" w:cs="Times New Roman"/>
          <w:szCs w:val="24"/>
          <w:lang w:eastAsia="en-GB"/>
        </w:rPr>
        <w:t xml:space="preserve">, </w:t>
      </w:r>
      <w:r w:rsidRPr="00E036B5">
        <w:rPr>
          <w:rFonts w:eastAsia="Times New Roman" w:cs="Times New Roman"/>
          <w:i/>
          <w:iCs/>
          <w:szCs w:val="24"/>
          <w:lang w:eastAsia="en-GB"/>
        </w:rPr>
        <w:t>10</w:t>
      </w:r>
      <w:r w:rsidRPr="00E036B5">
        <w:rPr>
          <w:rFonts w:eastAsia="Times New Roman" w:cs="Times New Roman"/>
          <w:szCs w:val="24"/>
          <w:lang w:eastAsia="en-GB"/>
        </w:rPr>
        <w:t>(4), 444</w:t>
      </w:r>
      <w:r w:rsidR="00BD1F59">
        <w:rPr>
          <w:rFonts w:eastAsia="Times New Roman" w:cs="Times New Roman"/>
          <w:szCs w:val="24"/>
          <w:lang w:eastAsia="en-GB"/>
        </w:rPr>
        <w:t>-467</w:t>
      </w:r>
      <w:r w:rsidRPr="00E036B5">
        <w:rPr>
          <w:rFonts w:eastAsia="Times New Roman" w:cs="Times New Roman"/>
          <w:szCs w:val="24"/>
          <w:lang w:eastAsia="en-GB"/>
        </w:rPr>
        <w:t>.</w:t>
      </w:r>
    </w:p>
    <w:bookmarkEnd w:id="493"/>
    <w:p w14:paraId="15523B0F" w14:textId="08292398" w:rsidR="00451CDA" w:rsidRPr="00D1664B" w:rsidRDefault="00451CDA" w:rsidP="000D7C39">
      <w:pPr>
        <w:spacing w:after="0"/>
        <w:ind w:left="720" w:hanging="720"/>
        <w:rPr>
          <w:rFonts w:eastAsia="Times New Roman" w:cs="Times New Roman"/>
          <w:i/>
          <w:iCs/>
          <w:szCs w:val="24"/>
          <w:lang w:eastAsia="en-GB"/>
        </w:rPr>
      </w:pPr>
      <w:proofErr w:type="spellStart"/>
      <w:r w:rsidRPr="00424BC9">
        <w:rPr>
          <w:rFonts w:eastAsia="Times New Roman" w:cs="Times New Roman"/>
          <w:szCs w:val="24"/>
          <w:lang w:eastAsia="en-GB"/>
        </w:rPr>
        <w:t>Fligstein</w:t>
      </w:r>
      <w:proofErr w:type="spellEnd"/>
      <w:r w:rsidRPr="00424BC9">
        <w:rPr>
          <w:rFonts w:eastAsia="Times New Roman" w:cs="Times New Roman"/>
          <w:szCs w:val="24"/>
          <w:lang w:eastAsia="en-GB"/>
        </w:rPr>
        <w:t xml:space="preserve">, N. (1997). Social skill and institutional theory. </w:t>
      </w:r>
      <w:r w:rsidRPr="00424BC9">
        <w:rPr>
          <w:rFonts w:eastAsia="Times New Roman" w:cs="Times New Roman"/>
          <w:i/>
          <w:iCs/>
          <w:szCs w:val="24"/>
          <w:lang w:eastAsia="en-GB"/>
        </w:rPr>
        <w:t xml:space="preserve">American </w:t>
      </w:r>
      <w:proofErr w:type="spellStart"/>
      <w:r w:rsidRPr="00424BC9">
        <w:rPr>
          <w:rFonts w:eastAsia="Times New Roman" w:cs="Times New Roman"/>
          <w:i/>
          <w:iCs/>
          <w:szCs w:val="24"/>
          <w:lang w:eastAsia="en-GB"/>
        </w:rPr>
        <w:t>behavioral</w:t>
      </w:r>
      <w:proofErr w:type="spellEnd"/>
      <w:r w:rsidRPr="00424BC9">
        <w:rPr>
          <w:rFonts w:eastAsia="Times New Roman" w:cs="Times New Roman"/>
          <w:i/>
          <w:iCs/>
          <w:szCs w:val="24"/>
          <w:lang w:eastAsia="en-GB"/>
        </w:rPr>
        <w:t xml:space="preserve"> scientist</w:t>
      </w:r>
      <w:r w:rsidRPr="00424BC9">
        <w:rPr>
          <w:rFonts w:eastAsia="Times New Roman" w:cs="Times New Roman"/>
          <w:szCs w:val="24"/>
          <w:lang w:eastAsia="en-GB"/>
        </w:rPr>
        <w:t xml:space="preserve">, </w:t>
      </w:r>
      <w:r w:rsidRPr="00424BC9">
        <w:rPr>
          <w:rFonts w:eastAsia="Times New Roman" w:cs="Times New Roman"/>
          <w:i/>
          <w:iCs/>
          <w:szCs w:val="24"/>
          <w:lang w:eastAsia="en-GB"/>
        </w:rPr>
        <w:t>40</w:t>
      </w:r>
      <w:r w:rsidRPr="00424BC9">
        <w:rPr>
          <w:rFonts w:eastAsia="Times New Roman" w:cs="Times New Roman"/>
          <w:szCs w:val="24"/>
          <w:lang w:eastAsia="en-GB"/>
        </w:rPr>
        <w:t>(4), 397-405.</w:t>
      </w:r>
    </w:p>
    <w:p w14:paraId="3D3D0D0E" w14:textId="77777777" w:rsidR="00C37C7C" w:rsidRDefault="00C37C7C" w:rsidP="000D7C39">
      <w:pPr>
        <w:spacing w:after="0"/>
        <w:ind w:left="720" w:hanging="720"/>
        <w:rPr>
          <w:rFonts w:cs="Times New Roman"/>
          <w:i/>
          <w:iCs/>
          <w:szCs w:val="24"/>
        </w:rPr>
      </w:pPr>
      <w:r w:rsidRPr="00CF7673">
        <w:rPr>
          <w:rFonts w:cs="Times New Roman"/>
          <w:szCs w:val="24"/>
        </w:rPr>
        <w:t>Floyd, D</w:t>
      </w:r>
      <w:r>
        <w:rPr>
          <w:rFonts w:cs="Times New Roman"/>
          <w:szCs w:val="24"/>
        </w:rPr>
        <w:t>.</w:t>
      </w:r>
      <w:r w:rsidRPr="00CF7673">
        <w:rPr>
          <w:rFonts w:cs="Times New Roman"/>
          <w:szCs w:val="24"/>
        </w:rPr>
        <w:t xml:space="preserve"> W. </w:t>
      </w:r>
      <w:r>
        <w:rPr>
          <w:rFonts w:cs="Times New Roman"/>
          <w:szCs w:val="24"/>
        </w:rPr>
        <w:t xml:space="preserve">(2002). </w:t>
      </w:r>
      <w:r w:rsidRPr="00613302">
        <w:rPr>
          <w:rFonts w:cs="Times New Roman"/>
          <w:i/>
          <w:iCs/>
          <w:szCs w:val="24"/>
        </w:rPr>
        <w:t xml:space="preserve">In the Eye of the Beholder, in Forest Sustainability: The </w:t>
      </w:r>
    </w:p>
    <w:p w14:paraId="0D8B88D5" w14:textId="674060CC" w:rsidR="000D7C39" w:rsidRPr="00524689" w:rsidRDefault="0036368F" w:rsidP="00524689">
      <w:pPr>
        <w:spacing w:after="0"/>
        <w:ind w:left="720" w:hanging="720"/>
        <w:rPr>
          <w:rFonts w:cs="Times New Roman"/>
          <w:szCs w:val="24"/>
        </w:rPr>
      </w:pPr>
      <w:r>
        <w:rPr>
          <w:rFonts w:cs="Times New Roman"/>
          <w:i/>
          <w:iCs/>
          <w:szCs w:val="24"/>
        </w:rPr>
        <w:tab/>
      </w:r>
      <w:r w:rsidR="00C37C7C" w:rsidRPr="00613302">
        <w:rPr>
          <w:rFonts w:cs="Times New Roman"/>
          <w:i/>
          <w:iCs/>
          <w:szCs w:val="24"/>
        </w:rPr>
        <w:t>History, the Challenge, the Promise</w:t>
      </w:r>
      <w:r w:rsidR="00C37C7C" w:rsidRPr="00CF7673">
        <w:rPr>
          <w:rFonts w:cs="Times New Roman"/>
          <w:szCs w:val="24"/>
        </w:rPr>
        <w:t>. Durham, NC</w:t>
      </w:r>
      <w:bookmarkStart w:id="494" w:name="_Hlk166105007"/>
      <w:r w:rsidR="00524689">
        <w:rPr>
          <w:rFonts w:cs="Times New Roman"/>
          <w:szCs w:val="24"/>
        </w:rPr>
        <w:t>: Forest History Society, 2002.</w:t>
      </w:r>
    </w:p>
    <w:p w14:paraId="025771AB" w14:textId="7367534C" w:rsidR="00DA01E1" w:rsidRDefault="00D27874" w:rsidP="000D7C39">
      <w:pPr>
        <w:spacing w:after="0"/>
        <w:ind w:left="720" w:hanging="720"/>
      </w:pPr>
      <w:r>
        <w:t>Foli, S., Ros-Tonen, M., Reed, J., &amp; Sunderland, T. (2018)</w:t>
      </w:r>
      <w:r w:rsidR="00654D4B">
        <w:t>.</w:t>
      </w:r>
      <w:r>
        <w:t xml:space="preserve"> Natural resource </w:t>
      </w:r>
    </w:p>
    <w:p w14:paraId="6FB07054" w14:textId="77777777" w:rsidR="00D27874" w:rsidRDefault="0036368F" w:rsidP="000D7C39">
      <w:pPr>
        <w:spacing w:after="0"/>
        <w:ind w:left="720" w:hanging="720"/>
      </w:pPr>
      <w:r>
        <w:tab/>
      </w:r>
      <w:r w:rsidR="00D27874">
        <w:t xml:space="preserve">management schemes as entry points for integrated landscape approaches: evidence from Ghana and Burkina Faso. </w:t>
      </w:r>
      <w:r w:rsidR="00D27874" w:rsidRPr="00D046BA">
        <w:rPr>
          <w:i/>
          <w:iCs/>
        </w:rPr>
        <w:t>Environ Manag</w:t>
      </w:r>
      <w:r w:rsidR="00036055">
        <w:rPr>
          <w:i/>
          <w:iCs/>
        </w:rPr>
        <w:t>,</w:t>
      </w:r>
      <w:r w:rsidR="00D27874">
        <w:t xml:space="preserve"> 62</w:t>
      </w:r>
      <w:r w:rsidR="00036055">
        <w:t>,</w:t>
      </w:r>
      <w:r w:rsidR="00D27874">
        <w:t>82–97</w:t>
      </w:r>
      <w:r w:rsidR="00036055">
        <w:t>.</w:t>
      </w:r>
    </w:p>
    <w:bookmarkEnd w:id="494"/>
    <w:p w14:paraId="5ED24419" w14:textId="77777777" w:rsidR="00AE12FF" w:rsidRDefault="00D27874" w:rsidP="000D7C39">
      <w:pPr>
        <w:spacing w:after="0"/>
        <w:ind w:left="720" w:hanging="720"/>
        <w:rPr>
          <w:rFonts w:eastAsia="Times New Roman" w:cs="Times New Roman"/>
          <w:szCs w:val="24"/>
          <w:lang w:eastAsia="en-GB"/>
        </w:rPr>
      </w:pPr>
      <w:r w:rsidRPr="00857659">
        <w:rPr>
          <w:rFonts w:eastAsia="Times New Roman" w:cs="Times New Roman"/>
          <w:szCs w:val="24"/>
          <w:lang w:eastAsia="en-GB"/>
        </w:rPr>
        <w:t xml:space="preserve">Folke, C., Biggs, R., </w:t>
      </w:r>
      <w:proofErr w:type="spellStart"/>
      <w:r w:rsidRPr="00857659">
        <w:rPr>
          <w:rFonts w:eastAsia="Times New Roman" w:cs="Times New Roman"/>
          <w:szCs w:val="24"/>
          <w:lang w:eastAsia="en-GB"/>
        </w:rPr>
        <w:t>Norström</w:t>
      </w:r>
      <w:proofErr w:type="spellEnd"/>
      <w:r w:rsidRPr="00857659">
        <w:rPr>
          <w:rFonts w:eastAsia="Times New Roman" w:cs="Times New Roman"/>
          <w:szCs w:val="24"/>
          <w:lang w:eastAsia="en-GB"/>
        </w:rPr>
        <w:t xml:space="preserve">, A. V., Reyers, B., &amp; </w:t>
      </w:r>
      <w:proofErr w:type="spellStart"/>
      <w:r w:rsidRPr="00857659">
        <w:rPr>
          <w:rFonts w:eastAsia="Times New Roman" w:cs="Times New Roman"/>
          <w:szCs w:val="24"/>
          <w:lang w:eastAsia="en-GB"/>
        </w:rPr>
        <w:t>Rockström</w:t>
      </w:r>
      <w:proofErr w:type="spellEnd"/>
      <w:r w:rsidRPr="00857659">
        <w:rPr>
          <w:rFonts w:eastAsia="Times New Roman" w:cs="Times New Roman"/>
          <w:szCs w:val="24"/>
          <w:lang w:eastAsia="en-GB"/>
        </w:rPr>
        <w:t xml:space="preserve">, J. (2016). </w:t>
      </w:r>
    </w:p>
    <w:p w14:paraId="438B4E1F" w14:textId="4C74D8A7" w:rsidR="00D27874" w:rsidRDefault="0036368F"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857659">
        <w:rPr>
          <w:rFonts w:eastAsia="Times New Roman" w:cs="Times New Roman"/>
          <w:szCs w:val="24"/>
          <w:lang w:eastAsia="en-GB"/>
        </w:rPr>
        <w:t xml:space="preserve">Social-ecological resilience and biosphere-based sustainability science. </w:t>
      </w:r>
      <w:r w:rsidR="00D27874" w:rsidRPr="00857659">
        <w:rPr>
          <w:rFonts w:eastAsia="Times New Roman" w:cs="Times New Roman"/>
          <w:i/>
          <w:iCs/>
          <w:szCs w:val="24"/>
          <w:lang w:eastAsia="en-GB"/>
        </w:rPr>
        <w:t>Ecology and Society</w:t>
      </w:r>
      <w:r w:rsidR="00D27874" w:rsidRPr="00857659">
        <w:rPr>
          <w:rFonts w:eastAsia="Times New Roman" w:cs="Times New Roman"/>
          <w:szCs w:val="24"/>
          <w:lang w:eastAsia="en-GB"/>
        </w:rPr>
        <w:t xml:space="preserve">, </w:t>
      </w:r>
      <w:r w:rsidR="00AF39A6">
        <w:rPr>
          <w:rFonts w:eastAsia="Times New Roman" w:cs="Times New Roman"/>
          <w:szCs w:val="24"/>
          <w:lang w:eastAsia="en-GB"/>
        </w:rPr>
        <w:t>21(3), 41-57.</w:t>
      </w:r>
    </w:p>
    <w:p w14:paraId="74A4D18F" w14:textId="1E13D94E" w:rsidR="00496F9C" w:rsidRPr="00496F9C" w:rsidRDefault="00496F9C" w:rsidP="000D7C39">
      <w:pPr>
        <w:pStyle w:val="BodyText"/>
        <w:spacing w:after="0"/>
        <w:ind w:left="720" w:hanging="720"/>
      </w:pPr>
      <w:r>
        <w:t>Forestry Commission (2014). National</w:t>
      </w:r>
      <w:r w:rsidR="00D1664B">
        <w:t xml:space="preserve"> REDD+ R-PP Implementation Mid-</w:t>
      </w:r>
      <w:r>
        <w:t>Term Progress Report and Request for Additional Funding. Ghana Forestry Commission.</w:t>
      </w:r>
    </w:p>
    <w:p w14:paraId="5240C956" w14:textId="77777777" w:rsidR="00AE12FF" w:rsidRDefault="00D27874" w:rsidP="000D7C39">
      <w:pPr>
        <w:spacing w:after="0"/>
        <w:ind w:left="720" w:hanging="720"/>
        <w:rPr>
          <w:rFonts w:cs="Times New Roman"/>
          <w:szCs w:val="24"/>
        </w:rPr>
      </w:pPr>
      <w:r w:rsidRPr="00C425C4">
        <w:rPr>
          <w:rFonts w:cs="Times New Roman"/>
          <w:szCs w:val="24"/>
        </w:rPr>
        <w:t xml:space="preserve">Forestry Research Institute of Ghana (FORIG). </w:t>
      </w:r>
      <w:r w:rsidR="00036055">
        <w:rPr>
          <w:rFonts w:cs="Times New Roman"/>
          <w:szCs w:val="24"/>
        </w:rPr>
        <w:t>(</w:t>
      </w:r>
      <w:r w:rsidRPr="00C425C4">
        <w:rPr>
          <w:rFonts w:cs="Times New Roman"/>
          <w:szCs w:val="24"/>
        </w:rPr>
        <w:t>2011</w:t>
      </w:r>
      <w:r w:rsidR="00036055">
        <w:rPr>
          <w:rFonts w:cs="Times New Roman"/>
          <w:szCs w:val="24"/>
        </w:rPr>
        <w:t>)</w:t>
      </w:r>
      <w:r w:rsidRPr="00C425C4">
        <w:rPr>
          <w:rFonts w:cs="Times New Roman"/>
          <w:szCs w:val="24"/>
        </w:rPr>
        <w:t xml:space="preserve">. Available </w:t>
      </w:r>
    </w:p>
    <w:p w14:paraId="1A78CC6D" w14:textId="77777777" w:rsidR="00D27874" w:rsidRDefault="0036368F" w:rsidP="000D7C39">
      <w:pPr>
        <w:spacing w:after="0"/>
        <w:ind w:left="720" w:hanging="720"/>
        <w:rPr>
          <w:rStyle w:val="Hyperlink"/>
          <w:rFonts w:eastAsia="Times New Roman" w:cs="Times New Roman"/>
          <w:szCs w:val="24"/>
          <w:lang w:eastAsia="en-GB"/>
        </w:rPr>
      </w:pPr>
      <w:r>
        <w:rPr>
          <w:rFonts w:cs="Times New Roman"/>
          <w:szCs w:val="24"/>
        </w:rPr>
        <w:tab/>
      </w:r>
      <w:r w:rsidR="00D27874" w:rsidRPr="00C425C4">
        <w:rPr>
          <w:rFonts w:cs="Times New Roman"/>
          <w:szCs w:val="24"/>
        </w:rPr>
        <w:t>online:</w:t>
      </w:r>
      <w:r w:rsidR="00AE12FF">
        <w:rPr>
          <w:rFonts w:cs="Times New Roman"/>
          <w:szCs w:val="24"/>
        </w:rPr>
        <w:t xml:space="preserve"> </w:t>
      </w:r>
      <w:hyperlink r:id="rId44" w:history="1">
        <w:r w:rsidR="00C37C7C" w:rsidRPr="00F54409">
          <w:rPr>
            <w:rStyle w:val="Hyperlink"/>
            <w:rFonts w:cs="Times New Roman"/>
            <w:szCs w:val="24"/>
          </w:rPr>
          <w:t>http://csir-orig.org.gh/</w:t>
        </w:r>
        <w:r w:rsidR="00C37C7C" w:rsidRPr="00F54409">
          <w:rPr>
            <w:rStyle w:val="Hyperlink"/>
            <w:rFonts w:eastAsia="Times New Roman" w:cs="Times New Roman"/>
            <w:szCs w:val="24"/>
            <w:lang w:eastAsia="en-GB"/>
          </w:rPr>
          <w:t>Front. For. Glob. Change 3:581334</w:t>
        </w:r>
      </w:hyperlink>
    </w:p>
    <w:p w14:paraId="54C142A2" w14:textId="418D42BF" w:rsidR="001A5BDC" w:rsidRPr="001A5BDC" w:rsidRDefault="001A5BDC" w:rsidP="000D7C39">
      <w:pPr>
        <w:pStyle w:val="BodyText"/>
        <w:spacing w:after="0"/>
        <w:ind w:left="720" w:hanging="720"/>
        <w:rPr>
          <w:lang w:eastAsia="en-GB"/>
        </w:rPr>
      </w:pPr>
      <w:bookmarkStart w:id="495" w:name="_Hlk166852798"/>
      <w:r>
        <w:lastRenderedPageBreak/>
        <w:t>Forestry Services Division (2012). Annual report</w:t>
      </w:r>
      <w:r w:rsidR="00AA69DC">
        <w:t>.</w:t>
      </w:r>
    </w:p>
    <w:bookmarkEnd w:id="495"/>
    <w:p w14:paraId="27471F75" w14:textId="77777777" w:rsidR="00C37C7C" w:rsidRDefault="00C37C7C" w:rsidP="000D7C39">
      <w:pPr>
        <w:spacing w:after="0"/>
        <w:ind w:left="720" w:hanging="720"/>
        <w:rPr>
          <w:rFonts w:cs="Times New Roman"/>
          <w:szCs w:val="24"/>
        </w:rPr>
      </w:pPr>
      <w:r w:rsidRPr="00CF7673">
        <w:rPr>
          <w:rFonts w:cs="Times New Roman"/>
          <w:szCs w:val="24"/>
        </w:rPr>
        <w:t>Forest Europe (2011)</w:t>
      </w:r>
      <w:r>
        <w:rPr>
          <w:rFonts w:cs="Times New Roman"/>
          <w:szCs w:val="24"/>
        </w:rPr>
        <w:t>.</w:t>
      </w:r>
      <w:r w:rsidRPr="00CF7673">
        <w:rPr>
          <w:rFonts w:cs="Times New Roman"/>
          <w:szCs w:val="24"/>
        </w:rPr>
        <w:t xml:space="preserve"> State of Europe’s Forests. Status and Trends in </w:t>
      </w:r>
    </w:p>
    <w:p w14:paraId="6E8E8545" w14:textId="77777777" w:rsidR="00C37C7C" w:rsidRPr="00CF7673" w:rsidRDefault="0036368F" w:rsidP="000D7C39">
      <w:pPr>
        <w:spacing w:after="0"/>
        <w:ind w:left="720" w:hanging="720"/>
        <w:rPr>
          <w:rFonts w:cs="Times New Roman"/>
          <w:szCs w:val="24"/>
        </w:rPr>
      </w:pPr>
      <w:r>
        <w:rPr>
          <w:rFonts w:cs="Times New Roman"/>
          <w:szCs w:val="24"/>
        </w:rPr>
        <w:tab/>
      </w:r>
      <w:r w:rsidR="00C37C7C" w:rsidRPr="00CF7673">
        <w:rPr>
          <w:rFonts w:cs="Times New Roman"/>
          <w:szCs w:val="24"/>
        </w:rPr>
        <w:t xml:space="preserve">Sustainable Forest Management in Europe. Forest </w:t>
      </w:r>
      <w:r w:rsidR="00C37C7C" w:rsidRPr="00613302">
        <w:rPr>
          <w:rFonts w:cs="Times New Roman"/>
          <w:i/>
          <w:iCs/>
          <w:szCs w:val="24"/>
        </w:rPr>
        <w:t>Europe, United Nations Economic Commission for Europe. Food and Agriculture Organization, Oslo, Norway, 337</w:t>
      </w:r>
      <w:r w:rsidR="00C37C7C" w:rsidRPr="00CF7673">
        <w:rPr>
          <w:rFonts w:cs="Times New Roman"/>
          <w:szCs w:val="24"/>
        </w:rPr>
        <w:t xml:space="preserve">. Availability from </w:t>
      </w:r>
      <w:r w:rsidR="00C37C7C" w:rsidRPr="00566F1D">
        <w:rPr>
          <w:rFonts w:cs="Times New Roman"/>
          <w:szCs w:val="24"/>
        </w:rPr>
        <w:t xml:space="preserve"> </w:t>
      </w:r>
      <w:hyperlink w:history="1">
        <w:r w:rsidR="00D15027" w:rsidRPr="00566F1D">
          <w:rPr>
            <w:rStyle w:val="Hyperlink"/>
            <w:rFonts w:cs="Times New Roman"/>
            <w:color w:val="auto"/>
            <w:szCs w:val="24"/>
            <w:u w:val="none"/>
          </w:rPr>
          <w:t>http://www. foresteurope.org/pBl7xY4UEJFW9S_TdLVYDCFspY39Ec720-U9or6XP.ips</w:t>
        </w:r>
      </w:hyperlink>
    </w:p>
    <w:p w14:paraId="41F21403" w14:textId="2CE071F3" w:rsidR="00292948" w:rsidRPr="00D1664B" w:rsidRDefault="00D27874" w:rsidP="000D7C39">
      <w:pPr>
        <w:spacing w:after="0"/>
        <w:ind w:left="720" w:hanging="720"/>
      </w:pPr>
      <w:bookmarkStart w:id="496" w:name="_Hlk165479691"/>
      <w:r w:rsidRPr="006422F3">
        <w:t xml:space="preserve">Fowler, F. J. (2015). </w:t>
      </w:r>
      <w:r w:rsidRPr="00A75C79">
        <w:rPr>
          <w:i/>
          <w:iCs/>
        </w:rPr>
        <w:t>Survey research methods</w:t>
      </w:r>
      <w:r w:rsidRPr="006422F3">
        <w:t>. London: Sage Publications.</w:t>
      </w:r>
      <w:bookmarkStart w:id="497" w:name="_Hlk166105048"/>
      <w:r w:rsidR="00D1664B">
        <w:t xml:space="preserve"> </w:t>
      </w:r>
      <w:proofErr w:type="spellStart"/>
      <w:r w:rsidR="00A13412" w:rsidRPr="00A13412">
        <w:rPr>
          <w:rFonts w:eastAsia="Times New Roman" w:cs="Times New Roman"/>
          <w:szCs w:val="24"/>
          <w:lang w:eastAsia="en-GB"/>
        </w:rPr>
        <w:t>Fromentin</w:t>
      </w:r>
      <w:proofErr w:type="spellEnd"/>
      <w:r w:rsidR="00A13412" w:rsidRPr="00A13412">
        <w:rPr>
          <w:rFonts w:eastAsia="Times New Roman" w:cs="Times New Roman"/>
          <w:szCs w:val="24"/>
          <w:lang w:eastAsia="en-GB"/>
        </w:rPr>
        <w:t xml:space="preserve">, J. M., Emery, M. R., Donaldson, J., Danner, M. C., </w:t>
      </w:r>
      <w:proofErr w:type="spellStart"/>
      <w:r w:rsidR="00A13412" w:rsidRPr="00A13412">
        <w:rPr>
          <w:rFonts w:eastAsia="Times New Roman" w:cs="Times New Roman"/>
          <w:szCs w:val="24"/>
          <w:lang w:eastAsia="en-GB"/>
        </w:rPr>
        <w:t>Hallosserie</w:t>
      </w:r>
      <w:proofErr w:type="spellEnd"/>
      <w:r w:rsidR="00A13412" w:rsidRPr="00A13412">
        <w:rPr>
          <w:rFonts w:eastAsia="Times New Roman" w:cs="Times New Roman"/>
          <w:szCs w:val="24"/>
          <w:lang w:eastAsia="en-GB"/>
        </w:rPr>
        <w:t xml:space="preserve">, </w:t>
      </w:r>
    </w:p>
    <w:p w14:paraId="2943E24B" w14:textId="32F6F3F2" w:rsidR="00A13412" w:rsidRDefault="00A13412" w:rsidP="000D7C39">
      <w:pPr>
        <w:spacing w:after="0"/>
        <w:ind w:left="720" w:hanging="720"/>
        <w:rPr>
          <w:rFonts w:eastAsia="Times New Roman" w:cs="Times New Roman"/>
          <w:szCs w:val="24"/>
          <w:lang w:eastAsia="en-GB"/>
        </w:rPr>
      </w:pPr>
      <w:r w:rsidRPr="00A13412">
        <w:rPr>
          <w:rFonts w:eastAsia="Times New Roman" w:cs="Times New Roman"/>
          <w:szCs w:val="24"/>
          <w:lang w:eastAsia="en-GB"/>
        </w:rPr>
        <w:t>A., Kieling, D., ... &amp; Tittensor, D. (2022). The thematic assessment report on the sustainable use of wild species: summary for policymakers.</w:t>
      </w:r>
      <w:r w:rsidR="00414911">
        <w:rPr>
          <w:rFonts w:eastAsia="Times New Roman" w:cs="Times New Roman"/>
          <w:szCs w:val="24"/>
          <w:lang w:eastAsia="en-GB"/>
        </w:rPr>
        <w:t xml:space="preserve"> </w:t>
      </w:r>
    </w:p>
    <w:p w14:paraId="61E40E3E" w14:textId="39803B63" w:rsidR="003079B8" w:rsidRPr="003079B8" w:rsidRDefault="003079B8" w:rsidP="000D7C39">
      <w:pPr>
        <w:spacing w:after="0"/>
        <w:ind w:left="720" w:hanging="720"/>
        <w:rPr>
          <w:rFonts w:eastAsia="Times New Roman" w:cs="Times New Roman"/>
          <w:szCs w:val="24"/>
          <w:lang w:eastAsia="en-GB"/>
        </w:rPr>
      </w:pPr>
      <w:r w:rsidRPr="003079B8">
        <w:rPr>
          <w:rFonts w:eastAsia="Times New Roman" w:cs="Times New Roman"/>
          <w:szCs w:val="24"/>
          <w:lang w:eastAsia="en-GB"/>
        </w:rPr>
        <w:t xml:space="preserve">Larson, A. J., Jeronimo, S. M., Hessburg, P. F., Lutz, J. A., </w:t>
      </w:r>
      <w:proofErr w:type="spellStart"/>
      <w:r w:rsidRPr="003079B8">
        <w:rPr>
          <w:rFonts w:eastAsia="Times New Roman" w:cs="Times New Roman"/>
          <w:szCs w:val="24"/>
          <w:lang w:eastAsia="en-GB"/>
        </w:rPr>
        <w:t>Povak</w:t>
      </w:r>
      <w:proofErr w:type="spellEnd"/>
      <w:r w:rsidRPr="003079B8">
        <w:rPr>
          <w:rFonts w:eastAsia="Times New Roman" w:cs="Times New Roman"/>
          <w:szCs w:val="24"/>
          <w:lang w:eastAsia="en-GB"/>
        </w:rPr>
        <w:t xml:space="preserve">, N. A., Cansler, C. A., ... &amp; Churchill, D. J. (2022). Tamm Review: Ecological principles to guide post-fire forest landscape management in the Inland Pacific and Northern Rocky Mountain regions. </w:t>
      </w:r>
      <w:r w:rsidRPr="003079B8">
        <w:rPr>
          <w:rFonts w:eastAsia="Times New Roman" w:cs="Times New Roman"/>
          <w:i/>
          <w:iCs/>
          <w:szCs w:val="24"/>
          <w:lang w:eastAsia="en-GB"/>
        </w:rPr>
        <w:t>Forest Ecology and Management</w:t>
      </w:r>
      <w:r w:rsidRPr="003079B8">
        <w:rPr>
          <w:rFonts w:eastAsia="Times New Roman" w:cs="Times New Roman"/>
          <w:szCs w:val="24"/>
          <w:lang w:eastAsia="en-GB"/>
        </w:rPr>
        <w:t xml:space="preserve">, </w:t>
      </w:r>
      <w:r w:rsidRPr="003079B8">
        <w:rPr>
          <w:rFonts w:eastAsia="Times New Roman" w:cs="Times New Roman"/>
          <w:i/>
          <w:iCs/>
          <w:szCs w:val="24"/>
          <w:lang w:eastAsia="en-GB"/>
        </w:rPr>
        <w:t>504</w:t>
      </w:r>
      <w:r w:rsidRPr="003079B8">
        <w:rPr>
          <w:rFonts w:eastAsia="Times New Roman" w:cs="Times New Roman"/>
          <w:szCs w:val="24"/>
          <w:lang w:eastAsia="en-GB"/>
        </w:rPr>
        <w:t xml:space="preserve">, </w:t>
      </w:r>
      <w:r w:rsidR="00AF39A6">
        <w:rPr>
          <w:rFonts w:eastAsia="Times New Roman" w:cs="Times New Roman"/>
          <w:szCs w:val="24"/>
          <w:lang w:eastAsia="en-GB"/>
        </w:rPr>
        <w:t>1-66</w:t>
      </w:r>
      <w:r w:rsidRPr="003079B8">
        <w:rPr>
          <w:rFonts w:eastAsia="Times New Roman" w:cs="Times New Roman"/>
          <w:szCs w:val="24"/>
          <w:lang w:eastAsia="en-GB"/>
        </w:rPr>
        <w:t>.</w:t>
      </w:r>
    </w:p>
    <w:bookmarkEnd w:id="496"/>
    <w:bookmarkEnd w:id="497"/>
    <w:p w14:paraId="25F75544" w14:textId="77777777" w:rsidR="00AE12FF" w:rsidRDefault="00D27874" w:rsidP="000D7C39">
      <w:pPr>
        <w:spacing w:after="0"/>
        <w:ind w:left="720" w:hanging="720"/>
        <w:rPr>
          <w:i/>
          <w:iCs/>
        </w:rPr>
      </w:pPr>
      <w:r>
        <w:t xml:space="preserve">Gall, M., Gall, J., &amp; Borg, R. (2007). </w:t>
      </w:r>
      <w:r w:rsidRPr="00483371">
        <w:rPr>
          <w:i/>
          <w:iCs/>
        </w:rPr>
        <w:t xml:space="preserve">Educational research: An introduction </w:t>
      </w:r>
    </w:p>
    <w:p w14:paraId="1C8ED5D1" w14:textId="77777777" w:rsidR="00D27874" w:rsidRDefault="0036368F" w:rsidP="000D7C39">
      <w:pPr>
        <w:spacing w:after="0"/>
        <w:ind w:left="720" w:hanging="720"/>
      </w:pPr>
      <w:r>
        <w:rPr>
          <w:i/>
          <w:iCs/>
        </w:rPr>
        <w:tab/>
      </w:r>
      <w:r w:rsidR="00D27874" w:rsidRPr="00483371">
        <w:rPr>
          <w:i/>
          <w:iCs/>
        </w:rPr>
        <w:t>(8th ed.)</w:t>
      </w:r>
      <w:r w:rsidR="00D27874">
        <w:t>. New York, NY: Pearson Education.</w:t>
      </w:r>
    </w:p>
    <w:p w14:paraId="584E3181" w14:textId="3C556662" w:rsidR="00BC7910" w:rsidRPr="00BC7910" w:rsidRDefault="00BC7910" w:rsidP="000D7C39">
      <w:pPr>
        <w:spacing w:after="0"/>
        <w:ind w:left="720" w:hanging="720"/>
        <w:rPr>
          <w:rFonts w:eastAsia="Times New Roman" w:cs="Times New Roman"/>
          <w:szCs w:val="24"/>
          <w:lang w:eastAsia="en-GB"/>
        </w:rPr>
      </w:pPr>
      <w:r w:rsidRPr="00BC7910">
        <w:rPr>
          <w:rFonts w:eastAsia="Times New Roman" w:cs="Times New Roman"/>
          <w:szCs w:val="24"/>
          <w:lang w:eastAsia="en-GB"/>
        </w:rPr>
        <w:t xml:space="preserve">García-López, G. (2013). Scaling up from the grassroots and the top down: The impacts of multi-level governance on community forestry in Durango, Mexico. </w:t>
      </w:r>
      <w:r w:rsidRPr="00BC7910">
        <w:rPr>
          <w:rFonts w:eastAsia="Times New Roman" w:cs="Times New Roman"/>
          <w:i/>
          <w:iCs/>
          <w:szCs w:val="24"/>
          <w:lang w:eastAsia="en-GB"/>
        </w:rPr>
        <w:t>International Journal of the Commons</w:t>
      </w:r>
      <w:r w:rsidRPr="00BC7910">
        <w:rPr>
          <w:rFonts w:eastAsia="Times New Roman" w:cs="Times New Roman"/>
          <w:szCs w:val="24"/>
          <w:lang w:eastAsia="en-GB"/>
        </w:rPr>
        <w:t xml:space="preserve">, </w:t>
      </w:r>
      <w:r w:rsidRPr="00BC7910">
        <w:rPr>
          <w:rFonts w:eastAsia="Times New Roman" w:cs="Times New Roman"/>
          <w:i/>
          <w:iCs/>
          <w:szCs w:val="24"/>
          <w:lang w:eastAsia="en-GB"/>
        </w:rPr>
        <w:t>7</w:t>
      </w:r>
      <w:r w:rsidRPr="00BC7910">
        <w:rPr>
          <w:rFonts w:eastAsia="Times New Roman" w:cs="Times New Roman"/>
          <w:szCs w:val="24"/>
          <w:lang w:eastAsia="en-GB"/>
        </w:rPr>
        <w:t>(2)</w:t>
      </w:r>
      <w:r w:rsidR="00923164">
        <w:rPr>
          <w:rFonts w:eastAsia="Times New Roman" w:cs="Times New Roman"/>
          <w:szCs w:val="24"/>
          <w:lang w:eastAsia="en-GB"/>
        </w:rPr>
        <w:t>, 406-431.</w:t>
      </w:r>
    </w:p>
    <w:p w14:paraId="0330C5E1" w14:textId="11454AEA" w:rsidR="00496E36" w:rsidRDefault="00496E36" w:rsidP="000D7C39">
      <w:pPr>
        <w:spacing w:after="0"/>
        <w:ind w:left="720" w:hanging="720"/>
      </w:pPr>
      <w:r>
        <w:t>Garrity, D. P., Akinnifesi, F. K., Ajayi, O. C.,</w:t>
      </w:r>
      <w:r w:rsidR="00D1664B">
        <w:t xml:space="preserve"> </w:t>
      </w:r>
      <w:proofErr w:type="spellStart"/>
      <w:r w:rsidR="00D1664B">
        <w:t>Weldesemayat</w:t>
      </w:r>
      <w:proofErr w:type="spellEnd"/>
      <w:r w:rsidR="00D1664B">
        <w:t xml:space="preserve">, S. G., </w:t>
      </w:r>
      <w:proofErr w:type="spellStart"/>
      <w:r w:rsidR="00D1664B">
        <w:t>Mowo</w:t>
      </w:r>
      <w:proofErr w:type="spellEnd"/>
      <w:r w:rsidR="00D1664B">
        <w:t xml:space="preserve">, J. </w:t>
      </w:r>
      <w:r>
        <w:t xml:space="preserve">G., </w:t>
      </w:r>
      <w:proofErr w:type="spellStart"/>
      <w:r>
        <w:t>Kalinganire</w:t>
      </w:r>
      <w:proofErr w:type="spellEnd"/>
      <w:r>
        <w:t xml:space="preserve">, A., &amp; </w:t>
      </w:r>
      <w:proofErr w:type="spellStart"/>
      <w:r>
        <w:t>Larwanou</w:t>
      </w:r>
      <w:proofErr w:type="spellEnd"/>
      <w:r>
        <w:t xml:space="preserve">, M. (2010). Evergreen agriculture: a </w:t>
      </w:r>
      <w:r>
        <w:lastRenderedPageBreak/>
        <w:t xml:space="preserve">robust approach to sustainable food security in Africa. </w:t>
      </w:r>
      <w:r w:rsidRPr="006F5834">
        <w:rPr>
          <w:i/>
          <w:iCs/>
        </w:rPr>
        <w:t>Food Security</w:t>
      </w:r>
      <w:r>
        <w:t>, 2(3), 197-214.</w:t>
      </w:r>
    </w:p>
    <w:p w14:paraId="2EAD6AAC" w14:textId="77777777" w:rsidR="00F82B12" w:rsidRDefault="00F82B12" w:rsidP="000D7C39">
      <w:pPr>
        <w:pStyle w:val="NormalWeb"/>
        <w:spacing w:before="0" w:beforeAutospacing="0" w:after="0" w:afterAutospacing="0" w:line="480" w:lineRule="auto"/>
        <w:ind w:left="720" w:hanging="720"/>
        <w:jc w:val="both"/>
        <w:rPr>
          <w:i/>
          <w:iCs/>
        </w:rPr>
      </w:pPr>
      <w:bookmarkStart w:id="498" w:name="_Hlk195387645"/>
      <w:proofErr w:type="spellStart"/>
      <w:r>
        <w:t>Gaventa</w:t>
      </w:r>
      <w:proofErr w:type="spellEnd"/>
      <w:r>
        <w:t xml:space="preserve">, J. (2006). Finding the spaces for change: A power analysis. </w:t>
      </w:r>
      <w:r w:rsidRPr="00A74384">
        <w:rPr>
          <w:i/>
          <w:iCs/>
        </w:rPr>
        <w:t xml:space="preserve">IDS </w:t>
      </w:r>
    </w:p>
    <w:p w14:paraId="4DE227B8" w14:textId="77777777" w:rsidR="00F82B12" w:rsidRDefault="0036368F" w:rsidP="000D7C39">
      <w:pPr>
        <w:pStyle w:val="NormalWeb"/>
        <w:spacing w:before="0" w:beforeAutospacing="0" w:after="0" w:afterAutospacing="0" w:line="480" w:lineRule="auto"/>
        <w:ind w:left="720" w:hanging="720"/>
        <w:jc w:val="both"/>
      </w:pPr>
      <w:r>
        <w:rPr>
          <w:i/>
          <w:iCs/>
        </w:rPr>
        <w:tab/>
      </w:r>
      <w:r w:rsidR="00F82B12" w:rsidRPr="00A74384">
        <w:rPr>
          <w:i/>
          <w:iCs/>
        </w:rPr>
        <w:t>Bulletin</w:t>
      </w:r>
      <w:r w:rsidR="00F82B12">
        <w:t xml:space="preserve">, 37(6), 23–33. </w:t>
      </w:r>
    </w:p>
    <w:bookmarkEnd w:id="498"/>
    <w:p w14:paraId="781A9282" w14:textId="77777777" w:rsidR="00F82B12" w:rsidRDefault="00F82B12" w:rsidP="000D7C39">
      <w:pPr>
        <w:pStyle w:val="NormalWeb"/>
        <w:spacing w:before="0" w:beforeAutospacing="0" w:after="0" w:afterAutospacing="0" w:line="480" w:lineRule="auto"/>
        <w:ind w:left="720" w:hanging="720"/>
        <w:jc w:val="both"/>
      </w:pPr>
      <w:proofErr w:type="spellStart"/>
      <w:r>
        <w:t>Gaventa</w:t>
      </w:r>
      <w:proofErr w:type="spellEnd"/>
      <w:r>
        <w:t>, J., &amp; Luttrell, C. (2007). The Power Cube explained. The poverty–</w:t>
      </w:r>
    </w:p>
    <w:p w14:paraId="2E738F2C" w14:textId="77777777" w:rsidR="00F82B12" w:rsidRDefault="0036368F" w:rsidP="000D7C39">
      <w:pPr>
        <w:pStyle w:val="NormalWeb"/>
        <w:spacing w:before="0" w:beforeAutospacing="0" w:after="0" w:afterAutospacing="0" w:line="480" w:lineRule="auto"/>
        <w:ind w:left="720" w:hanging="720"/>
        <w:jc w:val="both"/>
      </w:pPr>
      <w:r>
        <w:tab/>
      </w:r>
      <w:r w:rsidR="00F82B12">
        <w:t>wel</w:t>
      </w:r>
      <w:r w:rsidR="00D15027">
        <w:t xml:space="preserve">lbeing platform. Retrieved from </w:t>
      </w:r>
      <w:hyperlink w:history="1">
        <w:r w:rsidR="00D15027" w:rsidRPr="00566F1D">
          <w:rPr>
            <w:rStyle w:val="Hyperlink"/>
            <w:color w:val="auto"/>
            <w:u w:val="none"/>
          </w:rPr>
          <w:t>http://www. shareweb.ch/ site/PovertyWellbeing/addressingpovertyinpractice/Documents/The%20Power%20Cube%20Explained%20-%20Cecilia%20Luttrel</w:t>
        </w:r>
      </w:hyperlink>
    </w:p>
    <w:p w14:paraId="747934A0" w14:textId="7FBD332A" w:rsidR="00433E16" w:rsidRDefault="00433E16" w:rsidP="000D7C39">
      <w:pPr>
        <w:spacing w:after="0"/>
        <w:ind w:left="720" w:hanging="720"/>
      </w:pPr>
      <w:r>
        <w:t xml:space="preserve">Gergen, K. J. (1969). </w:t>
      </w:r>
      <w:r>
        <w:rPr>
          <w:rStyle w:val="Emphasis"/>
        </w:rPr>
        <w:t xml:space="preserve">The psychology of </w:t>
      </w:r>
      <w:proofErr w:type="spellStart"/>
      <w:r>
        <w:rPr>
          <w:rStyle w:val="Emphasis"/>
        </w:rPr>
        <w:t>behavioral</w:t>
      </w:r>
      <w:proofErr w:type="spellEnd"/>
      <w:r>
        <w:rPr>
          <w:rStyle w:val="Emphasis"/>
        </w:rPr>
        <w:t xml:space="preserve"> exchange</w:t>
      </w:r>
      <w:r w:rsidR="00D1664B">
        <w:t xml:space="preserve">. Reading, MA: </w:t>
      </w:r>
      <w:r>
        <w:t xml:space="preserve">Addison-Wesley. </w:t>
      </w:r>
    </w:p>
    <w:p w14:paraId="7528A90F" w14:textId="53BC1E87" w:rsidR="006D1BED" w:rsidRDefault="006D1BED" w:rsidP="000D7C39">
      <w:pPr>
        <w:spacing w:after="0"/>
        <w:ind w:left="720" w:hanging="720"/>
      </w:pPr>
      <w:r>
        <w:t>Gergen, K. J. (1978). Experimentation in social psycholog</w:t>
      </w:r>
      <w:r w:rsidR="00D1664B">
        <w:t xml:space="preserve">y: A reappraisal. </w:t>
      </w:r>
      <w:r>
        <w:rPr>
          <w:rStyle w:val="Emphasis"/>
        </w:rPr>
        <w:t>European Journal of Social Psychology, 8</w:t>
      </w:r>
      <w:r>
        <w:t>(4), 507–527.</w:t>
      </w:r>
    </w:p>
    <w:p w14:paraId="61992D33" w14:textId="661DB291" w:rsidR="00161A79" w:rsidRDefault="00161A79" w:rsidP="000D7C39">
      <w:pPr>
        <w:spacing w:after="0"/>
        <w:ind w:left="720" w:hanging="720"/>
      </w:pPr>
      <w:bookmarkStart w:id="499" w:name="_Hlk195387685"/>
      <w:r>
        <w:t>Ghana Forestry Development Master P</w:t>
      </w:r>
      <w:r w:rsidR="00D1664B">
        <w:t xml:space="preserve">lan (GFDMP) (2016-2036). Final </w:t>
      </w:r>
      <w:r>
        <w:t>Report. Ministry of Lands and Natural Resources, Accra: Ghana.</w:t>
      </w:r>
    </w:p>
    <w:bookmarkEnd w:id="499"/>
    <w:p w14:paraId="22484DE6" w14:textId="03C8ED00" w:rsidR="00AE12FF" w:rsidRPr="00A75C79" w:rsidRDefault="00D27874" w:rsidP="000D7C39">
      <w:pPr>
        <w:spacing w:after="0"/>
        <w:ind w:left="720" w:hanging="720"/>
        <w:rPr>
          <w:i/>
          <w:iCs/>
        </w:rPr>
      </w:pPr>
      <w:r w:rsidRPr="002F3F71">
        <w:t>Ghana Statistical Service (GSS)</w:t>
      </w:r>
      <w:r>
        <w:t>.</w:t>
      </w:r>
      <w:r w:rsidR="00A75C79">
        <w:t xml:space="preserve"> (</w:t>
      </w:r>
      <w:r w:rsidRPr="002F3F71">
        <w:t>2010</w:t>
      </w:r>
      <w:r w:rsidR="00A75C79">
        <w:t>).</w:t>
      </w:r>
      <w:r w:rsidRPr="002F3F71">
        <w:t xml:space="preserve"> </w:t>
      </w:r>
      <w:r w:rsidRPr="00A75C79">
        <w:rPr>
          <w:i/>
          <w:iCs/>
        </w:rPr>
        <w:t xml:space="preserve">Population and Housing Census: </w:t>
      </w:r>
    </w:p>
    <w:p w14:paraId="4AE12BE6" w14:textId="0AB8CFD2" w:rsidR="00D27874" w:rsidRDefault="0036368F" w:rsidP="000D7C39">
      <w:pPr>
        <w:spacing w:after="0"/>
        <w:ind w:left="720" w:hanging="720"/>
      </w:pPr>
      <w:r>
        <w:rPr>
          <w:i/>
          <w:iCs/>
        </w:rPr>
        <w:tab/>
      </w:r>
      <w:r w:rsidR="00D27874" w:rsidRPr="00A75C79">
        <w:rPr>
          <w:i/>
          <w:iCs/>
        </w:rPr>
        <w:t>Regional Analytical Report</w:t>
      </w:r>
      <w:r w:rsidR="00A75C79">
        <w:t>.</w:t>
      </w:r>
      <w:r w:rsidR="00D27874" w:rsidRPr="002F3F71">
        <w:t xml:space="preserve"> Statistical Service, Accra: </w:t>
      </w:r>
      <w:r w:rsidR="00D45F73">
        <w:t>Ghana.</w:t>
      </w:r>
    </w:p>
    <w:p w14:paraId="090AA130" w14:textId="32C6E549" w:rsidR="00D45F73" w:rsidRDefault="00D45F73" w:rsidP="000D7C39">
      <w:pPr>
        <w:spacing w:after="0"/>
        <w:ind w:left="720" w:hanging="720"/>
        <w:rPr>
          <w:rFonts w:eastAsia="Times New Roman" w:cs="Times New Roman"/>
          <w:szCs w:val="24"/>
          <w:lang w:eastAsia="en-GB"/>
        </w:rPr>
      </w:pPr>
      <w:r w:rsidRPr="00D45F73">
        <w:rPr>
          <w:rFonts w:eastAsia="Times New Roman" w:cs="Times New Roman"/>
          <w:szCs w:val="24"/>
          <w:lang w:eastAsia="en-GB"/>
        </w:rPr>
        <w:t xml:space="preserve">Giest, S., &amp; Howlett, M. (2013). Comparative climate change governance: lessons from European transnational municipal network management efforts. </w:t>
      </w:r>
      <w:r w:rsidRPr="00D45F73">
        <w:rPr>
          <w:rFonts w:eastAsia="Times New Roman" w:cs="Times New Roman"/>
          <w:i/>
          <w:iCs/>
          <w:szCs w:val="24"/>
          <w:lang w:eastAsia="en-GB"/>
        </w:rPr>
        <w:t>Environmental Policy and Governance</w:t>
      </w:r>
      <w:r w:rsidRPr="00D45F73">
        <w:rPr>
          <w:rFonts w:eastAsia="Times New Roman" w:cs="Times New Roman"/>
          <w:szCs w:val="24"/>
          <w:lang w:eastAsia="en-GB"/>
        </w:rPr>
        <w:t xml:space="preserve">, </w:t>
      </w:r>
      <w:r w:rsidRPr="00D45F73">
        <w:rPr>
          <w:rFonts w:eastAsia="Times New Roman" w:cs="Times New Roman"/>
          <w:i/>
          <w:iCs/>
          <w:szCs w:val="24"/>
          <w:lang w:eastAsia="en-GB"/>
        </w:rPr>
        <w:t>23</w:t>
      </w:r>
      <w:r w:rsidRPr="00D45F73">
        <w:rPr>
          <w:rFonts w:eastAsia="Times New Roman" w:cs="Times New Roman"/>
          <w:szCs w:val="24"/>
          <w:lang w:eastAsia="en-GB"/>
        </w:rPr>
        <w:t>(6), 341-353.</w:t>
      </w:r>
    </w:p>
    <w:p w14:paraId="1E3CA0EC" w14:textId="3CCE0F0A" w:rsidR="00D1664B" w:rsidRPr="000D7C39" w:rsidRDefault="0034320F" w:rsidP="000D7C39">
      <w:pPr>
        <w:pStyle w:val="BodyText"/>
        <w:spacing w:after="0"/>
        <w:ind w:left="720" w:hanging="720"/>
      </w:pPr>
      <w:r>
        <w:t xml:space="preserve">Golder, B. (2005). Cross-cutting tool stakeholder analysis. </w:t>
      </w:r>
      <w:r w:rsidRPr="00657D87">
        <w:t>Sourcebook for WWF Standards</w:t>
      </w:r>
      <w:r>
        <w:t>.</w:t>
      </w:r>
      <w:bookmarkStart w:id="500" w:name="_Hlk195387706"/>
    </w:p>
    <w:p w14:paraId="3B5DEB00" w14:textId="77777777" w:rsidR="00AE12FF" w:rsidRDefault="00D27874" w:rsidP="000D7C39">
      <w:pPr>
        <w:spacing w:after="0"/>
        <w:ind w:left="720" w:hanging="720"/>
        <w:rPr>
          <w:rFonts w:eastAsia="Times New Roman" w:cs="Times New Roman"/>
          <w:szCs w:val="24"/>
          <w:lang w:eastAsia="en-GB"/>
        </w:rPr>
      </w:pPr>
      <w:r w:rsidRPr="0040086E">
        <w:rPr>
          <w:rFonts w:eastAsia="Times New Roman" w:cs="Times New Roman"/>
          <w:szCs w:val="24"/>
          <w:lang w:eastAsia="en-GB"/>
        </w:rPr>
        <w:t xml:space="preserve">Gondwe, M. F. K., Geldenhuys, C. J., Chirwa, P. W. C., </w:t>
      </w:r>
      <w:proofErr w:type="spellStart"/>
      <w:r w:rsidRPr="0040086E">
        <w:rPr>
          <w:rFonts w:eastAsia="Times New Roman" w:cs="Times New Roman"/>
          <w:szCs w:val="24"/>
          <w:lang w:eastAsia="en-GB"/>
        </w:rPr>
        <w:t>Assédé</w:t>
      </w:r>
      <w:proofErr w:type="spellEnd"/>
      <w:r w:rsidRPr="0040086E">
        <w:rPr>
          <w:rFonts w:eastAsia="Times New Roman" w:cs="Times New Roman"/>
          <w:szCs w:val="24"/>
          <w:lang w:eastAsia="en-GB"/>
        </w:rPr>
        <w:t xml:space="preserve">, E. S. P., </w:t>
      </w:r>
    </w:p>
    <w:p w14:paraId="549A46F9" w14:textId="4A80DE2B" w:rsidR="0036368F" w:rsidRPr="00BA5B22" w:rsidRDefault="0036368F" w:rsidP="000D7C39">
      <w:pPr>
        <w:spacing w:after="0"/>
        <w:ind w:left="720" w:hanging="720"/>
        <w:rPr>
          <w:rFonts w:eastAsia="Times New Roman" w:cs="Times New Roman"/>
          <w:szCs w:val="24"/>
          <w:lang w:eastAsia="en-GB"/>
        </w:rPr>
      </w:pPr>
      <w:r>
        <w:rPr>
          <w:rFonts w:eastAsia="Times New Roman" w:cs="Times New Roman"/>
          <w:szCs w:val="24"/>
          <w:lang w:eastAsia="en-GB"/>
        </w:rPr>
        <w:tab/>
      </w:r>
      <w:proofErr w:type="spellStart"/>
      <w:r w:rsidR="00D27874" w:rsidRPr="00A17D73">
        <w:rPr>
          <w:rFonts w:eastAsia="Times New Roman" w:cs="Times New Roman"/>
          <w:szCs w:val="24"/>
          <w:lang w:val="fr-FR" w:eastAsia="en-GB"/>
        </w:rPr>
        <w:t>Syampungani</w:t>
      </w:r>
      <w:proofErr w:type="spellEnd"/>
      <w:r w:rsidR="00D27874" w:rsidRPr="00A17D73">
        <w:rPr>
          <w:rFonts w:eastAsia="Times New Roman" w:cs="Times New Roman"/>
          <w:szCs w:val="24"/>
          <w:lang w:val="fr-FR" w:eastAsia="en-GB"/>
        </w:rPr>
        <w:t xml:space="preserve">, S., &amp; Cho, M. A. (2021). </w:t>
      </w:r>
      <w:r w:rsidR="00D27874" w:rsidRPr="0040086E">
        <w:rPr>
          <w:rFonts w:eastAsia="Times New Roman" w:cs="Times New Roman"/>
          <w:szCs w:val="24"/>
          <w:lang w:eastAsia="en-GB"/>
        </w:rPr>
        <w:t xml:space="preserve">Tree Species Composition and Diversity in Miombo Woodlands between Co-Managed and </w:t>
      </w:r>
      <w:r w:rsidR="00D27874" w:rsidRPr="0040086E">
        <w:rPr>
          <w:rFonts w:eastAsia="Times New Roman" w:cs="Times New Roman"/>
          <w:szCs w:val="24"/>
          <w:lang w:eastAsia="en-GB"/>
        </w:rPr>
        <w:lastRenderedPageBreak/>
        <w:t xml:space="preserve">Government-Managed Regimes, Malawi. </w:t>
      </w:r>
      <w:r w:rsidR="00D27874" w:rsidRPr="00AD4F30">
        <w:rPr>
          <w:rFonts w:eastAsia="Times New Roman" w:cs="Times New Roman"/>
          <w:i/>
          <w:iCs/>
          <w:szCs w:val="24"/>
          <w:lang w:eastAsia="en-GB"/>
        </w:rPr>
        <w:t>African Journal of Ecology,</w:t>
      </w:r>
      <w:r w:rsidR="00D27874" w:rsidRPr="0040086E">
        <w:rPr>
          <w:rFonts w:eastAsia="Times New Roman" w:cs="Times New Roman"/>
          <w:szCs w:val="24"/>
          <w:lang w:eastAsia="en-GB"/>
        </w:rPr>
        <w:t xml:space="preserve"> 59</w:t>
      </w:r>
      <w:r w:rsidR="00D27874">
        <w:rPr>
          <w:rFonts w:eastAsia="Times New Roman" w:cs="Times New Roman"/>
          <w:szCs w:val="24"/>
          <w:lang w:eastAsia="en-GB"/>
        </w:rPr>
        <w:t>,</w:t>
      </w:r>
      <w:r w:rsidR="00D27874" w:rsidRPr="0040086E">
        <w:rPr>
          <w:rFonts w:eastAsia="Times New Roman" w:cs="Times New Roman"/>
          <w:szCs w:val="24"/>
          <w:lang w:eastAsia="en-GB"/>
        </w:rPr>
        <w:t>225-240</w:t>
      </w:r>
      <w:r w:rsidR="00D27874">
        <w:rPr>
          <w:rFonts w:eastAsia="Times New Roman" w:cs="Times New Roman"/>
          <w:szCs w:val="24"/>
          <w:lang w:eastAsia="en-GB"/>
        </w:rPr>
        <w:t>.</w:t>
      </w:r>
    </w:p>
    <w:bookmarkEnd w:id="500"/>
    <w:p w14:paraId="3DA1A196" w14:textId="77777777" w:rsidR="00C37C7C" w:rsidRDefault="00C37C7C" w:rsidP="000D7C39">
      <w:pPr>
        <w:spacing w:after="0"/>
        <w:ind w:left="720" w:hanging="720"/>
        <w:rPr>
          <w:rFonts w:cs="Times New Roman"/>
          <w:szCs w:val="24"/>
        </w:rPr>
      </w:pPr>
      <w:r w:rsidRPr="00CF7673">
        <w:rPr>
          <w:rFonts w:cs="Times New Roman"/>
          <w:szCs w:val="24"/>
        </w:rPr>
        <w:t>Gough, A.</w:t>
      </w:r>
      <w:r>
        <w:rPr>
          <w:rFonts w:cs="Times New Roman"/>
          <w:szCs w:val="24"/>
        </w:rPr>
        <w:t xml:space="preserve"> </w:t>
      </w:r>
      <w:r w:rsidRPr="00CF7673">
        <w:rPr>
          <w:rFonts w:cs="Times New Roman"/>
          <w:szCs w:val="24"/>
        </w:rPr>
        <w:t>D.</w:t>
      </w:r>
      <w:r>
        <w:rPr>
          <w:rFonts w:cs="Times New Roman"/>
          <w:szCs w:val="24"/>
        </w:rPr>
        <w:t>,</w:t>
      </w:r>
      <w:r w:rsidRPr="00CF7673">
        <w:rPr>
          <w:rFonts w:cs="Times New Roman"/>
          <w:szCs w:val="24"/>
        </w:rPr>
        <w:t xml:space="preserve"> Innes, J.</w:t>
      </w:r>
      <w:r>
        <w:rPr>
          <w:rFonts w:cs="Times New Roman"/>
          <w:szCs w:val="24"/>
        </w:rPr>
        <w:t xml:space="preserve"> </w:t>
      </w:r>
      <w:r w:rsidRPr="00CF7673">
        <w:rPr>
          <w:rFonts w:cs="Times New Roman"/>
          <w:szCs w:val="24"/>
        </w:rPr>
        <w:t>L. &amp; Allen, S.</w:t>
      </w:r>
      <w:r>
        <w:rPr>
          <w:rFonts w:cs="Times New Roman"/>
          <w:szCs w:val="24"/>
        </w:rPr>
        <w:t xml:space="preserve"> </w:t>
      </w:r>
      <w:r w:rsidRPr="00CF7673">
        <w:rPr>
          <w:rFonts w:cs="Times New Roman"/>
          <w:szCs w:val="24"/>
        </w:rPr>
        <w:t xml:space="preserve">D. (2008). Development of common </w:t>
      </w:r>
    </w:p>
    <w:p w14:paraId="7CC0DD3E" w14:textId="77777777" w:rsidR="00C37C7C" w:rsidRPr="00CF7673" w:rsidRDefault="0036368F" w:rsidP="000D7C39">
      <w:pPr>
        <w:spacing w:after="0"/>
        <w:ind w:left="720" w:hanging="720"/>
        <w:rPr>
          <w:rFonts w:cs="Times New Roman"/>
          <w:szCs w:val="24"/>
        </w:rPr>
      </w:pPr>
      <w:r>
        <w:rPr>
          <w:rFonts w:cs="Times New Roman"/>
          <w:szCs w:val="24"/>
        </w:rPr>
        <w:tab/>
      </w:r>
      <w:r w:rsidR="00C37C7C" w:rsidRPr="00CF7673">
        <w:rPr>
          <w:rFonts w:cs="Times New Roman"/>
          <w:szCs w:val="24"/>
        </w:rPr>
        <w:t xml:space="preserve">indicators of sustainable forest management. </w:t>
      </w:r>
      <w:r w:rsidR="00C37C7C" w:rsidRPr="00613302">
        <w:rPr>
          <w:rFonts w:cs="Times New Roman"/>
          <w:i/>
          <w:iCs/>
          <w:szCs w:val="24"/>
        </w:rPr>
        <w:t>Ecological indicators</w:t>
      </w:r>
      <w:r w:rsidR="00C37C7C" w:rsidRPr="00CF7673">
        <w:rPr>
          <w:rFonts w:cs="Times New Roman"/>
          <w:szCs w:val="24"/>
        </w:rPr>
        <w:t>, 8, 425-430.</w:t>
      </w:r>
    </w:p>
    <w:p w14:paraId="65A41FC8" w14:textId="3CB375BC" w:rsidR="006D1BED" w:rsidRDefault="006D1BED" w:rsidP="000D7C39">
      <w:pPr>
        <w:spacing w:after="0"/>
        <w:ind w:left="720" w:hanging="720"/>
      </w:pPr>
      <w:r>
        <w:t>Gouldner, A. W. (1960). The norm of recipro</w:t>
      </w:r>
      <w:r w:rsidR="00DA4888">
        <w:t xml:space="preserve">city: A preliminary statement. </w:t>
      </w:r>
      <w:r>
        <w:rPr>
          <w:rStyle w:val="Emphasis"/>
        </w:rPr>
        <w:t>American Sociological Review</w:t>
      </w:r>
      <w:r>
        <w:t>, 25, 161-178.</w:t>
      </w:r>
    </w:p>
    <w:p w14:paraId="0DF486FE" w14:textId="0D7472C0" w:rsidR="00AE12FF" w:rsidRPr="00A75C79" w:rsidRDefault="00D27874" w:rsidP="000D7C39">
      <w:pPr>
        <w:spacing w:after="0"/>
        <w:ind w:left="720" w:hanging="720"/>
        <w:rPr>
          <w:i/>
          <w:iCs/>
        </w:rPr>
      </w:pPr>
      <w:bookmarkStart w:id="501" w:name="_Hlk195387759"/>
      <w:proofErr w:type="spellStart"/>
      <w:r>
        <w:t>Gravetter</w:t>
      </w:r>
      <w:proofErr w:type="spellEnd"/>
      <w:r>
        <w:t>, F. J. &amp; Forzano, L. A. B. (2016)</w:t>
      </w:r>
      <w:r w:rsidR="00A75C79">
        <w:t>.</w:t>
      </w:r>
      <w:r>
        <w:t xml:space="preserve"> </w:t>
      </w:r>
      <w:r w:rsidRPr="00A75C79">
        <w:rPr>
          <w:i/>
          <w:iCs/>
        </w:rPr>
        <w:t xml:space="preserve">Research Methods for the </w:t>
      </w:r>
    </w:p>
    <w:p w14:paraId="78EB6E4D" w14:textId="77777777" w:rsidR="00D27874" w:rsidRDefault="0036368F" w:rsidP="000D7C39">
      <w:pPr>
        <w:spacing w:after="0"/>
        <w:ind w:left="720" w:hanging="720"/>
      </w:pPr>
      <w:r>
        <w:rPr>
          <w:i/>
          <w:iCs/>
        </w:rPr>
        <w:tab/>
      </w:r>
      <w:r w:rsidR="00D27874" w:rsidRPr="00A75C79">
        <w:rPr>
          <w:i/>
          <w:iCs/>
        </w:rPr>
        <w:t xml:space="preserve">Behavioural Sciences </w:t>
      </w:r>
      <w:r w:rsidR="00A75C79">
        <w:t>(</w:t>
      </w:r>
      <w:r w:rsidR="00D27874">
        <w:t xml:space="preserve">5th </w:t>
      </w:r>
      <w:r w:rsidR="00A75C79">
        <w:t>ed).</w:t>
      </w:r>
      <w:r w:rsidR="00D27874">
        <w:t xml:space="preserve"> Cengage, Stamford.</w:t>
      </w:r>
    </w:p>
    <w:bookmarkEnd w:id="501"/>
    <w:p w14:paraId="287B5353" w14:textId="7FA3ECB6" w:rsidR="004A5642" w:rsidRDefault="004A5642" w:rsidP="000D7C39">
      <w:pPr>
        <w:spacing w:after="0"/>
        <w:ind w:left="720" w:hanging="720"/>
      </w:pPr>
      <w:r>
        <w:t>Greenwood, R., Oliver, C., Suddaby, R. &amp; Sa</w:t>
      </w:r>
      <w:r w:rsidR="00DA4888">
        <w:t xml:space="preserve">hlin-Andersson, K. (2008). The </w:t>
      </w:r>
      <w:r>
        <w:t xml:space="preserve">Sage Handbook of Organizational Institutionalism. Sage, London. </w:t>
      </w:r>
      <w:r w:rsidRPr="00F42EA7">
        <w:t xml:space="preserve"> </w:t>
      </w:r>
    </w:p>
    <w:p w14:paraId="3043034C" w14:textId="5B80DA1E" w:rsidR="0030592F" w:rsidRPr="0030592F" w:rsidRDefault="0030592F" w:rsidP="000D7C39">
      <w:pPr>
        <w:spacing w:after="0"/>
        <w:ind w:left="720" w:hanging="720"/>
        <w:rPr>
          <w:rFonts w:eastAsia="Times New Roman" w:cs="Times New Roman"/>
          <w:szCs w:val="24"/>
          <w:lang w:eastAsia="en-GB"/>
        </w:rPr>
      </w:pPr>
      <w:r w:rsidRPr="0030592F">
        <w:rPr>
          <w:rFonts w:eastAsia="Times New Roman" w:cs="Times New Roman"/>
          <w:szCs w:val="24"/>
          <w:lang w:eastAsia="en-GB"/>
        </w:rPr>
        <w:t xml:space="preserve">Gurung, M. B., Bigsby, H., Cullen, R., &amp; Manandhar, U. (2015). Estimation of carbon stock under different management regimes of tropical forest in the Terai Arc Landscape, Nepal. </w:t>
      </w:r>
      <w:r w:rsidRPr="0030592F">
        <w:rPr>
          <w:rFonts w:eastAsia="Times New Roman" w:cs="Times New Roman"/>
          <w:i/>
          <w:iCs/>
          <w:szCs w:val="24"/>
          <w:lang w:eastAsia="en-GB"/>
        </w:rPr>
        <w:t>Forest Ecology and Management</w:t>
      </w:r>
      <w:r w:rsidRPr="0030592F">
        <w:rPr>
          <w:rFonts w:eastAsia="Times New Roman" w:cs="Times New Roman"/>
          <w:szCs w:val="24"/>
          <w:lang w:eastAsia="en-GB"/>
        </w:rPr>
        <w:t xml:space="preserve">, </w:t>
      </w:r>
      <w:r w:rsidRPr="0030592F">
        <w:rPr>
          <w:rFonts w:eastAsia="Times New Roman" w:cs="Times New Roman"/>
          <w:i/>
          <w:iCs/>
          <w:szCs w:val="24"/>
          <w:lang w:eastAsia="en-GB"/>
        </w:rPr>
        <w:t>356</w:t>
      </w:r>
      <w:r w:rsidRPr="0030592F">
        <w:rPr>
          <w:rFonts w:eastAsia="Times New Roman" w:cs="Times New Roman"/>
          <w:szCs w:val="24"/>
          <w:lang w:eastAsia="en-GB"/>
        </w:rPr>
        <w:t>, 144-152.</w:t>
      </w:r>
    </w:p>
    <w:p w14:paraId="3343A7F3" w14:textId="6AB643D2" w:rsidR="00640D1C" w:rsidRDefault="00640D1C" w:rsidP="000D7C39">
      <w:pPr>
        <w:spacing w:after="0"/>
        <w:ind w:left="720" w:hanging="720"/>
        <w:rPr>
          <w:lang w:eastAsia="en-GB"/>
        </w:rPr>
      </w:pPr>
      <w:bookmarkStart w:id="502" w:name="_Hlk195387782"/>
      <w:r w:rsidRPr="00600B37">
        <w:rPr>
          <w:lang w:eastAsia="en-GB"/>
        </w:rPr>
        <w:t>Hardin, G. (1968)</w:t>
      </w:r>
      <w:r>
        <w:rPr>
          <w:lang w:eastAsia="en-GB"/>
        </w:rPr>
        <w:t>.</w:t>
      </w:r>
      <w:r w:rsidRPr="00600B37">
        <w:rPr>
          <w:lang w:eastAsia="en-GB"/>
        </w:rPr>
        <w:t xml:space="preserve"> The Tragedy of the Commons</w:t>
      </w:r>
      <w:r w:rsidR="003209F5">
        <w:rPr>
          <w:lang w:eastAsia="en-GB"/>
        </w:rPr>
        <w:t>.</w:t>
      </w:r>
      <w:r w:rsidRPr="00600B37">
        <w:rPr>
          <w:lang w:eastAsia="en-GB"/>
        </w:rPr>
        <w:t xml:space="preserve"> </w:t>
      </w:r>
      <w:r w:rsidRPr="009A27FF">
        <w:rPr>
          <w:i/>
          <w:iCs/>
          <w:lang w:eastAsia="en-GB"/>
        </w:rPr>
        <w:t>Science</w:t>
      </w:r>
      <w:r w:rsidRPr="00600B37">
        <w:rPr>
          <w:lang w:eastAsia="en-GB"/>
        </w:rPr>
        <w:t>, 162(3859)</w:t>
      </w:r>
      <w:r w:rsidR="003209F5">
        <w:rPr>
          <w:lang w:eastAsia="en-GB"/>
        </w:rPr>
        <w:t>,</w:t>
      </w:r>
      <w:r w:rsidRPr="00600B37">
        <w:rPr>
          <w:lang w:eastAsia="en-GB"/>
        </w:rPr>
        <w:t>1243–1248.</w:t>
      </w:r>
    </w:p>
    <w:bookmarkEnd w:id="502"/>
    <w:p w14:paraId="53768F8C" w14:textId="77777777" w:rsidR="00524689" w:rsidRDefault="00524689">
      <w:pPr>
        <w:spacing w:line="259" w:lineRule="auto"/>
        <w:ind w:left="0" w:firstLine="0"/>
        <w:jc w:val="left"/>
      </w:pPr>
      <w:r>
        <w:br w:type="page"/>
      </w:r>
    </w:p>
    <w:p w14:paraId="0EDA9A16" w14:textId="6F7E1849" w:rsidR="00DA4888" w:rsidRPr="000D7C39" w:rsidRDefault="00CF1CFD" w:rsidP="000D7C39">
      <w:pPr>
        <w:pStyle w:val="BodyText"/>
        <w:spacing w:after="0"/>
        <w:ind w:left="720" w:hanging="720"/>
      </w:pPr>
      <w:r>
        <w:lastRenderedPageBreak/>
        <w:t xml:space="preserve">Hesselbarth C., </w:t>
      </w:r>
      <w:r w:rsidR="003A0946">
        <w:t xml:space="preserve">&amp; </w:t>
      </w:r>
      <w:proofErr w:type="spellStart"/>
      <w:r>
        <w:t>Schaltegger</w:t>
      </w:r>
      <w:proofErr w:type="spellEnd"/>
      <w:r>
        <w:t xml:space="preserve"> S. (2014). Educating c</w:t>
      </w:r>
      <w:r w:rsidR="00DA4888">
        <w:t xml:space="preserve">hange agents for </w:t>
      </w:r>
      <w:r>
        <w:t xml:space="preserve">sustainability: Learnings from the first sustainability management </w:t>
      </w:r>
      <w:proofErr w:type="gramStart"/>
      <w:r>
        <w:t>master of business administration</w:t>
      </w:r>
      <w:proofErr w:type="gramEnd"/>
      <w:r>
        <w:t xml:space="preserve">. </w:t>
      </w:r>
      <w:r>
        <w:rPr>
          <w:rStyle w:val="Emphasis"/>
        </w:rPr>
        <w:t>Journal of Cleaner Production</w:t>
      </w:r>
      <w:r w:rsidR="000D7C39">
        <w:t>, 62, 24-36.</w:t>
      </w:r>
    </w:p>
    <w:p w14:paraId="2A0C6F14" w14:textId="735607B8" w:rsidR="00687C30" w:rsidRPr="00687C30" w:rsidRDefault="00687C30" w:rsidP="000D7C39">
      <w:pPr>
        <w:spacing w:after="0"/>
        <w:ind w:left="720" w:hanging="720"/>
        <w:rPr>
          <w:rFonts w:eastAsia="Times New Roman" w:cs="Times New Roman"/>
          <w:szCs w:val="24"/>
          <w:lang w:eastAsia="en-GB"/>
        </w:rPr>
      </w:pPr>
      <w:r w:rsidRPr="00687C30">
        <w:rPr>
          <w:rFonts w:eastAsia="Times New Roman" w:cs="Times New Roman"/>
          <w:szCs w:val="24"/>
          <w:lang w:eastAsia="en-GB"/>
        </w:rPr>
        <w:t xml:space="preserve">Hickey, S., &amp; Mohan, G. (2004). Towards participation as transformation: critical themes and challenges. </w:t>
      </w:r>
      <w:r w:rsidRPr="00687C30">
        <w:rPr>
          <w:rFonts w:eastAsia="Times New Roman" w:cs="Times New Roman"/>
          <w:i/>
          <w:iCs/>
          <w:szCs w:val="24"/>
          <w:lang w:eastAsia="en-GB"/>
        </w:rPr>
        <w:t>Participation: From tyranny to transformation? Exploring new approaches to participation in development</w:t>
      </w:r>
      <w:r w:rsidRPr="00687C30">
        <w:rPr>
          <w:rFonts w:eastAsia="Times New Roman" w:cs="Times New Roman"/>
          <w:szCs w:val="24"/>
          <w:lang w:eastAsia="en-GB"/>
        </w:rPr>
        <w:t>, 3-24.</w:t>
      </w:r>
    </w:p>
    <w:p w14:paraId="458EED2B" w14:textId="77777777" w:rsidR="00AE12FF" w:rsidRDefault="00D27874" w:rsidP="000D7C39">
      <w:pPr>
        <w:spacing w:after="0"/>
        <w:ind w:left="720" w:hanging="720"/>
        <w:rPr>
          <w:rFonts w:cs="Times New Roman"/>
          <w:szCs w:val="24"/>
        </w:rPr>
      </w:pPr>
      <w:r w:rsidRPr="00191A6B">
        <w:rPr>
          <w:rFonts w:cs="Times New Roman"/>
          <w:szCs w:val="24"/>
        </w:rPr>
        <w:t>Homans, G.</w:t>
      </w:r>
      <w:r>
        <w:rPr>
          <w:rFonts w:cs="Times New Roman"/>
          <w:szCs w:val="24"/>
        </w:rPr>
        <w:t xml:space="preserve"> </w:t>
      </w:r>
      <w:r w:rsidRPr="00191A6B">
        <w:rPr>
          <w:rFonts w:cs="Times New Roman"/>
          <w:szCs w:val="24"/>
        </w:rPr>
        <w:t xml:space="preserve">C. (1958). </w:t>
      </w:r>
      <w:r w:rsidRPr="00016962">
        <w:rPr>
          <w:rFonts w:cs="Times New Roman"/>
          <w:szCs w:val="24"/>
        </w:rPr>
        <w:t xml:space="preserve">Social </w:t>
      </w:r>
      <w:r>
        <w:rPr>
          <w:rFonts w:cs="Times New Roman"/>
          <w:szCs w:val="24"/>
        </w:rPr>
        <w:t>behaviour</w:t>
      </w:r>
      <w:r w:rsidRPr="00016962">
        <w:rPr>
          <w:rFonts w:cs="Times New Roman"/>
          <w:szCs w:val="24"/>
        </w:rPr>
        <w:t xml:space="preserve"> as exchange</w:t>
      </w:r>
      <w:r w:rsidRPr="00191A6B">
        <w:rPr>
          <w:rFonts w:cs="Times New Roman"/>
          <w:szCs w:val="24"/>
        </w:rPr>
        <w:t xml:space="preserve">. </w:t>
      </w:r>
      <w:r w:rsidRPr="00016962">
        <w:rPr>
          <w:rFonts w:cs="Times New Roman"/>
          <w:i/>
          <w:iCs/>
          <w:szCs w:val="24"/>
        </w:rPr>
        <w:t xml:space="preserve">Am. J. </w:t>
      </w:r>
      <w:proofErr w:type="spellStart"/>
      <w:r w:rsidRPr="00016962">
        <w:rPr>
          <w:rFonts w:cs="Times New Roman"/>
          <w:i/>
          <w:iCs/>
          <w:szCs w:val="24"/>
        </w:rPr>
        <w:t>Sociol</w:t>
      </w:r>
      <w:proofErr w:type="spellEnd"/>
      <w:r w:rsidRPr="00191A6B">
        <w:rPr>
          <w:rFonts w:cs="Times New Roman"/>
          <w:szCs w:val="24"/>
        </w:rPr>
        <w:t>.</w:t>
      </w:r>
      <w:r w:rsidR="00A75C79">
        <w:rPr>
          <w:rFonts w:cs="Times New Roman"/>
          <w:szCs w:val="24"/>
        </w:rPr>
        <w:t>,</w:t>
      </w:r>
      <w:r w:rsidRPr="00191A6B">
        <w:rPr>
          <w:rFonts w:cs="Times New Roman"/>
          <w:szCs w:val="24"/>
        </w:rPr>
        <w:t xml:space="preserve"> 63 (6), </w:t>
      </w:r>
    </w:p>
    <w:p w14:paraId="172D66F0" w14:textId="77777777" w:rsidR="00D27874" w:rsidRDefault="0036368F" w:rsidP="000D7C39">
      <w:pPr>
        <w:spacing w:after="0"/>
        <w:ind w:left="720" w:hanging="720"/>
        <w:rPr>
          <w:rFonts w:cs="Times New Roman"/>
          <w:szCs w:val="24"/>
        </w:rPr>
      </w:pPr>
      <w:r>
        <w:rPr>
          <w:rFonts w:cs="Times New Roman"/>
          <w:szCs w:val="24"/>
        </w:rPr>
        <w:tab/>
      </w:r>
      <w:r w:rsidR="00D27874" w:rsidRPr="00191A6B">
        <w:rPr>
          <w:rFonts w:cs="Times New Roman"/>
          <w:szCs w:val="24"/>
        </w:rPr>
        <w:t>597–606.</w:t>
      </w:r>
    </w:p>
    <w:p w14:paraId="747885D5" w14:textId="467313DB" w:rsidR="00DF3E73" w:rsidRPr="005428D9" w:rsidRDefault="00DF3E73" w:rsidP="000D7C39">
      <w:pPr>
        <w:spacing w:after="0"/>
        <w:ind w:left="720" w:hanging="720"/>
        <w:rPr>
          <w:rFonts w:eastAsia="Times New Roman" w:cs="Times New Roman"/>
          <w:szCs w:val="24"/>
          <w:lang w:eastAsia="en-GB"/>
        </w:rPr>
      </w:pPr>
      <w:bookmarkStart w:id="503" w:name="_Hlk195387804"/>
      <w:r w:rsidRPr="00DF3E73">
        <w:rPr>
          <w:rFonts w:eastAsia="Times New Roman" w:cs="Times New Roman"/>
          <w:szCs w:val="24"/>
          <w:lang w:eastAsia="en-GB"/>
        </w:rPr>
        <w:t xml:space="preserve">Hovis, M., Frey, G., McGinley, K., Cubbage, F., Han, X., &amp; </w:t>
      </w:r>
      <w:proofErr w:type="spellStart"/>
      <w:r w:rsidRPr="00DF3E73">
        <w:rPr>
          <w:rFonts w:eastAsia="Times New Roman" w:cs="Times New Roman"/>
          <w:szCs w:val="24"/>
          <w:lang w:eastAsia="en-GB"/>
        </w:rPr>
        <w:t>Lupek</w:t>
      </w:r>
      <w:proofErr w:type="spellEnd"/>
      <w:r w:rsidRPr="00DF3E73">
        <w:rPr>
          <w:rFonts w:eastAsia="Times New Roman" w:cs="Times New Roman"/>
          <w:szCs w:val="24"/>
          <w:lang w:eastAsia="en-GB"/>
        </w:rPr>
        <w:t xml:space="preserve">, M. (2022). Ownership, Governance, Uses, and Ecosystem Services of Community Forests in the Eastern United States. </w:t>
      </w:r>
      <w:r w:rsidRPr="00DF3E73">
        <w:rPr>
          <w:rFonts w:eastAsia="Times New Roman" w:cs="Times New Roman"/>
          <w:i/>
          <w:iCs/>
          <w:szCs w:val="24"/>
          <w:lang w:eastAsia="en-GB"/>
        </w:rPr>
        <w:t>Forests</w:t>
      </w:r>
      <w:r w:rsidRPr="00DF3E73">
        <w:rPr>
          <w:rFonts w:eastAsia="Times New Roman" w:cs="Times New Roman"/>
          <w:szCs w:val="24"/>
          <w:lang w:eastAsia="en-GB"/>
        </w:rPr>
        <w:t xml:space="preserve">, </w:t>
      </w:r>
      <w:r w:rsidRPr="00DF3E73">
        <w:rPr>
          <w:rFonts w:eastAsia="Times New Roman" w:cs="Times New Roman"/>
          <w:i/>
          <w:iCs/>
          <w:szCs w:val="24"/>
          <w:lang w:eastAsia="en-GB"/>
        </w:rPr>
        <w:t>13</w:t>
      </w:r>
      <w:r w:rsidRPr="00DF3E73">
        <w:rPr>
          <w:rFonts w:eastAsia="Times New Roman" w:cs="Times New Roman"/>
          <w:szCs w:val="24"/>
          <w:lang w:eastAsia="en-GB"/>
        </w:rPr>
        <w:t>(10), 1577</w:t>
      </w:r>
      <w:r w:rsidR="00F9526B">
        <w:rPr>
          <w:rFonts w:eastAsia="Times New Roman" w:cs="Times New Roman"/>
          <w:szCs w:val="24"/>
          <w:lang w:eastAsia="en-GB"/>
        </w:rPr>
        <w:t>-1600</w:t>
      </w:r>
      <w:r w:rsidRPr="00DF3E73">
        <w:rPr>
          <w:rFonts w:eastAsia="Times New Roman" w:cs="Times New Roman"/>
          <w:szCs w:val="24"/>
          <w:lang w:eastAsia="en-GB"/>
        </w:rPr>
        <w:t>.</w:t>
      </w:r>
    </w:p>
    <w:bookmarkEnd w:id="503"/>
    <w:p w14:paraId="3F7F87CF" w14:textId="5EFDBF8A" w:rsidR="000E79DD" w:rsidRPr="000E79DD" w:rsidRDefault="000E79DD" w:rsidP="000D7C39">
      <w:pPr>
        <w:pStyle w:val="BodyText"/>
        <w:spacing w:after="0"/>
        <w:ind w:left="720" w:hanging="720"/>
        <w:rPr>
          <w:rFonts w:cs="Times New Roman"/>
          <w:sz w:val="22"/>
        </w:rPr>
      </w:pPr>
      <w:r w:rsidRPr="000E79DD">
        <w:rPr>
          <w:rFonts w:cs="Times New Roman"/>
          <w:szCs w:val="24"/>
        </w:rPr>
        <w:t>International Conference on Criteria and Indicators for Sustainable Forest Management (CICI)</w:t>
      </w:r>
      <w:r>
        <w:rPr>
          <w:rFonts w:cs="Times New Roman"/>
          <w:szCs w:val="24"/>
        </w:rPr>
        <w:t xml:space="preserve"> (2003). </w:t>
      </w:r>
      <w:r w:rsidRPr="000E79DD">
        <w:rPr>
          <w:rFonts w:cs="Times New Roman"/>
          <w:szCs w:val="24"/>
        </w:rPr>
        <w:t>Guatemala City, Guatemala</w:t>
      </w:r>
      <w:r>
        <w:rPr>
          <w:rFonts w:cs="Times New Roman"/>
          <w:szCs w:val="24"/>
        </w:rPr>
        <w:t>.</w:t>
      </w:r>
    </w:p>
    <w:p w14:paraId="04C131EB" w14:textId="23699D69" w:rsidR="00AE12FF" w:rsidRPr="00050376" w:rsidRDefault="00D27874" w:rsidP="000D7C39">
      <w:pPr>
        <w:spacing w:after="0"/>
        <w:ind w:left="720" w:hanging="720"/>
        <w:rPr>
          <w:i/>
          <w:iCs/>
        </w:rPr>
      </w:pPr>
      <w:bookmarkStart w:id="504" w:name="_Hlk195387827"/>
      <w:bookmarkStart w:id="505" w:name="_Hlk166105118"/>
      <w:r>
        <w:t xml:space="preserve">IPBES (2022). </w:t>
      </w:r>
      <w:r w:rsidRPr="00050376">
        <w:rPr>
          <w:i/>
          <w:iCs/>
        </w:rPr>
        <w:t xml:space="preserve">Thematic Assessment Report on the Sustainable Use of Wild </w:t>
      </w:r>
    </w:p>
    <w:p w14:paraId="02A4B89A" w14:textId="77777777" w:rsidR="00D27874" w:rsidRDefault="0036368F" w:rsidP="000D7C39">
      <w:pPr>
        <w:spacing w:after="0"/>
        <w:ind w:left="720" w:hanging="720"/>
      </w:pPr>
      <w:r>
        <w:rPr>
          <w:i/>
          <w:iCs/>
        </w:rPr>
        <w:tab/>
      </w:r>
      <w:r w:rsidR="00D27874" w:rsidRPr="00050376">
        <w:rPr>
          <w:i/>
          <w:iCs/>
        </w:rPr>
        <w:t>Species of the Intergovernmental Science-Policy Platform on Biodiversity and Ecosystem Services</w:t>
      </w:r>
      <w:r w:rsidR="00D27874">
        <w:t>. IPBES secretariat, Bonn, Germany.</w:t>
      </w:r>
    </w:p>
    <w:bookmarkEnd w:id="504"/>
    <w:p w14:paraId="3B2E7FBC" w14:textId="06C02125" w:rsidR="00524689" w:rsidRPr="00456262" w:rsidRDefault="00387E49" w:rsidP="00456262">
      <w:pPr>
        <w:pStyle w:val="BodyText"/>
        <w:spacing w:after="0"/>
        <w:ind w:left="720" w:hanging="720"/>
        <w:rPr>
          <w:rFonts w:eastAsia="Times New Roman" w:cs="Times New Roman"/>
          <w:szCs w:val="24"/>
          <w:lang w:eastAsia="en-GB"/>
        </w:rPr>
      </w:pPr>
      <w:r w:rsidRPr="008074CC">
        <w:rPr>
          <w:rFonts w:eastAsia="Times New Roman" w:cs="Times New Roman"/>
          <w:szCs w:val="24"/>
          <w:lang w:eastAsia="en-GB"/>
        </w:rPr>
        <w:t xml:space="preserve">Ison, R., </w:t>
      </w:r>
      <w:proofErr w:type="spellStart"/>
      <w:r w:rsidRPr="008074CC">
        <w:rPr>
          <w:rFonts w:eastAsia="Times New Roman" w:cs="Times New Roman"/>
          <w:szCs w:val="24"/>
          <w:lang w:eastAsia="en-GB"/>
        </w:rPr>
        <w:t>Röling</w:t>
      </w:r>
      <w:proofErr w:type="spellEnd"/>
      <w:r w:rsidRPr="008074CC">
        <w:rPr>
          <w:rFonts w:eastAsia="Times New Roman" w:cs="Times New Roman"/>
          <w:szCs w:val="24"/>
          <w:lang w:eastAsia="en-GB"/>
        </w:rPr>
        <w:t xml:space="preserve">, N., &amp; Watson, D. (2007). Challenges to science and society in the sustainable management and use of water: investigating the role of social learning. </w:t>
      </w:r>
      <w:r w:rsidRPr="008074CC">
        <w:rPr>
          <w:rFonts w:eastAsia="Times New Roman" w:cs="Times New Roman"/>
          <w:i/>
          <w:iCs/>
          <w:szCs w:val="24"/>
          <w:lang w:eastAsia="en-GB"/>
        </w:rPr>
        <w:t xml:space="preserve">Environmental </w:t>
      </w:r>
      <w:r w:rsidR="00E65B82">
        <w:rPr>
          <w:rFonts w:eastAsia="Times New Roman" w:cs="Times New Roman"/>
          <w:i/>
          <w:iCs/>
          <w:szCs w:val="24"/>
          <w:lang w:eastAsia="en-GB"/>
        </w:rPr>
        <w:t>S</w:t>
      </w:r>
      <w:r w:rsidRPr="008074CC">
        <w:rPr>
          <w:rFonts w:eastAsia="Times New Roman" w:cs="Times New Roman"/>
          <w:i/>
          <w:iCs/>
          <w:szCs w:val="24"/>
          <w:lang w:eastAsia="en-GB"/>
        </w:rPr>
        <w:t xml:space="preserve">cience &amp; </w:t>
      </w:r>
      <w:r w:rsidR="00E65B82">
        <w:rPr>
          <w:rFonts w:eastAsia="Times New Roman" w:cs="Times New Roman"/>
          <w:i/>
          <w:iCs/>
          <w:szCs w:val="24"/>
          <w:lang w:eastAsia="en-GB"/>
        </w:rPr>
        <w:t>P</w:t>
      </w:r>
      <w:r w:rsidRPr="008074CC">
        <w:rPr>
          <w:rFonts w:eastAsia="Times New Roman" w:cs="Times New Roman"/>
          <w:i/>
          <w:iCs/>
          <w:szCs w:val="24"/>
          <w:lang w:eastAsia="en-GB"/>
        </w:rPr>
        <w:t>olicy</w:t>
      </w:r>
      <w:r w:rsidRPr="008074CC">
        <w:rPr>
          <w:rFonts w:eastAsia="Times New Roman" w:cs="Times New Roman"/>
          <w:szCs w:val="24"/>
          <w:lang w:eastAsia="en-GB"/>
        </w:rPr>
        <w:t xml:space="preserve">, </w:t>
      </w:r>
      <w:r w:rsidRPr="008074CC">
        <w:rPr>
          <w:rFonts w:eastAsia="Times New Roman" w:cs="Times New Roman"/>
          <w:i/>
          <w:iCs/>
          <w:szCs w:val="24"/>
          <w:lang w:eastAsia="en-GB"/>
        </w:rPr>
        <w:t>10</w:t>
      </w:r>
      <w:r w:rsidRPr="008074CC">
        <w:rPr>
          <w:rFonts w:eastAsia="Times New Roman" w:cs="Times New Roman"/>
          <w:szCs w:val="24"/>
          <w:lang w:eastAsia="en-GB"/>
        </w:rPr>
        <w:t>(6), 499-511.</w:t>
      </w:r>
      <w:bookmarkEnd w:id="505"/>
    </w:p>
    <w:p w14:paraId="044A9037" w14:textId="77777777" w:rsidR="00C37C7C" w:rsidRDefault="00C37C7C" w:rsidP="000D7C39">
      <w:pPr>
        <w:spacing w:after="0"/>
        <w:ind w:left="720" w:hanging="720"/>
        <w:rPr>
          <w:rFonts w:cs="Times New Roman"/>
          <w:i/>
          <w:iCs/>
          <w:szCs w:val="24"/>
        </w:rPr>
      </w:pPr>
      <w:r w:rsidRPr="00CF7673">
        <w:rPr>
          <w:rFonts w:cs="Times New Roman"/>
          <w:szCs w:val="24"/>
        </w:rPr>
        <w:t xml:space="preserve">ITTO (1992). </w:t>
      </w:r>
      <w:r w:rsidRPr="00613302">
        <w:rPr>
          <w:rFonts w:cs="Times New Roman"/>
          <w:i/>
          <w:iCs/>
          <w:szCs w:val="24"/>
        </w:rPr>
        <w:t xml:space="preserve">Criteria for the measurement of sustainable tropical forest </w:t>
      </w:r>
    </w:p>
    <w:p w14:paraId="14213BD6" w14:textId="732C35AC" w:rsidR="0036368F" w:rsidRDefault="0036368F" w:rsidP="000D7C39">
      <w:pPr>
        <w:spacing w:after="0"/>
        <w:ind w:left="720" w:hanging="720"/>
        <w:rPr>
          <w:rFonts w:cs="Times New Roman"/>
          <w:szCs w:val="24"/>
        </w:rPr>
      </w:pPr>
      <w:r>
        <w:rPr>
          <w:rFonts w:cs="Times New Roman"/>
          <w:i/>
          <w:iCs/>
          <w:szCs w:val="24"/>
        </w:rPr>
        <w:tab/>
      </w:r>
      <w:r w:rsidR="00C37C7C" w:rsidRPr="00613302">
        <w:rPr>
          <w:rFonts w:cs="Times New Roman"/>
          <w:i/>
          <w:iCs/>
          <w:szCs w:val="24"/>
        </w:rPr>
        <w:t>management. International Tropical Timber Organization Policy Development</w:t>
      </w:r>
      <w:r w:rsidR="00C37C7C" w:rsidRPr="00CF7673">
        <w:rPr>
          <w:rFonts w:cs="Times New Roman"/>
          <w:szCs w:val="24"/>
        </w:rPr>
        <w:t>. Series No. 3. Yokohama, Japan.</w:t>
      </w:r>
    </w:p>
    <w:p w14:paraId="500D3937" w14:textId="69156D4A" w:rsidR="00F41483" w:rsidRPr="000D3BFE" w:rsidRDefault="00F41483" w:rsidP="000D7C39">
      <w:pPr>
        <w:spacing w:after="0"/>
        <w:ind w:left="720" w:hanging="720"/>
        <w:rPr>
          <w:lang w:eastAsia="en-GB"/>
        </w:rPr>
      </w:pPr>
      <w:bookmarkStart w:id="506" w:name="_Hlk195387891"/>
      <w:r w:rsidRPr="00634A67">
        <w:rPr>
          <w:lang w:eastAsia="en-GB"/>
        </w:rPr>
        <w:lastRenderedPageBreak/>
        <w:t xml:space="preserve">Jessen, T. D., Ban, N. C., Claxton, N. X., &amp; </w:t>
      </w:r>
      <w:proofErr w:type="spellStart"/>
      <w:r w:rsidRPr="00634A67">
        <w:rPr>
          <w:lang w:eastAsia="en-GB"/>
        </w:rPr>
        <w:t>Darimont</w:t>
      </w:r>
      <w:proofErr w:type="spellEnd"/>
      <w:r w:rsidRPr="00634A67">
        <w:rPr>
          <w:lang w:eastAsia="en-GB"/>
        </w:rPr>
        <w:t xml:space="preserve">, C. T. (2022). Contributions of Indigenous Knowledge to ecological and evolutionary understanding. </w:t>
      </w:r>
      <w:r w:rsidRPr="00634A67">
        <w:rPr>
          <w:i/>
          <w:iCs/>
          <w:lang w:eastAsia="en-GB"/>
        </w:rPr>
        <w:t>Frontiers in Ecology and the Environment</w:t>
      </w:r>
      <w:r w:rsidRPr="00634A67">
        <w:rPr>
          <w:lang w:eastAsia="en-GB"/>
        </w:rPr>
        <w:t xml:space="preserve">, </w:t>
      </w:r>
      <w:r w:rsidRPr="00634A67">
        <w:rPr>
          <w:i/>
          <w:iCs/>
          <w:lang w:eastAsia="en-GB"/>
        </w:rPr>
        <w:t>20</w:t>
      </w:r>
      <w:r w:rsidRPr="00634A67">
        <w:rPr>
          <w:lang w:eastAsia="en-GB"/>
        </w:rPr>
        <w:t>(2), 93-101</w:t>
      </w:r>
    </w:p>
    <w:bookmarkEnd w:id="506"/>
    <w:p w14:paraId="418CE343" w14:textId="054E7519" w:rsidR="00C81D03" w:rsidRDefault="00C81D03" w:rsidP="000D7C39">
      <w:pPr>
        <w:pStyle w:val="BodyText"/>
        <w:spacing w:after="0"/>
        <w:ind w:left="720" w:hanging="720"/>
      </w:pPr>
      <w:r>
        <w:t>Johnson, R. B., &amp; Onwuegbuzie, A. J. (20</w:t>
      </w:r>
      <w:r w:rsidR="00DA4888">
        <w:t xml:space="preserve">04). Mixed Methods Research: A </w:t>
      </w:r>
      <w:r>
        <w:t xml:space="preserve">Research Paradigm Whose Time Has Come. </w:t>
      </w:r>
      <w:r w:rsidRPr="00C81D03">
        <w:rPr>
          <w:i/>
          <w:iCs/>
        </w:rPr>
        <w:t>Educational Researcher</w:t>
      </w:r>
      <w:r>
        <w:t>, 33, 14-26.</w:t>
      </w:r>
    </w:p>
    <w:p w14:paraId="35FDD28A" w14:textId="2DEEE7CC" w:rsidR="00F41483" w:rsidRPr="00634A67" w:rsidRDefault="00F41483" w:rsidP="000D7C39">
      <w:pPr>
        <w:spacing w:after="0"/>
        <w:ind w:left="720" w:hanging="720"/>
        <w:rPr>
          <w:lang w:eastAsia="en-GB"/>
        </w:rPr>
      </w:pPr>
      <w:proofErr w:type="spellStart"/>
      <w:r w:rsidRPr="00634A67">
        <w:rPr>
          <w:lang w:eastAsia="en-GB"/>
        </w:rPr>
        <w:t>Kalame</w:t>
      </w:r>
      <w:proofErr w:type="spellEnd"/>
      <w:r w:rsidRPr="00634A67">
        <w:rPr>
          <w:lang w:eastAsia="en-GB"/>
        </w:rPr>
        <w:t xml:space="preserve">, F. B., Aidoo, R., Nkem, J., </w:t>
      </w:r>
      <w:proofErr w:type="spellStart"/>
      <w:r w:rsidRPr="00634A67">
        <w:rPr>
          <w:lang w:eastAsia="en-GB"/>
        </w:rPr>
        <w:t>Ajayie</w:t>
      </w:r>
      <w:proofErr w:type="spellEnd"/>
      <w:r w:rsidRPr="00634A67">
        <w:rPr>
          <w:lang w:eastAsia="en-GB"/>
        </w:rPr>
        <w:t xml:space="preserve">, O. C., </w:t>
      </w:r>
      <w:proofErr w:type="spellStart"/>
      <w:r w:rsidRPr="00634A67">
        <w:rPr>
          <w:lang w:eastAsia="en-GB"/>
        </w:rPr>
        <w:t>Kanninen</w:t>
      </w:r>
      <w:proofErr w:type="spellEnd"/>
      <w:r w:rsidRPr="00634A67">
        <w:rPr>
          <w:lang w:eastAsia="en-GB"/>
        </w:rPr>
        <w:t xml:space="preserve">, M., Luukkanen, O., &amp; </w:t>
      </w:r>
      <w:proofErr w:type="spellStart"/>
      <w:r w:rsidRPr="00634A67">
        <w:rPr>
          <w:lang w:eastAsia="en-GB"/>
        </w:rPr>
        <w:t>Idinoba</w:t>
      </w:r>
      <w:proofErr w:type="spellEnd"/>
      <w:r w:rsidRPr="00634A67">
        <w:rPr>
          <w:lang w:eastAsia="en-GB"/>
        </w:rPr>
        <w:t xml:space="preserve">, M. (2011). Modified </w:t>
      </w:r>
      <w:proofErr w:type="spellStart"/>
      <w:r w:rsidRPr="00634A67">
        <w:rPr>
          <w:lang w:eastAsia="en-GB"/>
        </w:rPr>
        <w:t>taungya</w:t>
      </w:r>
      <w:proofErr w:type="spellEnd"/>
      <w:r w:rsidRPr="00634A67">
        <w:rPr>
          <w:lang w:eastAsia="en-GB"/>
        </w:rPr>
        <w:t xml:space="preserve"> system in Ghana: a win–win practice for forestry and adaptation to climate </w:t>
      </w:r>
      <w:proofErr w:type="gramStart"/>
      <w:r w:rsidRPr="00634A67">
        <w:rPr>
          <w:lang w:eastAsia="en-GB"/>
        </w:rPr>
        <w:t>change?.</w:t>
      </w:r>
      <w:proofErr w:type="gramEnd"/>
      <w:r w:rsidRPr="00634A67">
        <w:rPr>
          <w:lang w:eastAsia="en-GB"/>
        </w:rPr>
        <w:t xml:space="preserve"> </w:t>
      </w:r>
      <w:r w:rsidRPr="00634A67">
        <w:rPr>
          <w:i/>
          <w:iCs/>
          <w:lang w:eastAsia="en-GB"/>
        </w:rPr>
        <w:t>Environmental Science &amp; Policy</w:t>
      </w:r>
      <w:r w:rsidRPr="00634A67">
        <w:rPr>
          <w:lang w:eastAsia="en-GB"/>
        </w:rPr>
        <w:t xml:space="preserve">, </w:t>
      </w:r>
      <w:r w:rsidRPr="00634A67">
        <w:rPr>
          <w:i/>
          <w:iCs/>
          <w:lang w:eastAsia="en-GB"/>
        </w:rPr>
        <w:t>14</w:t>
      </w:r>
      <w:r w:rsidRPr="00634A67">
        <w:rPr>
          <w:lang w:eastAsia="en-GB"/>
        </w:rPr>
        <w:t>(5), 519-530.</w:t>
      </w:r>
    </w:p>
    <w:p w14:paraId="31EF8A92" w14:textId="31C46A51" w:rsidR="007E1CE5" w:rsidRPr="007E1CE5" w:rsidRDefault="007E1CE5" w:rsidP="000D7C39">
      <w:pPr>
        <w:pStyle w:val="BodyText"/>
        <w:spacing w:after="0"/>
        <w:ind w:left="720" w:hanging="720"/>
      </w:pPr>
      <w:r>
        <w:t xml:space="preserve">Kamanga, P., </w:t>
      </w:r>
      <w:proofErr w:type="spellStart"/>
      <w:r>
        <w:t>Vedeld</w:t>
      </w:r>
      <w:proofErr w:type="spellEnd"/>
      <w:r>
        <w:t>, P., &amp; Sjaastad, E. (2</w:t>
      </w:r>
      <w:r w:rsidR="00DA4888">
        <w:t xml:space="preserve">009). Forest incomes and rural </w:t>
      </w:r>
      <w:r>
        <w:t xml:space="preserve">livelihoods in </w:t>
      </w:r>
      <w:proofErr w:type="spellStart"/>
      <w:r>
        <w:t>Chiradzulu</w:t>
      </w:r>
      <w:proofErr w:type="spellEnd"/>
      <w:r>
        <w:t xml:space="preserve"> District, Malawi. </w:t>
      </w:r>
      <w:r w:rsidRPr="007E1CE5">
        <w:rPr>
          <w:i/>
          <w:iCs/>
        </w:rPr>
        <w:t>Ecological Economics</w:t>
      </w:r>
      <w:r>
        <w:t>, 68(3), 613-624.</w:t>
      </w:r>
    </w:p>
    <w:p w14:paraId="231D87B9" w14:textId="77777777" w:rsidR="008909D9" w:rsidRDefault="00D27874" w:rsidP="000D7C39">
      <w:pPr>
        <w:pStyle w:val="BodyText"/>
        <w:spacing w:after="0"/>
        <w:ind w:left="720" w:hanging="720"/>
        <w:rPr>
          <w:rFonts w:cs="Times New Roman"/>
          <w:szCs w:val="24"/>
        </w:rPr>
      </w:pPr>
      <w:r w:rsidRPr="00191A6B">
        <w:rPr>
          <w:rFonts w:cs="Times New Roman"/>
          <w:szCs w:val="24"/>
        </w:rPr>
        <w:t>Kellert, S., Mehta, J., Ebbin, S. A., &amp; Lichtenfeld, L. (2000</w:t>
      </w:r>
      <w:r w:rsidRPr="00191A6B">
        <w:rPr>
          <w:rFonts w:cs="Times New Roman"/>
          <w:i/>
          <w:iCs/>
          <w:szCs w:val="24"/>
        </w:rPr>
        <w:t xml:space="preserve">). </w:t>
      </w:r>
      <w:r w:rsidRPr="00016962">
        <w:rPr>
          <w:rFonts w:cs="Times New Roman"/>
          <w:szCs w:val="24"/>
        </w:rPr>
        <w:t xml:space="preserve">Community </w:t>
      </w:r>
    </w:p>
    <w:p w14:paraId="3EEC991A" w14:textId="77777777" w:rsidR="00D27874" w:rsidRPr="00191A6B" w:rsidRDefault="0036368F" w:rsidP="000D7C39">
      <w:pPr>
        <w:pStyle w:val="BodyText"/>
        <w:spacing w:after="0"/>
        <w:ind w:left="720" w:hanging="720"/>
        <w:rPr>
          <w:rFonts w:cs="Times New Roman"/>
          <w:szCs w:val="24"/>
        </w:rPr>
      </w:pPr>
      <w:r>
        <w:rPr>
          <w:rFonts w:cs="Times New Roman"/>
          <w:szCs w:val="24"/>
        </w:rPr>
        <w:tab/>
      </w:r>
      <w:r w:rsidR="00D27874" w:rsidRPr="00016962">
        <w:rPr>
          <w:rFonts w:cs="Times New Roman"/>
          <w:szCs w:val="24"/>
        </w:rPr>
        <w:t xml:space="preserve">Natural Resource </w:t>
      </w:r>
      <w:r w:rsidR="00D27874">
        <w:rPr>
          <w:rFonts w:cs="Times New Roman"/>
          <w:szCs w:val="24"/>
        </w:rPr>
        <w:t>m</w:t>
      </w:r>
      <w:r w:rsidR="00D27874" w:rsidRPr="00016962">
        <w:rPr>
          <w:rFonts w:cs="Times New Roman"/>
          <w:szCs w:val="24"/>
        </w:rPr>
        <w:t xml:space="preserve">anagement: Promise, Rhetoric, and Reality. </w:t>
      </w:r>
      <w:r w:rsidR="00D27874" w:rsidRPr="00016962">
        <w:rPr>
          <w:rFonts w:cs="Times New Roman"/>
          <w:i/>
          <w:iCs/>
          <w:szCs w:val="24"/>
        </w:rPr>
        <w:t>Society and Natural Resources</w:t>
      </w:r>
      <w:r w:rsidR="00050376">
        <w:rPr>
          <w:rFonts w:cs="Times New Roman"/>
          <w:szCs w:val="24"/>
        </w:rPr>
        <w:t>,</w:t>
      </w:r>
      <w:r w:rsidR="00D27874" w:rsidRPr="00191A6B">
        <w:rPr>
          <w:rFonts w:cs="Times New Roman"/>
          <w:szCs w:val="24"/>
        </w:rPr>
        <w:t xml:space="preserve"> 13</w:t>
      </w:r>
      <w:r w:rsidR="00050376">
        <w:rPr>
          <w:rFonts w:cs="Times New Roman"/>
          <w:szCs w:val="24"/>
        </w:rPr>
        <w:t>,</w:t>
      </w:r>
      <w:r w:rsidR="00D27874" w:rsidRPr="00191A6B">
        <w:rPr>
          <w:rFonts w:cs="Times New Roman"/>
          <w:szCs w:val="24"/>
        </w:rPr>
        <w:t xml:space="preserve"> 705-715.</w:t>
      </w:r>
    </w:p>
    <w:p w14:paraId="15BA4C92" w14:textId="77777777" w:rsidR="009D76D5" w:rsidRDefault="00D27874" w:rsidP="000D7C39">
      <w:pPr>
        <w:spacing w:after="0"/>
        <w:ind w:left="720" w:hanging="720"/>
      </w:pPr>
      <w:bookmarkStart w:id="507" w:name="_Hlk166852972"/>
      <w:r>
        <w:t xml:space="preserve">Khatri, D. B., Marquardt, K., Pain, A., &amp; Ojha, H. (2018). Shifting regimes of </w:t>
      </w:r>
    </w:p>
    <w:p w14:paraId="01E734FB" w14:textId="18BF0ADD" w:rsidR="00524689" w:rsidRDefault="0036368F" w:rsidP="00456262">
      <w:pPr>
        <w:spacing w:after="0"/>
        <w:ind w:left="720" w:hanging="720"/>
      </w:pPr>
      <w:r>
        <w:tab/>
      </w:r>
      <w:r w:rsidR="00D27874">
        <w:t xml:space="preserve">management and uses of forests: what might REDD+ implementation mean for community forestry? Evidence from Nepal. </w:t>
      </w:r>
      <w:r w:rsidR="00D27874">
        <w:rPr>
          <w:i/>
          <w:iCs/>
        </w:rPr>
        <w:t>Forest Policy Econ.</w:t>
      </w:r>
      <w:r w:rsidR="00050376">
        <w:rPr>
          <w:i/>
          <w:iCs/>
        </w:rPr>
        <w:t>,</w:t>
      </w:r>
      <w:r w:rsidR="00D27874">
        <w:t xml:space="preserve"> 92, 1–10.</w:t>
      </w:r>
      <w:bookmarkEnd w:id="507"/>
    </w:p>
    <w:p w14:paraId="3045D64A" w14:textId="77777777" w:rsidR="009D76D5" w:rsidRPr="00050376" w:rsidRDefault="00D27874" w:rsidP="000D7C39">
      <w:pPr>
        <w:spacing w:after="0"/>
        <w:ind w:left="720" w:hanging="720"/>
        <w:rPr>
          <w:i/>
          <w:iCs/>
        </w:rPr>
      </w:pPr>
      <w:r>
        <w:t xml:space="preserve">Kothari, A., Anuradha, R.V. &amp; P. Neema (1998). </w:t>
      </w:r>
      <w:r w:rsidRPr="00050376">
        <w:rPr>
          <w:i/>
          <w:iCs/>
        </w:rPr>
        <w:t xml:space="preserve">Community – Based </w:t>
      </w:r>
    </w:p>
    <w:p w14:paraId="023AAD3A" w14:textId="77777777" w:rsidR="00D27874" w:rsidRDefault="0036368F" w:rsidP="000D7C39">
      <w:pPr>
        <w:spacing w:after="0"/>
        <w:ind w:left="720" w:hanging="720"/>
      </w:pPr>
      <w:r>
        <w:rPr>
          <w:i/>
          <w:iCs/>
        </w:rPr>
        <w:tab/>
      </w:r>
      <w:r w:rsidR="00D27874" w:rsidRPr="00050376">
        <w:rPr>
          <w:i/>
          <w:iCs/>
        </w:rPr>
        <w:t>Conservation: Issues and Prospect</w:t>
      </w:r>
      <w:r w:rsidR="00D27874">
        <w:t>. In: Kothari et al. communities and conservation. Natural Resource Management in South and Central Asia. Sage Pub. Ltd. New Delhi, India.</w:t>
      </w:r>
    </w:p>
    <w:p w14:paraId="51CC2B29" w14:textId="0879C9D8" w:rsidR="00F53C74" w:rsidRDefault="00F53C74" w:rsidP="000D7C39">
      <w:pPr>
        <w:spacing w:after="0"/>
        <w:ind w:left="720" w:hanging="720"/>
      </w:pPr>
      <w:r>
        <w:lastRenderedPageBreak/>
        <w:t>Kotey, E. N. A., Francois, J., Owusu, J.G.K</w:t>
      </w:r>
      <w:r w:rsidR="007B3371">
        <w:t xml:space="preserve">., Yeboah, R., Amanor, K. S. &amp; </w:t>
      </w:r>
      <w:r>
        <w:t xml:space="preserve">Antwi, L. (1998) Falling </w:t>
      </w:r>
      <w:proofErr w:type="gramStart"/>
      <w:r>
        <w:t>Into</w:t>
      </w:r>
      <w:proofErr w:type="gramEnd"/>
      <w:r>
        <w:t xml:space="preserve"> Place: Policy that works for forests and people (</w:t>
      </w:r>
      <w:proofErr w:type="spellStart"/>
      <w:proofErr w:type="gramStart"/>
      <w:r>
        <w:t>London:International</w:t>
      </w:r>
      <w:proofErr w:type="spellEnd"/>
      <w:proofErr w:type="gramEnd"/>
      <w:r>
        <w:t xml:space="preserve"> Institute for Environment and Development).</w:t>
      </w:r>
    </w:p>
    <w:p w14:paraId="55B256E2" w14:textId="3181E5F4" w:rsidR="00C81D03" w:rsidRPr="00C81D03" w:rsidRDefault="00C81D03" w:rsidP="000D7C39">
      <w:pPr>
        <w:pStyle w:val="BodyText"/>
        <w:spacing w:after="0"/>
        <w:ind w:left="720" w:hanging="720"/>
      </w:pPr>
      <w:r>
        <w:t>Kuhn, T. (1970). The Structure of Scient</w:t>
      </w:r>
      <w:r w:rsidR="007B3371">
        <w:t xml:space="preserve">ific Revolutions. Chicago, IL: </w:t>
      </w:r>
      <w:r>
        <w:t>University of Chicago Press.</w:t>
      </w:r>
    </w:p>
    <w:p w14:paraId="20481DCF" w14:textId="1DE820F5" w:rsidR="0081629E" w:rsidRPr="00524689" w:rsidRDefault="00DD5966" w:rsidP="00524689">
      <w:pPr>
        <w:spacing w:after="0"/>
        <w:ind w:left="720" w:hanging="720"/>
        <w:rPr>
          <w:rFonts w:eastAsia="Times New Roman" w:cs="Times New Roman"/>
          <w:szCs w:val="24"/>
          <w:lang w:eastAsia="en-GB"/>
        </w:rPr>
      </w:pPr>
      <w:r w:rsidRPr="00DD5966">
        <w:rPr>
          <w:rFonts w:eastAsia="Times New Roman" w:cs="Times New Roman"/>
          <w:szCs w:val="24"/>
          <w:lang w:eastAsia="en-GB"/>
        </w:rPr>
        <w:t xml:space="preserve">Kumar, S., &amp; Kant, S. (2005). Bureaucracy and new management paradigms: </w:t>
      </w:r>
      <w:proofErr w:type="spellStart"/>
      <w:r w:rsidRPr="00DD5966">
        <w:rPr>
          <w:rFonts w:eastAsia="Times New Roman" w:cs="Times New Roman"/>
          <w:szCs w:val="24"/>
          <w:lang w:eastAsia="en-GB"/>
        </w:rPr>
        <w:t>modeling</w:t>
      </w:r>
      <w:proofErr w:type="spellEnd"/>
      <w:r w:rsidRPr="00DD5966">
        <w:rPr>
          <w:rFonts w:eastAsia="Times New Roman" w:cs="Times New Roman"/>
          <w:szCs w:val="24"/>
          <w:lang w:eastAsia="en-GB"/>
        </w:rPr>
        <w:t xml:space="preserve"> foresters’ perceptions regarding community-based forest management in India. </w:t>
      </w:r>
      <w:r w:rsidRPr="00DD5966">
        <w:rPr>
          <w:rFonts w:eastAsia="Times New Roman" w:cs="Times New Roman"/>
          <w:i/>
          <w:iCs/>
          <w:szCs w:val="24"/>
          <w:lang w:eastAsia="en-GB"/>
        </w:rPr>
        <w:t>Forest Policy and Economics</w:t>
      </w:r>
      <w:r w:rsidRPr="00DD5966">
        <w:rPr>
          <w:rFonts w:eastAsia="Times New Roman" w:cs="Times New Roman"/>
          <w:szCs w:val="24"/>
          <w:lang w:eastAsia="en-GB"/>
        </w:rPr>
        <w:t xml:space="preserve">, </w:t>
      </w:r>
      <w:r w:rsidRPr="00DD5966">
        <w:rPr>
          <w:rFonts w:eastAsia="Times New Roman" w:cs="Times New Roman"/>
          <w:i/>
          <w:iCs/>
          <w:szCs w:val="24"/>
          <w:lang w:eastAsia="en-GB"/>
        </w:rPr>
        <w:t>7</w:t>
      </w:r>
      <w:r w:rsidRPr="00DD5966">
        <w:rPr>
          <w:rFonts w:eastAsia="Times New Roman" w:cs="Times New Roman"/>
          <w:szCs w:val="24"/>
          <w:lang w:eastAsia="en-GB"/>
        </w:rPr>
        <w:t>(4), 651-669.</w:t>
      </w:r>
    </w:p>
    <w:p w14:paraId="1ABFAF6A" w14:textId="6D814188" w:rsidR="00CC473C" w:rsidRDefault="00CC473C" w:rsidP="000D7C39">
      <w:pPr>
        <w:spacing w:after="0"/>
        <w:ind w:left="720" w:hanging="720"/>
        <w:rPr>
          <w:rFonts w:eastAsia="Times New Roman" w:cs="Times New Roman"/>
          <w:szCs w:val="24"/>
          <w:lang w:eastAsia="en-GB"/>
        </w:rPr>
      </w:pPr>
      <w:bookmarkStart w:id="508" w:name="_Hlk195387972"/>
      <w:r w:rsidRPr="00AA1803">
        <w:rPr>
          <w:rFonts w:eastAsia="Times New Roman" w:cs="Times New Roman"/>
          <w:szCs w:val="24"/>
          <w:lang w:eastAsia="en-GB"/>
        </w:rPr>
        <w:t xml:space="preserve">Kumar, K., &amp; Welke, R. J. (1992). Methodology Engineering: a proposal for situation-specific methodology construction. In </w:t>
      </w:r>
      <w:r w:rsidRPr="00AA1803">
        <w:rPr>
          <w:rFonts w:eastAsia="Times New Roman" w:cs="Times New Roman"/>
          <w:i/>
          <w:iCs/>
          <w:szCs w:val="24"/>
          <w:lang w:eastAsia="en-GB"/>
        </w:rPr>
        <w:t>Challenges and strategies for research in systems developm</w:t>
      </w:r>
      <w:r>
        <w:rPr>
          <w:rFonts w:eastAsia="Times New Roman" w:cs="Times New Roman"/>
          <w:i/>
          <w:iCs/>
          <w:szCs w:val="24"/>
          <w:lang w:eastAsia="en-GB"/>
        </w:rPr>
        <w:t>ent,</w:t>
      </w:r>
      <w:r w:rsidRPr="00AA1803">
        <w:rPr>
          <w:rFonts w:eastAsia="Times New Roman" w:cs="Times New Roman"/>
          <w:szCs w:val="24"/>
          <w:lang w:eastAsia="en-GB"/>
        </w:rPr>
        <w:t xml:space="preserve"> 257-269.</w:t>
      </w:r>
    </w:p>
    <w:bookmarkEnd w:id="508"/>
    <w:p w14:paraId="1BDCA57F" w14:textId="1E0D2FD2" w:rsidR="00F53C74" w:rsidRPr="00182077" w:rsidRDefault="00F53C74" w:rsidP="000D7C39">
      <w:pPr>
        <w:spacing w:after="0"/>
        <w:ind w:left="720" w:hanging="720"/>
        <w:rPr>
          <w:rFonts w:eastAsia="Times New Roman" w:cs="Times New Roman"/>
          <w:szCs w:val="24"/>
          <w:lang w:eastAsia="en-GB"/>
        </w:rPr>
      </w:pPr>
      <w:proofErr w:type="spellStart"/>
      <w:r w:rsidRPr="00182077">
        <w:rPr>
          <w:rFonts w:eastAsia="Times New Roman" w:cs="Times New Roman"/>
          <w:szCs w:val="24"/>
          <w:lang w:eastAsia="en-GB"/>
        </w:rPr>
        <w:t>Kusumawati</w:t>
      </w:r>
      <w:proofErr w:type="spellEnd"/>
      <w:r w:rsidRPr="00182077">
        <w:rPr>
          <w:rFonts w:eastAsia="Times New Roman" w:cs="Times New Roman"/>
          <w:szCs w:val="24"/>
          <w:lang w:eastAsia="en-GB"/>
        </w:rPr>
        <w:t xml:space="preserve">, F. R., Ferdous, E., &amp; Bayramov, B. (2021). The impact of customer behaviour on travel intention abroad after a pandemic. </w:t>
      </w:r>
      <w:r w:rsidRPr="00182077">
        <w:rPr>
          <w:rFonts w:eastAsia="Times New Roman" w:cs="Times New Roman"/>
          <w:i/>
          <w:iCs/>
          <w:szCs w:val="24"/>
          <w:lang w:eastAsia="en-GB"/>
        </w:rPr>
        <w:t>International Journal of Tourism Policy</w:t>
      </w:r>
      <w:r w:rsidRPr="00182077">
        <w:rPr>
          <w:rFonts w:eastAsia="Times New Roman" w:cs="Times New Roman"/>
          <w:szCs w:val="24"/>
          <w:lang w:eastAsia="en-GB"/>
        </w:rPr>
        <w:t xml:space="preserve">, </w:t>
      </w:r>
      <w:r w:rsidRPr="00182077">
        <w:rPr>
          <w:rFonts w:eastAsia="Times New Roman" w:cs="Times New Roman"/>
          <w:i/>
          <w:iCs/>
          <w:szCs w:val="24"/>
          <w:lang w:eastAsia="en-GB"/>
        </w:rPr>
        <w:t>11</w:t>
      </w:r>
      <w:r w:rsidRPr="00182077">
        <w:rPr>
          <w:rFonts w:eastAsia="Times New Roman" w:cs="Times New Roman"/>
          <w:szCs w:val="24"/>
          <w:lang w:eastAsia="en-GB"/>
        </w:rPr>
        <w:t>(2), 142-160.</w:t>
      </w:r>
    </w:p>
    <w:p w14:paraId="20144378" w14:textId="77777777" w:rsidR="009D76D5" w:rsidRDefault="00D27874" w:rsidP="000D7C39">
      <w:pPr>
        <w:spacing w:after="0"/>
        <w:ind w:left="720" w:hanging="720"/>
      </w:pPr>
      <w:r>
        <w:t xml:space="preserve">Krajewski, P., Solecka, I., &amp; Mrozik, K. (2018). Forest landscape change and </w:t>
      </w:r>
    </w:p>
    <w:p w14:paraId="446D0B51" w14:textId="77777777" w:rsidR="00D27874" w:rsidRDefault="0036368F" w:rsidP="000D7C39">
      <w:pPr>
        <w:spacing w:after="0"/>
        <w:ind w:left="720" w:hanging="720"/>
      </w:pPr>
      <w:r>
        <w:tab/>
      </w:r>
      <w:r w:rsidR="00D27874">
        <w:t xml:space="preserve">preliminary study on its driving forces in </w:t>
      </w:r>
      <w:proofErr w:type="spellStart"/>
      <w:r w:rsidR="00D27874">
        <w:t>Ślęża</w:t>
      </w:r>
      <w:proofErr w:type="spellEnd"/>
      <w:r w:rsidR="00D27874">
        <w:t xml:space="preserve"> Landscape Park (Southwestern Poland) in 1883–2013. </w:t>
      </w:r>
      <w:r w:rsidR="00D27874" w:rsidRPr="00585023">
        <w:rPr>
          <w:i/>
          <w:iCs/>
        </w:rPr>
        <w:t>Sustainability</w:t>
      </w:r>
      <w:r w:rsidR="00D27874">
        <w:rPr>
          <w:i/>
          <w:iCs/>
        </w:rPr>
        <w:t>,</w:t>
      </w:r>
      <w:r w:rsidR="00D27874">
        <w:t xml:space="preserve"> 10(12), 4526.</w:t>
      </w:r>
    </w:p>
    <w:p w14:paraId="0CC6F854" w14:textId="16B7C4C5" w:rsidR="00524689" w:rsidRPr="00456262" w:rsidRDefault="00D27874" w:rsidP="00456262">
      <w:pPr>
        <w:spacing w:after="0"/>
        <w:ind w:left="720" w:hanging="720"/>
        <w:rPr>
          <w:i/>
          <w:iCs/>
        </w:rPr>
      </w:pPr>
      <w:r>
        <w:t xml:space="preserve">Kvale, S., &amp; Brinkmann, S. (2009). </w:t>
      </w:r>
      <w:proofErr w:type="spellStart"/>
      <w:r w:rsidRPr="00050376">
        <w:rPr>
          <w:i/>
          <w:iCs/>
        </w:rPr>
        <w:t>InterViews</w:t>
      </w:r>
      <w:proofErr w:type="spellEnd"/>
      <w:r w:rsidRPr="00050376">
        <w:rPr>
          <w:i/>
          <w:iCs/>
        </w:rPr>
        <w:t xml:space="preserve">: Learning the craft of qualitative research interviewing. </w:t>
      </w:r>
      <w:r>
        <w:t>Los Angeles, CA: Sage Publications.</w:t>
      </w:r>
      <w:bookmarkStart w:id="509" w:name="_Hlk195388009"/>
      <w:bookmarkStart w:id="510" w:name="_Hlk165315752"/>
    </w:p>
    <w:p w14:paraId="1A86937A" w14:textId="77777777" w:rsidR="00454253" w:rsidRDefault="00D27874" w:rsidP="000D7C39">
      <w:pPr>
        <w:spacing w:after="0"/>
        <w:ind w:left="720" w:hanging="720"/>
        <w:rPr>
          <w:rFonts w:cs="Times New Roman"/>
          <w:szCs w:val="24"/>
        </w:rPr>
      </w:pPr>
      <w:r w:rsidRPr="00C425C4">
        <w:rPr>
          <w:rFonts w:cs="Times New Roman"/>
          <w:szCs w:val="24"/>
        </w:rPr>
        <w:t>Kwahu South Municipal Assembly</w:t>
      </w:r>
      <w:r>
        <w:rPr>
          <w:rFonts w:cs="Times New Roman"/>
          <w:szCs w:val="24"/>
        </w:rPr>
        <w:t xml:space="preserve"> (2022). </w:t>
      </w:r>
      <w:r w:rsidRPr="00C425C4">
        <w:rPr>
          <w:rFonts w:cs="Times New Roman"/>
          <w:szCs w:val="24"/>
        </w:rPr>
        <w:t xml:space="preserve">COMPOSITE BUDGET FOR </w:t>
      </w:r>
    </w:p>
    <w:p w14:paraId="37D45D67" w14:textId="77777777" w:rsidR="00D27874" w:rsidRDefault="0036368F" w:rsidP="000D7C39">
      <w:pPr>
        <w:spacing w:after="0"/>
        <w:ind w:left="720" w:hanging="720"/>
        <w:rPr>
          <w:rFonts w:cs="Times New Roman"/>
          <w:szCs w:val="24"/>
        </w:rPr>
      </w:pPr>
      <w:r>
        <w:rPr>
          <w:rFonts w:cs="Times New Roman"/>
          <w:szCs w:val="24"/>
        </w:rPr>
        <w:tab/>
      </w:r>
      <w:r w:rsidR="00D27874" w:rsidRPr="00C425C4">
        <w:rPr>
          <w:rFonts w:cs="Times New Roman"/>
          <w:szCs w:val="24"/>
        </w:rPr>
        <w:t>2022-2025</w:t>
      </w:r>
      <w:r w:rsidR="00D27874">
        <w:rPr>
          <w:rFonts w:cs="Times New Roman"/>
          <w:szCs w:val="24"/>
        </w:rPr>
        <w:t>.</w:t>
      </w:r>
    </w:p>
    <w:bookmarkEnd w:id="509"/>
    <w:p w14:paraId="181BBBD2" w14:textId="7AF03C10" w:rsidR="009C6C45" w:rsidRDefault="009C6C45" w:rsidP="000D7C39">
      <w:pPr>
        <w:spacing w:after="0"/>
        <w:ind w:left="720" w:hanging="720"/>
        <w:rPr>
          <w:rFonts w:eastAsia="Times New Roman" w:cs="Times New Roman"/>
          <w:szCs w:val="24"/>
          <w:lang w:eastAsia="en-GB"/>
        </w:rPr>
      </w:pPr>
      <w:r w:rsidRPr="009C6C45">
        <w:rPr>
          <w:rFonts w:eastAsia="Times New Roman" w:cs="Times New Roman"/>
          <w:szCs w:val="24"/>
          <w:lang w:eastAsia="en-GB"/>
        </w:rPr>
        <w:t xml:space="preserve">van Laerhoven, F., &amp; Andersson, K. (2006, June). The Virtue of Conflict in Local Resource Governance: An Institutional Approach to the Study of Heterogeneous Preferences. In </w:t>
      </w:r>
      <w:r w:rsidRPr="009C6C45">
        <w:rPr>
          <w:rFonts w:eastAsia="Times New Roman" w:cs="Times New Roman"/>
          <w:i/>
          <w:iCs/>
          <w:szCs w:val="24"/>
          <w:lang w:eastAsia="en-GB"/>
        </w:rPr>
        <w:t xml:space="preserve">11th Biennial Conference of the </w:t>
      </w:r>
      <w:r w:rsidRPr="009C6C45">
        <w:rPr>
          <w:rFonts w:eastAsia="Times New Roman" w:cs="Times New Roman"/>
          <w:i/>
          <w:iCs/>
          <w:szCs w:val="24"/>
          <w:lang w:eastAsia="en-GB"/>
        </w:rPr>
        <w:lastRenderedPageBreak/>
        <w:t>International Association for the Study of Common Property (IASCP), Bali, Indonesia,</w:t>
      </w:r>
      <w:r w:rsidRPr="009C6C45">
        <w:rPr>
          <w:rFonts w:eastAsia="Times New Roman" w:cs="Times New Roman"/>
          <w:szCs w:val="24"/>
          <w:lang w:eastAsia="en-GB"/>
        </w:rPr>
        <w:t xml:space="preserve"> 19</w:t>
      </w:r>
      <w:r w:rsidR="005175D8">
        <w:rPr>
          <w:rFonts w:eastAsia="Times New Roman" w:cs="Times New Roman"/>
          <w:szCs w:val="24"/>
          <w:lang w:eastAsia="en-GB"/>
        </w:rPr>
        <w:t>(</w:t>
      </w:r>
      <w:r w:rsidRPr="009C6C45">
        <w:rPr>
          <w:rFonts w:eastAsia="Times New Roman" w:cs="Times New Roman"/>
          <w:szCs w:val="24"/>
          <w:lang w:eastAsia="en-GB"/>
        </w:rPr>
        <w:t>23</w:t>
      </w:r>
      <w:r w:rsidR="005175D8">
        <w:rPr>
          <w:rFonts w:eastAsia="Times New Roman" w:cs="Times New Roman"/>
          <w:szCs w:val="24"/>
          <w:lang w:eastAsia="en-GB"/>
        </w:rPr>
        <w:t>),</w:t>
      </w:r>
      <w:r w:rsidRPr="009C6C45">
        <w:rPr>
          <w:rFonts w:eastAsia="Times New Roman" w:cs="Times New Roman"/>
          <w:szCs w:val="24"/>
          <w:lang w:eastAsia="en-GB"/>
        </w:rPr>
        <w:t xml:space="preserve"> 2006</w:t>
      </w:r>
      <w:r w:rsidR="005175D8">
        <w:rPr>
          <w:rFonts w:eastAsia="Times New Roman" w:cs="Times New Roman"/>
          <w:szCs w:val="24"/>
          <w:lang w:eastAsia="en-GB"/>
        </w:rPr>
        <w:t>-</w:t>
      </w:r>
      <w:r w:rsidR="00D65422">
        <w:rPr>
          <w:rFonts w:eastAsia="Times New Roman" w:cs="Times New Roman"/>
          <w:szCs w:val="24"/>
          <w:lang w:eastAsia="en-GB"/>
        </w:rPr>
        <w:t>231</w:t>
      </w:r>
      <w:r w:rsidRPr="009C6C45">
        <w:rPr>
          <w:rFonts w:eastAsia="Times New Roman" w:cs="Times New Roman"/>
          <w:szCs w:val="24"/>
          <w:lang w:eastAsia="en-GB"/>
        </w:rPr>
        <w:t>.</w:t>
      </w:r>
    </w:p>
    <w:p w14:paraId="69100717" w14:textId="77777777" w:rsidR="00D27874" w:rsidRPr="00D15027" w:rsidRDefault="00D27874" w:rsidP="000D7C39">
      <w:pPr>
        <w:spacing w:after="0"/>
        <w:ind w:left="720" w:hanging="720"/>
        <w:rPr>
          <w:i/>
          <w:iCs/>
        </w:rPr>
      </w:pPr>
      <w:bookmarkStart w:id="511" w:name="_Hlk166852669"/>
      <w:bookmarkEnd w:id="510"/>
      <w:r>
        <w:t xml:space="preserve">Lamptey, A. M. (2021). Tourism, Ecosystems, Biodiversity and Threats. </w:t>
      </w:r>
      <w:r w:rsidRPr="00731AC6">
        <w:rPr>
          <w:i/>
          <w:iCs/>
        </w:rPr>
        <w:t>In The Blue Economy in Sub-Saharan Africa</w:t>
      </w:r>
      <w:r>
        <w:t>, 35-48. Routledge.</w:t>
      </w:r>
    </w:p>
    <w:bookmarkEnd w:id="511"/>
    <w:p w14:paraId="09AC61D3" w14:textId="6D450B14" w:rsidR="0081629E" w:rsidRPr="00524689" w:rsidRDefault="00782B58" w:rsidP="00524689">
      <w:pPr>
        <w:spacing w:after="0"/>
        <w:ind w:left="720" w:hanging="720"/>
        <w:rPr>
          <w:rFonts w:eastAsia="Times New Roman" w:cs="Times New Roman"/>
          <w:szCs w:val="24"/>
          <w:lang w:eastAsia="en-GB"/>
        </w:rPr>
      </w:pPr>
      <w:r w:rsidRPr="006A0F97">
        <w:rPr>
          <w:rFonts w:eastAsia="Times New Roman" w:cs="Times New Roman"/>
          <w:szCs w:val="24"/>
          <w:lang w:eastAsia="en-GB"/>
        </w:rPr>
        <w:t xml:space="preserve">Landell-Mills, N </w:t>
      </w:r>
      <w:r>
        <w:rPr>
          <w:rFonts w:eastAsia="Times New Roman" w:cs="Times New Roman"/>
          <w:szCs w:val="24"/>
          <w:lang w:eastAsia="en-GB"/>
        </w:rPr>
        <w:t>&amp;</w:t>
      </w:r>
      <w:r w:rsidRPr="006A0F97">
        <w:rPr>
          <w:rFonts w:eastAsia="Times New Roman" w:cs="Times New Roman"/>
          <w:szCs w:val="24"/>
          <w:lang w:eastAsia="en-GB"/>
        </w:rPr>
        <w:t xml:space="preserve"> Porras, T. I. </w:t>
      </w:r>
      <w:r>
        <w:rPr>
          <w:rFonts w:eastAsia="Times New Roman" w:cs="Times New Roman"/>
          <w:szCs w:val="24"/>
          <w:lang w:eastAsia="en-GB"/>
        </w:rPr>
        <w:t>(</w:t>
      </w:r>
      <w:r w:rsidRPr="006A0F97">
        <w:rPr>
          <w:rFonts w:eastAsia="Times New Roman" w:cs="Times New Roman"/>
          <w:szCs w:val="24"/>
          <w:lang w:eastAsia="en-GB"/>
        </w:rPr>
        <w:t>2002</w:t>
      </w:r>
      <w:r>
        <w:rPr>
          <w:rFonts w:eastAsia="Times New Roman" w:cs="Times New Roman"/>
          <w:szCs w:val="24"/>
          <w:lang w:eastAsia="en-GB"/>
        </w:rPr>
        <w:t>)</w:t>
      </w:r>
      <w:r w:rsidRPr="006A0F97">
        <w:rPr>
          <w:rFonts w:eastAsia="Times New Roman" w:cs="Times New Roman"/>
          <w:szCs w:val="24"/>
          <w:lang w:eastAsia="en-GB"/>
        </w:rPr>
        <w:t>. Silver bullet or fools’ gold? A global review of</w:t>
      </w:r>
      <w:r>
        <w:rPr>
          <w:rFonts w:eastAsia="Times New Roman" w:cs="Times New Roman"/>
          <w:szCs w:val="24"/>
          <w:lang w:eastAsia="en-GB"/>
        </w:rPr>
        <w:t xml:space="preserve"> </w:t>
      </w:r>
      <w:r w:rsidRPr="006A0F97">
        <w:rPr>
          <w:rFonts w:eastAsia="Times New Roman" w:cs="Times New Roman"/>
          <w:szCs w:val="24"/>
          <w:lang w:eastAsia="en-GB"/>
        </w:rPr>
        <w:t>markets for forest environmental services and their impact on the poor. Instruments for</w:t>
      </w:r>
      <w:r>
        <w:rPr>
          <w:rFonts w:eastAsia="Times New Roman" w:cs="Times New Roman"/>
          <w:szCs w:val="24"/>
          <w:lang w:eastAsia="en-GB"/>
        </w:rPr>
        <w:t xml:space="preserve"> </w:t>
      </w:r>
      <w:r w:rsidRPr="006A0F97">
        <w:rPr>
          <w:rFonts w:eastAsia="Times New Roman" w:cs="Times New Roman"/>
          <w:szCs w:val="24"/>
          <w:lang w:eastAsia="en-GB"/>
        </w:rPr>
        <w:t>sustainable private sector forestry series. International Institute for Environment and</w:t>
      </w:r>
      <w:r>
        <w:rPr>
          <w:rFonts w:eastAsia="Times New Roman" w:cs="Times New Roman"/>
          <w:szCs w:val="24"/>
          <w:lang w:eastAsia="en-GB"/>
        </w:rPr>
        <w:t xml:space="preserve"> </w:t>
      </w:r>
      <w:r w:rsidRPr="006A0F97">
        <w:rPr>
          <w:rFonts w:eastAsia="Times New Roman" w:cs="Times New Roman"/>
          <w:szCs w:val="24"/>
          <w:lang w:eastAsia="en-GB"/>
        </w:rPr>
        <w:t>Development, London.</w:t>
      </w:r>
    </w:p>
    <w:p w14:paraId="2ABC78AE" w14:textId="77777777" w:rsidR="00454253" w:rsidRDefault="00D27874" w:rsidP="000D7C39">
      <w:pPr>
        <w:spacing w:after="0"/>
        <w:ind w:left="720" w:hanging="720"/>
      </w:pPr>
      <w:r>
        <w:t xml:space="preserve">Lange, F., &amp; </w:t>
      </w:r>
      <w:proofErr w:type="spellStart"/>
      <w:r>
        <w:t>Dewitte</w:t>
      </w:r>
      <w:proofErr w:type="spellEnd"/>
      <w:r>
        <w:t xml:space="preserve">, S. (2019). Measuring pro-environmental behaviour: </w:t>
      </w:r>
    </w:p>
    <w:p w14:paraId="1B6E6AAE" w14:textId="77777777" w:rsidR="00D27874" w:rsidRDefault="00BB6EA5" w:rsidP="000D7C39">
      <w:pPr>
        <w:spacing w:after="0"/>
        <w:ind w:left="720" w:hanging="720"/>
      </w:pPr>
      <w:r>
        <w:tab/>
      </w:r>
      <w:r w:rsidR="00D27874">
        <w:t xml:space="preserve">Review and recommendations. </w:t>
      </w:r>
      <w:r w:rsidR="00D27874">
        <w:rPr>
          <w:rStyle w:val="Emphasis"/>
        </w:rPr>
        <w:t>Journal of Environmental Psychology, 63,</w:t>
      </w:r>
      <w:r w:rsidR="00D27874">
        <w:t xml:space="preserve"> 92–100.</w:t>
      </w:r>
    </w:p>
    <w:p w14:paraId="60300120" w14:textId="3029D315" w:rsidR="00D40DE4" w:rsidRPr="008B3753" w:rsidRDefault="00D40DE4" w:rsidP="000D7C39">
      <w:pPr>
        <w:spacing w:after="0"/>
        <w:ind w:left="720" w:hanging="720"/>
        <w:rPr>
          <w:rFonts w:eastAsia="Times New Roman" w:cs="Times New Roman"/>
          <w:szCs w:val="24"/>
          <w:lang w:eastAsia="en-GB"/>
        </w:rPr>
      </w:pPr>
      <w:bookmarkStart w:id="512" w:name="_Hlk166853100"/>
      <w:r w:rsidRPr="00D40DE4">
        <w:rPr>
          <w:rFonts w:eastAsia="Times New Roman" w:cs="Times New Roman"/>
          <w:szCs w:val="24"/>
          <w:lang w:eastAsia="en-GB"/>
        </w:rPr>
        <w:t xml:space="preserve">Larson, A. J., Jeronimo, S. M., Hessburg, P. F., Lutz, J. A., </w:t>
      </w:r>
      <w:proofErr w:type="spellStart"/>
      <w:r w:rsidRPr="00D40DE4">
        <w:rPr>
          <w:rFonts w:eastAsia="Times New Roman" w:cs="Times New Roman"/>
          <w:szCs w:val="24"/>
          <w:lang w:eastAsia="en-GB"/>
        </w:rPr>
        <w:t>Povak</w:t>
      </w:r>
      <w:proofErr w:type="spellEnd"/>
      <w:r w:rsidRPr="00D40DE4">
        <w:rPr>
          <w:rFonts w:eastAsia="Times New Roman" w:cs="Times New Roman"/>
          <w:szCs w:val="24"/>
          <w:lang w:eastAsia="en-GB"/>
        </w:rPr>
        <w:t xml:space="preserve">, N. A., Cansler, C. A., ... &amp; Churchill, D. J. (2022). Tamm Review: Ecological principles to guide post-fire forest landscape management in the Inland Pacific and Northern Rocky Mountain regions. </w:t>
      </w:r>
      <w:r w:rsidRPr="00D40DE4">
        <w:rPr>
          <w:rFonts w:eastAsia="Times New Roman" w:cs="Times New Roman"/>
          <w:i/>
          <w:iCs/>
          <w:szCs w:val="24"/>
          <w:lang w:eastAsia="en-GB"/>
        </w:rPr>
        <w:t>Forest Ecology and Management</w:t>
      </w:r>
      <w:r w:rsidRPr="00D40DE4">
        <w:rPr>
          <w:rFonts w:eastAsia="Times New Roman" w:cs="Times New Roman"/>
          <w:szCs w:val="24"/>
          <w:lang w:eastAsia="en-GB"/>
        </w:rPr>
        <w:t xml:space="preserve">, </w:t>
      </w:r>
      <w:r w:rsidRPr="00D40DE4">
        <w:rPr>
          <w:rFonts w:eastAsia="Times New Roman" w:cs="Times New Roman"/>
          <w:i/>
          <w:iCs/>
          <w:szCs w:val="24"/>
          <w:lang w:eastAsia="en-GB"/>
        </w:rPr>
        <w:t>504</w:t>
      </w:r>
      <w:r w:rsidRPr="00D40DE4">
        <w:rPr>
          <w:rFonts w:eastAsia="Times New Roman" w:cs="Times New Roman"/>
          <w:szCs w:val="24"/>
          <w:lang w:eastAsia="en-GB"/>
        </w:rPr>
        <w:t>, 119680.</w:t>
      </w:r>
    </w:p>
    <w:bookmarkEnd w:id="512"/>
    <w:p w14:paraId="6F2B8095" w14:textId="623CDB6F" w:rsidR="002D3B37" w:rsidRPr="002D3B37" w:rsidRDefault="002D3B37" w:rsidP="000D7C39">
      <w:pPr>
        <w:spacing w:after="0"/>
        <w:ind w:left="720" w:hanging="720"/>
        <w:rPr>
          <w:rFonts w:eastAsia="Times New Roman" w:cs="Times New Roman"/>
          <w:szCs w:val="24"/>
          <w:lang w:eastAsia="en-GB"/>
        </w:rPr>
      </w:pPr>
      <w:r w:rsidRPr="002D3B37">
        <w:rPr>
          <w:rFonts w:eastAsia="Times New Roman" w:cs="Times New Roman"/>
          <w:szCs w:val="24"/>
          <w:lang w:eastAsia="en-GB"/>
        </w:rPr>
        <w:t xml:space="preserve">Larson, A. M., Brockhaus, M., Sunderlin, W. D., </w:t>
      </w:r>
      <w:proofErr w:type="spellStart"/>
      <w:r w:rsidRPr="002D3B37">
        <w:rPr>
          <w:rFonts w:eastAsia="Times New Roman" w:cs="Times New Roman"/>
          <w:szCs w:val="24"/>
          <w:lang w:eastAsia="en-GB"/>
        </w:rPr>
        <w:t>Duchelle</w:t>
      </w:r>
      <w:proofErr w:type="spellEnd"/>
      <w:r w:rsidRPr="002D3B37">
        <w:rPr>
          <w:rFonts w:eastAsia="Times New Roman" w:cs="Times New Roman"/>
          <w:szCs w:val="24"/>
          <w:lang w:eastAsia="en-GB"/>
        </w:rPr>
        <w:t xml:space="preserve">, A., Babon, A., Dokken, T., ... &amp; Huynh, T. B. (2013). Land tenure and REDD+: The good, the bad and the ugly. </w:t>
      </w:r>
      <w:r w:rsidRPr="002D3B37">
        <w:rPr>
          <w:rFonts w:eastAsia="Times New Roman" w:cs="Times New Roman"/>
          <w:i/>
          <w:iCs/>
          <w:szCs w:val="24"/>
          <w:lang w:eastAsia="en-GB"/>
        </w:rPr>
        <w:t>Global environmental change</w:t>
      </w:r>
      <w:r w:rsidRPr="002D3B37">
        <w:rPr>
          <w:rFonts w:eastAsia="Times New Roman" w:cs="Times New Roman"/>
          <w:szCs w:val="24"/>
          <w:lang w:eastAsia="en-GB"/>
        </w:rPr>
        <w:t xml:space="preserve">, </w:t>
      </w:r>
      <w:r w:rsidRPr="002D3B37">
        <w:rPr>
          <w:rFonts w:eastAsia="Times New Roman" w:cs="Times New Roman"/>
          <w:i/>
          <w:iCs/>
          <w:szCs w:val="24"/>
          <w:lang w:eastAsia="en-GB"/>
        </w:rPr>
        <w:t>23</w:t>
      </w:r>
      <w:r w:rsidRPr="002D3B37">
        <w:rPr>
          <w:rFonts w:eastAsia="Times New Roman" w:cs="Times New Roman"/>
          <w:szCs w:val="24"/>
          <w:lang w:eastAsia="en-GB"/>
        </w:rPr>
        <w:t>(3), 678-689.</w:t>
      </w:r>
    </w:p>
    <w:p w14:paraId="75FF42EA" w14:textId="77777777" w:rsidR="00050376" w:rsidRDefault="00D27874" w:rsidP="000D7C39">
      <w:pPr>
        <w:spacing w:after="0"/>
        <w:ind w:left="720" w:hanging="720"/>
        <w:rPr>
          <w:i/>
          <w:iCs/>
          <w:szCs w:val="24"/>
        </w:rPr>
      </w:pPr>
      <w:r w:rsidRPr="00876084">
        <w:rPr>
          <w:szCs w:val="24"/>
        </w:rPr>
        <w:t>Larson, A.</w:t>
      </w:r>
      <w:r>
        <w:rPr>
          <w:szCs w:val="24"/>
        </w:rPr>
        <w:t xml:space="preserve"> </w:t>
      </w:r>
      <w:r w:rsidRPr="00876084">
        <w:rPr>
          <w:szCs w:val="24"/>
        </w:rPr>
        <w:t xml:space="preserve">M. </w:t>
      </w:r>
      <w:r>
        <w:rPr>
          <w:szCs w:val="24"/>
        </w:rPr>
        <w:t>(</w:t>
      </w:r>
      <w:r w:rsidRPr="00876084">
        <w:rPr>
          <w:szCs w:val="24"/>
        </w:rPr>
        <w:t>2012</w:t>
      </w:r>
      <w:r>
        <w:rPr>
          <w:szCs w:val="24"/>
        </w:rPr>
        <w:t>)</w:t>
      </w:r>
      <w:r w:rsidR="00050376">
        <w:rPr>
          <w:szCs w:val="24"/>
        </w:rPr>
        <w:t>.</w:t>
      </w:r>
      <w:r w:rsidRPr="00876084">
        <w:rPr>
          <w:szCs w:val="24"/>
        </w:rPr>
        <w:t xml:space="preserve"> </w:t>
      </w:r>
      <w:r w:rsidRPr="00050376">
        <w:rPr>
          <w:i/>
          <w:iCs/>
          <w:szCs w:val="24"/>
        </w:rPr>
        <w:t xml:space="preserve">Tenure rights and access to forests: A training manual </w:t>
      </w:r>
    </w:p>
    <w:p w14:paraId="5CB70391" w14:textId="77777777" w:rsidR="00D27874" w:rsidRDefault="00BB6EA5" w:rsidP="000D7C39">
      <w:pPr>
        <w:spacing w:after="0"/>
        <w:ind w:left="720" w:hanging="720"/>
        <w:rPr>
          <w:szCs w:val="24"/>
        </w:rPr>
      </w:pPr>
      <w:r>
        <w:rPr>
          <w:i/>
          <w:iCs/>
          <w:szCs w:val="24"/>
        </w:rPr>
        <w:tab/>
      </w:r>
      <w:r w:rsidR="00D27874" w:rsidRPr="00050376">
        <w:rPr>
          <w:i/>
          <w:iCs/>
          <w:szCs w:val="24"/>
        </w:rPr>
        <w:t>for research.</w:t>
      </w:r>
      <w:r w:rsidR="00D27874">
        <w:rPr>
          <w:szCs w:val="24"/>
        </w:rPr>
        <w:t xml:space="preserve"> </w:t>
      </w:r>
      <w:r w:rsidR="00D27874" w:rsidRPr="00876084">
        <w:rPr>
          <w:szCs w:val="24"/>
        </w:rPr>
        <w:t>CIFOR, Bogor, Indonesia.</w:t>
      </w:r>
    </w:p>
    <w:p w14:paraId="0099138F" w14:textId="53BB1042" w:rsidR="00795F26" w:rsidRPr="00795F26" w:rsidRDefault="00795F26" w:rsidP="000D7C39">
      <w:pPr>
        <w:spacing w:after="0"/>
        <w:ind w:left="720" w:hanging="720"/>
        <w:rPr>
          <w:rFonts w:eastAsia="Times New Roman" w:cs="Times New Roman"/>
          <w:szCs w:val="24"/>
          <w:lang w:eastAsia="en-GB"/>
        </w:rPr>
      </w:pPr>
      <w:bookmarkStart w:id="513" w:name="_Hlk166853157"/>
      <w:r w:rsidRPr="00795F26">
        <w:rPr>
          <w:rFonts w:eastAsia="Times New Roman" w:cs="Times New Roman"/>
          <w:szCs w:val="24"/>
          <w:lang w:eastAsia="en-GB"/>
        </w:rPr>
        <w:t xml:space="preserve">Larson, A. M., Barry, D., &amp; Dahal, G. R. (2010). New rights for forest-based communities? Understanding processes of forest tenure reform. </w:t>
      </w:r>
      <w:r w:rsidRPr="00795F26">
        <w:rPr>
          <w:rFonts w:eastAsia="Times New Roman" w:cs="Times New Roman"/>
          <w:i/>
          <w:iCs/>
          <w:szCs w:val="24"/>
          <w:lang w:eastAsia="en-GB"/>
        </w:rPr>
        <w:t>International Forestry Review</w:t>
      </w:r>
      <w:r w:rsidRPr="00795F26">
        <w:rPr>
          <w:rFonts w:eastAsia="Times New Roman" w:cs="Times New Roman"/>
          <w:szCs w:val="24"/>
          <w:lang w:eastAsia="en-GB"/>
        </w:rPr>
        <w:t xml:space="preserve">, </w:t>
      </w:r>
      <w:r w:rsidRPr="00795F26">
        <w:rPr>
          <w:rFonts w:eastAsia="Times New Roman" w:cs="Times New Roman"/>
          <w:i/>
          <w:iCs/>
          <w:szCs w:val="24"/>
          <w:lang w:eastAsia="en-GB"/>
        </w:rPr>
        <w:t>12</w:t>
      </w:r>
      <w:r w:rsidRPr="00795F26">
        <w:rPr>
          <w:rFonts w:eastAsia="Times New Roman" w:cs="Times New Roman"/>
          <w:szCs w:val="24"/>
          <w:lang w:eastAsia="en-GB"/>
        </w:rPr>
        <w:t>(1), 78-96.</w:t>
      </w:r>
    </w:p>
    <w:bookmarkEnd w:id="513"/>
    <w:p w14:paraId="360AE8B9" w14:textId="25709136" w:rsidR="00BF4A73" w:rsidRDefault="00BF4A73" w:rsidP="000D7C39">
      <w:pPr>
        <w:spacing w:after="0"/>
        <w:ind w:left="720" w:hanging="720"/>
        <w:rPr>
          <w:rFonts w:eastAsia="Times New Roman" w:cs="Times New Roman"/>
          <w:szCs w:val="24"/>
          <w:lang w:eastAsia="en-GB"/>
        </w:rPr>
      </w:pPr>
      <w:r w:rsidRPr="00BF4A73">
        <w:rPr>
          <w:rFonts w:eastAsia="Times New Roman" w:cs="Times New Roman"/>
          <w:szCs w:val="24"/>
          <w:lang w:eastAsia="en-GB"/>
        </w:rPr>
        <w:lastRenderedPageBreak/>
        <w:t xml:space="preserve">Larson, A. M., &amp; </w:t>
      </w:r>
      <w:proofErr w:type="spellStart"/>
      <w:r w:rsidRPr="00BF4A73">
        <w:rPr>
          <w:rFonts w:eastAsia="Times New Roman" w:cs="Times New Roman"/>
          <w:szCs w:val="24"/>
          <w:lang w:eastAsia="en-GB"/>
        </w:rPr>
        <w:t>Pulhin</w:t>
      </w:r>
      <w:proofErr w:type="spellEnd"/>
      <w:r w:rsidRPr="00BF4A73">
        <w:rPr>
          <w:rFonts w:eastAsia="Times New Roman" w:cs="Times New Roman"/>
          <w:szCs w:val="24"/>
          <w:lang w:eastAsia="en-GB"/>
        </w:rPr>
        <w:t xml:space="preserve">, J. M. (2012). Enhancing forest tenure reforms through more responsive regulations. </w:t>
      </w:r>
      <w:r w:rsidRPr="00BF4A73">
        <w:rPr>
          <w:rFonts w:eastAsia="Times New Roman" w:cs="Times New Roman"/>
          <w:i/>
          <w:iCs/>
          <w:szCs w:val="24"/>
          <w:lang w:eastAsia="en-GB"/>
        </w:rPr>
        <w:t>Conservation and Society</w:t>
      </w:r>
      <w:r w:rsidRPr="00BF4A73">
        <w:rPr>
          <w:rFonts w:eastAsia="Times New Roman" w:cs="Times New Roman"/>
          <w:szCs w:val="24"/>
          <w:lang w:eastAsia="en-GB"/>
        </w:rPr>
        <w:t xml:space="preserve">, </w:t>
      </w:r>
      <w:r w:rsidRPr="00BF4A73">
        <w:rPr>
          <w:rFonts w:eastAsia="Times New Roman" w:cs="Times New Roman"/>
          <w:i/>
          <w:iCs/>
          <w:szCs w:val="24"/>
          <w:lang w:eastAsia="en-GB"/>
        </w:rPr>
        <w:t>10</w:t>
      </w:r>
      <w:r w:rsidRPr="00BF4A73">
        <w:rPr>
          <w:rFonts w:eastAsia="Times New Roman" w:cs="Times New Roman"/>
          <w:szCs w:val="24"/>
          <w:lang w:eastAsia="en-GB"/>
        </w:rPr>
        <w:t>(2), 103-113.</w:t>
      </w:r>
    </w:p>
    <w:p w14:paraId="08BEB2E8" w14:textId="585F4417" w:rsidR="00513B35" w:rsidRDefault="000A1DBB" w:rsidP="000D7C39">
      <w:pPr>
        <w:pStyle w:val="BodyText"/>
        <w:spacing w:after="0"/>
        <w:ind w:left="720" w:hanging="720"/>
      </w:pPr>
      <w:r>
        <w:t>Local Gover</w:t>
      </w:r>
      <w:r w:rsidR="007B3371">
        <w:t>nment Act 1993, ACT 462 (1993</w:t>
      </w:r>
      <w:proofErr w:type="gramStart"/>
      <w:r w:rsidR="007B3371">
        <w:t>).</w:t>
      </w:r>
      <w:r w:rsidR="00513B35">
        <w:rPr>
          <w:rStyle w:val="markedcontent"/>
        </w:rPr>
        <w:t>Lincoln</w:t>
      </w:r>
      <w:proofErr w:type="gramEnd"/>
      <w:r w:rsidR="00513B35">
        <w:rPr>
          <w:rStyle w:val="markedcontent"/>
        </w:rPr>
        <w:t xml:space="preserve">, Y. S., </w:t>
      </w:r>
      <w:proofErr w:type="spellStart"/>
      <w:r w:rsidR="00513B35">
        <w:rPr>
          <w:rStyle w:val="markedcontent"/>
        </w:rPr>
        <w:t>Lynham</w:t>
      </w:r>
      <w:proofErr w:type="spellEnd"/>
      <w:r w:rsidR="00513B35">
        <w:rPr>
          <w:rStyle w:val="markedcontent"/>
        </w:rPr>
        <w:t>, S. A., &amp; Gu</w:t>
      </w:r>
      <w:r w:rsidR="007B3371">
        <w:rPr>
          <w:rStyle w:val="markedcontent"/>
        </w:rPr>
        <w:t xml:space="preserve">ba, E. G. (2011). Paradigmatic </w:t>
      </w:r>
      <w:r w:rsidR="00513B35">
        <w:rPr>
          <w:rStyle w:val="markedcontent"/>
        </w:rPr>
        <w:t xml:space="preserve">controversies, contradictions, and emerging confluences, revisited. </w:t>
      </w:r>
      <w:r w:rsidR="00513B35" w:rsidRPr="00513B35">
        <w:rPr>
          <w:rStyle w:val="markedcontent"/>
          <w:i/>
          <w:iCs/>
        </w:rPr>
        <w:t xml:space="preserve">The Sage </w:t>
      </w:r>
      <w:r w:rsidR="0002112A">
        <w:rPr>
          <w:rStyle w:val="markedcontent"/>
          <w:i/>
          <w:iCs/>
        </w:rPr>
        <w:t>H</w:t>
      </w:r>
      <w:r w:rsidR="00513B35" w:rsidRPr="00513B35">
        <w:rPr>
          <w:rStyle w:val="markedcontent"/>
          <w:i/>
          <w:iCs/>
        </w:rPr>
        <w:t xml:space="preserve">andbook of </w:t>
      </w:r>
      <w:r w:rsidR="0002112A">
        <w:rPr>
          <w:rStyle w:val="markedcontent"/>
          <w:i/>
          <w:iCs/>
        </w:rPr>
        <w:t>Q</w:t>
      </w:r>
      <w:r w:rsidR="00513B35" w:rsidRPr="00513B35">
        <w:rPr>
          <w:rStyle w:val="markedcontent"/>
          <w:i/>
          <w:iCs/>
        </w:rPr>
        <w:t xml:space="preserve">ualitative </w:t>
      </w:r>
      <w:r w:rsidR="0002112A">
        <w:rPr>
          <w:rStyle w:val="markedcontent"/>
          <w:i/>
          <w:iCs/>
        </w:rPr>
        <w:t>R</w:t>
      </w:r>
      <w:r w:rsidR="00513B35" w:rsidRPr="00513B35">
        <w:rPr>
          <w:rStyle w:val="markedcontent"/>
          <w:i/>
          <w:iCs/>
        </w:rPr>
        <w:t>esearch</w:t>
      </w:r>
      <w:r w:rsidR="00513B35">
        <w:rPr>
          <w:rStyle w:val="markedcontent"/>
        </w:rPr>
        <w:t>, 4, 97-128.</w:t>
      </w:r>
    </w:p>
    <w:p w14:paraId="6148B785" w14:textId="59C40883" w:rsidR="008D1105" w:rsidRPr="008D1105" w:rsidRDefault="008D1105" w:rsidP="000D7C39">
      <w:pPr>
        <w:spacing w:after="0"/>
        <w:ind w:left="720" w:hanging="720"/>
        <w:rPr>
          <w:rFonts w:eastAsia="Times New Roman" w:cs="Times New Roman"/>
          <w:szCs w:val="24"/>
          <w:lang w:eastAsia="en-GB"/>
        </w:rPr>
      </w:pPr>
      <w:r w:rsidRPr="008D1105">
        <w:rPr>
          <w:rFonts w:eastAsia="Times New Roman" w:cs="Times New Roman"/>
          <w:szCs w:val="24"/>
          <w:lang w:eastAsia="en-GB"/>
        </w:rPr>
        <w:t xml:space="preserve">Lindahl, K. B., </w:t>
      </w:r>
      <w:proofErr w:type="spellStart"/>
      <w:r w:rsidRPr="008D1105">
        <w:rPr>
          <w:rFonts w:eastAsia="Times New Roman" w:cs="Times New Roman"/>
          <w:szCs w:val="24"/>
          <w:lang w:eastAsia="en-GB"/>
        </w:rPr>
        <w:t>Sténs</w:t>
      </w:r>
      <w:proofErr w:type="spellEnd"/>
      <w:r w:rsidRPr="008D1105">
        <w:rPr>
          <w:rFonts w:eastAsia="Times New Roman" w:cs="Times New Roman"/>
          <w:szCs w:val="24"/>
          <w:lang w:eastAsia="en-GB"/>
        </w:rPr>
        <w:t xml:space="preserve">, A., Sandström, C., Johansson, J., Lidskog, R., </w:t>
      </w:r>
      <w:proofErr w:type="spellStart"/>
      <w:r w:rsidRPr="008D1105">
        <w:rPr>
          <w:rFonts w:eastAsia="Times New Roman" w:cs="Times New Roman"/>
          <w:szCs w:val="24"/>
          <w:lang w:eastAsia="en-GB"/>
        </w:rPr>
        <w:t>Ranius</w:t>
      </w:r>
      <w:proofErr w:type="spellEnd"/>
      <w:r w:rsidRPr="008D1105">
        <w:rPr>
          <w:rFonts w:eastAsia="Times New Roman" w:cs="Times New Roman"/>
          <w:szCs w:val="24"/>
          <w:lang w:eastAsia="en-GB"/>
        </w:rPr>
        <w:t xml:space="preserve">, T., &amp; Roberge, J. M. (2017). The Swedish forestry model: More of </w:t>
      </w:r>
      <w:proofErr w:type="gramStart"/>
      <w:r w:rsidRPr="008D1105">
        <w:rPr>
          <w:rFonts w:eastAsia="Times New Roman" w:cs="Times New Roman"/>
          <w:szCs w:val="24"/>
          <w:lang w:eastAsia="en-GB"/>
        </w:rPr>
        <w:t>everything?.</w:t>
      </w:r>
      <w:proofErr w:type="gramEnd"/>
      <w:r w:rsidRPr="008D1105">
        <w:rPr>
          <w:rFonts w:eastAsia="Times New Roman" w:cs="Times New Roman"/>
          <w:szCs w:val="24"/>
          <w:lang w:eastAsia="en-GB"/>
        </w:rPr>
        <w:t xml:space="preserve"> </w:t>
      </w:r>
      <w:r w:rsidRPr="008D1105">
        <w:rPr>
          <w:rFonts w:eastAsia="Times New Roman" w:cs="Times New Roman"/>
          <w:i/>
          <w:iCs/>
          <w:szCs w:val="24"/>
          <w:lang w:eastAsia="en-GB"/>
        </w:rPr>
        <w:t>Forest Policy and Economics</w:t>
      </w:r>
      <w:r w:rsidRPr="008D1105">
        <w:rPr>
          <w:rFonts w:eastAsia="Times New Roman" w:cs="Times New Roman"/>
          <w:szCs w:val="24"/>
          <w:lang w:eastAsia="en-GB"/>
        </w:rPr>
        <w:t xml:space="preserve">, </w:t>
      </w:r>
      <w:r w:rsidRPr="008D1105">
        <w:rPr>
          <w:rFonts w:eastAsia="Times New Roman" w:cs="Times New Roman"/>
          <w:i/>
          <w:iCs/>
          <w:szCs w:val="24"/>
          <w:lang w:eastAsia="en-GB"/>
        </w:rPr>
        <w:t>77</w:t>
      </w:r>
      <w:r w:rsidRPr="008D1105">
        <w:rPr>
          <w:rFonts w:eastAsia="Times New Roman" w:cs="Times New Roman"/>
          <w:szCs w:val="24"/>
          <w:lang w:eastAsia="en-GB"/>
        </w:rPr>
        <w:t>, 44-55.</w:t>
      </w:r>
    </w:p>
    <w:p w14:paraId="35C4EB1D" w14:textId="74B387FE" w:rsidR="00782B58" w:rsidRDefault="00782B58" w:rsidP="000D7C39">
      <w:pPr>
        <w:spacing w:after="0"/>
        <w:ind w:left="720" w:hanging="720"/>
      </w:pPr>
      <w:r>
        <w:t>Mahfuz-Ur-Rahman, Md. &amp; Dey, T. (2021). C</w:t>
      </w:r>
      <w:r w:rsidR="007B3371">
        <w:t>hallenges of conserving and co-</w:t>
      </w:r>
      <w:r>
        <w:t xml:space="preserve">managing </w:t>
      </w:r>
      <w:proofErr w:type="spellStart"/>
      <w:r>
        <w:t>Khadimnagar</w:t>
      </w:r>
      <w:proofErr w:type="spellEnd"/>
      <w:r>
        <w:t xml:space="preserve"> National Park and </w:t>
      </w:r>
      <w:proofErr w:type="spellStart"/>
      <w:r>
        <w:t>Ratargul</w:t>
      </w:r>
      <w:proofErr w:type="spellEnd"/>
      <w:r>
        <w:t xml:space="preserve"> Fresh Water Swamp Forest in Bangladesh. </w:t>
      </w:r>
      <w:hyperlink r:id="rId45" w:history="1">
        <w:r w:rsidRPr="00B13F42">
          <w:rPr>
            <w:rStyle w:val="Hyperlink"/>
            <w:i/>
            <w:iCs/>
            <w:color w:val="auto"/>
            <w:u w:val="none"/>
          </w:rPr>
          <w:t>Journal of Forests</w:t>
        </w:r>
      </w:hyperlink>
      <w:r>
        <w:t>, 8(2), 171-181.</w:t>
      </w:r>
    </w:p>
    <w:p w14:paraId="51160B92" w14:textId="26751316" w:rsidR="004A5642" w:rsidRDefault="004A5642" w:rsidP="000D7C39">
      <w:pPr>
        <w:spacing w:after="0"/>
        <w:ind w:left="720" w:hanging="720"/>
      </w:pPr>
      <w:r w:rsidRPr="00FF2AF2">
        <w:t>Mahoney</w:t>
      </w:r>
      <w:r>
        <w:t>,</w:t>
      </w:r>
      <w:r w:rsidRPr="00FF2AF2">
        <w:t xml:space="preserve"> J., </w:t>
      </w:r>
      <w:r>
        <w:t xml:space="preserve">&amp; </w:t>
      </w:r>
      <w:r w:rsidRPr="00FF2AF2">
        <w:t xml:space="preserve">Thelen K. (2010). A theory of gradual institutional change. In Mahoney J., Thelen K. (Eds.), Explaining institutional change: </w:t>
      </w:r>
      <w:r w:rsidRPr="003A113D">
        <w:rPr>
          <w:i/>
          <w:iCs/>
        </w:rPr>
        <w:t>Ambiguity, Agency, and Power</w:t>
      </w:r>
      <w:r>
        <w:t>, 1(1),</w:t>
      </w:r>
      <w:r w:rsidRPr="00FF2AF2">
        <w:t>1–37.</w:t>
      </w:r>
    </w:p>
    <w:p w14:paraId="509CB5C5" w14:textId="7469F78C" w:rsidR="00636ED3" w:rsidRPr="00636ED3" w:rsidRDefault="00636ED3" w:rsidP="000D7C39">
      <w:pPr>
        <w:spacing w:after="0"/>
        <w:ind w:left="720" w:hanging="720"/>
        <w:rPr>
          <w:rFonts w:eastAsia="Times New Roman" w:cs="Times New Roman"/>
          <w:szCs w:val="24"/>
          <w:lang w:eastAsia="en-GB"/>
        </w:rPr>
      </w:pPr>
      <w:r w:rsidRPr="00636ED3">
        <w:rPr>
          <w:rFonts w:eastAsia="Times New Roman" w:cs="Times New Roman"/>
          <w:szCs w:val="24"/>
          <w:lang w:eastAsia="en-GB"/>
        </w:rPr>
        <w:t xml:space="preserve">Makkonen, M., Huttunen, S., Primmer, E., Repo, A., &amp; Hildén, M. (2015). Policy coherence in climate change mitigation: An ecosystem service approach to forests as carbon sinks and bioenergy sources. </w:t>
      </w:r>
      <w:r w:rsidRPr="00636ED3">
        <w:rPr>
          <w:rFonts w:eastAsia="Times New Roman" w:cs="Times New Roman"/>
          <w:i/>
          <w:iCs/>
          <w:szCs w:val="24"/>
          <w:lang w:eastAsia="en-GB"/>
        </w:rPr>
        <w:t>Forest Policy and Economics</w:t>
      </w:r>
      <w:r w:rsidRPr="00636ED3">
        <w:rPr>
          <w:rFonts w:eastAsia="Times New Roman" w:cs="Times New Roman"/>
          <w:szCs w:val="24"/>
          <w:lang w:eastAsia="en-GB"/>
        </w:rPr>
        <w:t xml:space="preserve">, </w:t>
      </w:r>
      <w:r w:rsidRPr="00636ED3">
        <w:rPr>
          <w:rFonts w:eastAsia="Times New Roman" w:cs="Times New Roman"/>
          <w:i/>
          <w:iCs/>
          <w:szCs w:val="24"/>
          <w:lang w:eastAsia="en-GB"/>
        </w:rPr>
        <w:t>50</w:t>
      </w:r>
      <w:r w:rsidRPr="00636ED3">
        <w:rPr>
          <w:rFonts w:eastAsia="Times New Roman" w:cs="Times New Roman"/>
          <w:szCs w:val="24"/>
          <w:lang w:eastAsia="en-GB"/>
        </w:rPr>
        <w:t>, 153-162.</w:t>
      </w:r>
    </w:p>
    <w:p w14:paraId="1151814A" w14:textId="204ABDC8" w:rsidR="00CE07E1" w:rsidRPr="007B3371" w:rsidRDefault="00CE07E1" w:rsidP="000D7C39">
      <w:pPr>
        <w:spacing w:after="0"/>
        <w:ind w:left="720" w:hanging="720"/>
        <w:rPr>
          <w:rFonts w:eastAsia="Times New Roman" w:cs="Times New Roman"/>
          <w:i/>
          <w:iCs/>
          <w:szCs w:val="24"/>
          <w:lang w:eastAsia="en-GB"/>
        </w:rPr>
      </w:pPr>
      <w:bookmarkStart w:id="514" w:name="_Hlk166105370"/>
      <w:r w:rsidRPr="00C269AB">
        <w:rPr>
          <w:rFonts w:eastAsia="Times New Roman" w:cs="Times New Roman"/>
          <w:szCs w:val="24"/>
          <w:lang w:eastAsia="en-GB"/>
        </w:rPr>
        <w:t xml:space="preserve">March, J. G., &amp; Olsen, J. P. (2006). Elaborating the. </w:t>
      </w:r>
      <w:r w:rsidRPr="00C269AB">
        <w:rPr>
          <w:rFonts w:eastAsia="Times New Roman" w:cs="Times New Roman"/>
          <w:i/>
          <w:iCs/>
          <w:szCs w:val="24"/>
          <w:lang w:eastAsia="en-GB"/>
        </w:rPr>
        <w:t>New Institutionalism. The Oxford Handbook of Political Institutions</w:t>
      </w:r>
      <w:r w:rsidRPr="00C269AB">
        <w:rPr>
          <w:rFonts w:eastAsia="Times New Roman" w:cs="Times New Roman"/>
          <w:szCs w:val="24"/>
          <w:lang w:eastAsia="en-GB"/>
        </w:rPr>
        <w:t>, 1-9.</w:t>
      </w:r>
    </w:p>
    <w:p w14:paraId="09E318DE" w14:textId="4810ECD8" w:rsidR="00454253" w:rsidRDefault="00D27874" w:rsidP="000D7C39">
      <w:pPr>
        <w:spacing w:after="0"/>
        <w:ind w:left="720" w:hanging="720"/>
        <w:rPr>
          <w:rFonts w:eastAsia="Times New Roman" w:cs="Times New Roman"/>
          <w:szCs w:val="24"/>
          <w:lang w:eastAsia="en-GB"/>
        </w:rPr>
      </w:pPr>
      <w:bookmarkStart w:id="515" w:name="_Hlk195388162"/>
      <w:r w:rsidRPr="005E7560">
        <w:rPr>
          <w:rFonts w:eastAsia="Times New Roman" w:cs="Times New Roman"/>
          <w:szCs w:val="24"/>
          <w:lang w:eastAsia="en-GB"/>
        </w:rPr>
        <w:t>Marchi, E., Chung, W., Visser, R., Abbas, D., Nordell, T., Med-</w:t>
      </w:r>
      <w:proofErr w:type="spellStart"/>
      <w:r w:rsidRPr="005E7560">
        <w:rPr>
          <w:rFonts w:eastAsia="Times New Roman" w:cs="Times New Roman"/>
          <w:szCs w:val="24"/>
          <w:lang w:eastAsia="en-GB"/>
        </w:rPr>
        <w:t>erski</w:t>
      </w:r>
      <w:proofErr w:type="spellEnd"/>
      <w:r w:rsidRPr="005E7560">
        <w:rPr>
          <w:rFonts w:eastAsia="Times New Roman" w:cs="Times New Roman"/>
          <w:szCs w:val="24"/>
          <w:lang w:eastAsia="en-GB"/>
        </w:rPr>
        <w:t>, P.</w:t>
      </w:r>
      <w:r w:rsidR="00814778">
        <w:rPr>
          <w:rFonts w:eastAsia="Times New Roman" w:cs="Times New Roman"/>
          <w:szCs w:val="24"/>
          <w:lang w:eastAsia="en-GB"/>
        </w:rPr>
        <w:t xml:space="preserve"> </w:t>
      </w:r>
      <w:r w:rsidRPr="005E7560">
        <w:rPr>
          <w:rFonts w:eastAsia="Times New Roman" w:cs="Times New Roman"/>
          <w:szCs w:val="24"/>
          <w:lang w:eastAsia="en-GB"/>
        </w:rPr>
        <w:t xml:space="preserve">S., </w:t>
      </w:r>
    </w:p>
    <w:p w14:paraId="683DB059" w14:textId="77777777" w:rsidR="00BB6EA5" w:rsidRDefault="00BB6EA5" w:rsidP="000D7C39">
      <w:pPr>
        <w:spacing w:after="0"/>
        <w:ind w:left="720" w:hanging="720"/>
        <w:rPr>
          <w:rFonts w:eastAsia="Times New Roman" w:cs="Times New Roman"/>
          <w:szCs w:val="24"/>
          <w:lang w:eastAsia="en-GB"/>
        </w:rPr>
      </w:pPr>
      <w:r>
        <w:rPr>
          <w:rFonts w:eastAsia="Times New Roman" w:cs="Times New Roman"/>
          <w:szCs w:val="24"/>
          <w:lang w:eastAsia="en-GB"/>
        </w:rPr>
        <w:tab/>
      </w:r>
      <w:proofErr w:type="spellStart"/>
      <w:r w:rsidR="00D27874" w:rsidRPr="005E7560">
        <w:rPr>
          <w:rFonts w:eastAsia="Times New Roman" w:cs="Times New Roman"/>
          <w:szCs w:val="24"/>
          <w:lang w:eastAsia="en-GB"/>
        </w:rPr>
        <w:t>McEvan</w:t>
      </w:r>
      <w:proofErr w:type="spellEnd"/>
      <w:r w:rsidR="00D27874" w:rsidRPr="005E7560">
        <w:rPr>
          <w:rFonts w:eastAsia="Times New Roman" w:cs="Times New Roman"/>
          <w:szCs w:val="24"/>
          <w:lang w:eastAsia="en-GB"/>
        </w:rPr>
        <w:t xml:space="preserve">, A., Brink, M., </w:t>
      </w:r>
      <w:r w:rsidR="00D27874">
        <w:rPr>
          <w:rFonts w:eastAsia="Times New Roman" w:cs="Times New Roman"/>
          <w:szCs w:val="24"/>
          <w:lang w:eastAsia="en-GB"/>
        </w:rPr>
        <w:t xml:space="preserve">&amp; </w:t>
      </w:r>
      <w:proofErr w:type="spellStart"/>
      <w:r w:rsidR="00D27874" w:rsidRPr="005E7560">
        <w:rPr>
          <w:rFonts w:eastAsia="Times New Roman" w:cs="Times New Roman"/>
          <w:szCs w:val="24"/>
          <w:lang w:eastAsia="en-GB"/>
        </w:rPr>
        <w:t>Laschi</w:t>
      </w:r>
      <w:proofErr w:type="spellEnd"/>
      <w:r w:rsidR="00D27874" w:rsidRPr="005E7560">
        <w:rPr>
          <w:rFonts w:eastAsia="Times New Roman" w:cs="Times New Roman"/>
          <w:szCs w:val="24"/>
          <w:lang w:eastAsia="en-GB"/>
        </w:rPr>
        <w:t xml:space="preserve">, A. </w:t>
      </w:r>
      <w:r w:rsidR="00D27874">
        <w:rPr>
          <w:rFonts w:eastAsia="Times New Roman" w:cs="Times New Roman"/>
          <w:szCs w:val="24"/>
          <w:lang w:eastAsia="en-GB"/>
        </w:rPr>
        <w:t>(</w:t>
      </w:r>
      <w:r w:rsidR="00D27874" w:rsidRPr="005E7560">
        <w:rPr>
          <w:rFonts w:eastAsia="Times New Roman" w:cs="Times New Roman"/>
          <w:szCs w:val="24"/>
          <w:lang w:eastAsia="en-GB"/>
        </w:rPr>
        <w:t>2018</w:t>
      </w:r>
      <w:r w:rsidR="00D27874">
        <w:rPr>
          <w:rFonts w:eastAsia="Times New Roman" w:cs="Times New Roman"/>
          <w:szCs w:val="24"/>
          <w:lang w:eastAsia="en-GB"/>
        </w:rPr>
        <w:t>).</w:t>
      </w:r>
      <w:r w:rsidR="00D27874" w:rsidRPr="005E7560">
        <w:rPr>
          <w:rFonts w:eastAsia="Times New Roman" w:cs="Times New Roman"/>
          <w:szCs w:val="24"/>
          <w:lang w:eastAsia="en-GB"/>
        </w:rPr>
        <w:t xml:space="preserve"> Sustainable Forest Operations (SFO): A new paradigm in a changing world and climate. </w:t>
      </w:r>
      <w:r w:rsidR="00D27874" w:rsidRPr="007A038A">
        <w:rPr>
          <w:rFonts w:eastAsia="Times New Roman" w:cs="Times New Roman"/>
          <w:i/>
          <w:iCs/>
          <w:szCs w:val="24"/>
          <w:lang w:eastAsia="en-GB"/>
        </w:rPr>
        <w:t>Science of The Total Environment</w:t>
      </w:r>
      <w:r w:rsidR="00693C09">
        <w:rPr>
          <w:rFonts w:eastAsia="Times New Roman" w:cs="Times New Roman"/>
          <w:i/>
          <w:iCs/>
          <w:szCs w:val="24"/>
          <w:lang w:eastAsia="en-GB"/>
        </w:rPr>
        <w:t>,</w:t>
      </w:r>
      <w:r w:rsidR="00D27874" w:rsidRPr="005E7560">
        <w:rPr>
          <w:rFonts w:eastAsia="Times New Roman" w:cs="Times New Roman"/>
          <w:szCs w:val="24"/>
          <w:lang w:eastAsia="en-GB"/>
        </w:rPr>
        <w:t xml:space="preserve"> 634</w:t>
      </w:r>
      <w:r w:rsidR="00D27874">
        <w:rPr>
          <w:rFonts w:eastAsia="Times New Roman" w:cs="Times New Roman"/>
          <w:szCs w:val="24"/>
          <w:lang w:eastAsia="en-GB"/>
        </w:rPr>
        <w:t>,</w:t>
      </w:r>
      <w:r w:rsidR="00D27874" w:rsidRPr="005E7560">
        <w:rPr>
          <w:rFonts w:eastAsia="Times New Roman" w:cs="Times New Roman"/>
          <w:szCs w:val="24"/>
          <w:lang w:eastAsia="en-GB"/>
        </w:rPr>
        <w:t xml:space="preserve"> 1385–1397.</w:t>
      </w:r>
      <w:bookmarkEnd w:id="514"/>
    </w:p>
    <w:bookmarkEnd w:id="515"/>
    <w:p w14:paraId="0BFEB3AD" w14:textId="77777777" w:rsidR="00454253" w:rsidRDefault="00D27874" w:rsidP="000D7C39">
      <w:pPr>
        <w:spacing w:after="0"/>
        <w:ind w:left="720" w:hanging="720"/>
        <w:rPr>
          <w:rStyle w:val="Emphasis"/>
        </w:rPr>
      </w:pPr>
      <w:r>
        <w:lastRenderedPageBreak/>
        <w:t xml:space="preserve">Marshall, M. N. (1996). Sampling for qualitative research, </w:t>
      </w:r>
      <w:r>
        <w:rPr>
          <w:rStyle w:val="Emphasis"/>
        </w:rPr>
        <w:t xml:space="preserve">Family </w:t>
      </w:r>
    </w:p>
    <w:p w14:paraId="453F9CD5" w14:textId="77777777" w:rsidR="00D27874" w:rsidRDefault="00BB6EA5" w:rsidP="000D7C39">
      <w:pPr>
        <w:spacing w:after="0"/>
        <w:ind w:left="720" w:hanging="720"/>
      </w:pPr>
      <w:r>
        <w:rPr>
          <w:rStyle w:val="Emphasis"/>
        </w:rPr>
        <w:tab/>
      </w:r>
      <w:r w:rsidR="00D27874">
        <w:rPr>
          <w:rStyle w:val="Emphasis"/>
        </w:rPr>
        <w:t>Practice</w:t>
      </w:r>
      <w:r w:rsidR="00D27874">
        <w:t>,13(6)</w:t>
      </w:r>
      <w:r w:rsidR="00557F0F">
        <w:t xml:space="preserve">, </w:t>
      </w:r>
      <w:r w:rsidR="00D27874">
        <w:t>522–526.</w:t>
      </w:r>
    </w:p>
    <w:p w14:paraId="4370D868" w14:textId="555062BA" w:rsidR="00513B35" w:rsidRDefault="00513B35" w:rsidP="000D7C39">
      <w:pPr>
        <w:spacing w:after="0"/>
        <w:ind w:left="720" w:hanging="720"/>
        <w:rPr>
          <w:rFonts w:eastAsia="Times New Roman" w:cs="Times New Roman"/>
          <w:szCs w:val="24"/>
          <w:lang w:eastAsia="en-GB"/>
        </w:rPr>
      </w:pPr>
      <w:r w:rsidRPr="00513B35">
        <w:rPr>
          <w:rFonts w:eastAsia="Times New Roman" w:cs="Times New Roman"/>
          <w:szCs w:val="24"/>
          <w:lang w:eastAsia="en-GB"/>
        </w:rPr>
        <w:t xml:space="preserve">Maxcy, S. J. (2003). The new pragmatism and social science and educational research. In </w:t>
      </w:r>
      <w:r w:rsidRPr="00513B35">
        <w:rPr>
          <w:rFonts w:eastAsia="Times New Roman" w:cs="Times New Roman"/>
          <w:i/>
          <w:iCs/>
          <w:szCs w:val="24"/>
          <w:lang w:eastAsia="en-GB"/>
        </w:rPr>
        <w:t>Ethical foundations for educational administration</w:t>
      </w:r>
      <w:r w:rsidRPr="00513B35">
        <w:rPr>
          <w:rFonts w:eastAsia="Times New Roman" w:cs="Times New Roman"/>
          <w:szCs w:val="24"/>
          <w:lang w:eastAsia="en-GB"/>
        </w:rPr>
        <w:t xml:space="preserve"> (pp. 155-177). Routledge.</w:t>
      </w:r>
    </w:p>
    <w:p w14:paraId="1799033C" w14:textId="07E868EB" w:rsidR="00D45E2B" w:rsidRPr="00D45E2B" w:rsidRDefault="00D45E2B" w:rsidP="000D7C39">
      <w:pPr>
        <w:spacing w:after="0"/>
        <w:ind w:left="720" w:hanging="720"/>
        <w:rPr>
          <w:rFonts w:eastAsia="Times New Roman" w:cs="Times New Roman"/>
          <w:szCs w:val="24"/>
          <w:lang w:eastAsia="en-GB"/>
        </w:rPr>
      </w:pPr>
      <w:proofErr w:type="spellStart"/>
      <w:r w:rsidRPr="00D45E2B">
        <w:rPr>
          <w:rFonts w:eastAsia="Times New Roman" w:cs="Times New Roman"/>
          <w:szCs w:val="24"/>
          <w:lang w:eastAsia="en-GB"/>
        </w:rPr>
        <w:t>Mbeche</w:t>
      </w:r>
      <w:proofErr w:type="spellEnd"/>
      <w:r w:rsidRPr="00D45E2B">
        <w:rPr>
          <w:rFonts w:eastAsia="Times New Roman" w:cs="Times New Roman"/>
          <w:szCs w:val="24"/>
          <w:lang w:eastAsia="en-GB"/>
        </w:rPr>
        <w:t xml:space="preserve">, R., </w:t>
      </w:r>
      <w:proofErr w:type="spellStart"/>
      <w:r w:rsidRPr="00D45E2B">
        <w:rPr>
          <w:rFonts w:eastAsia="Times New Roman" w:cs="Times New Roman"/>
          <w:szCs w:val="24"/>
          <w:lang w:eastAsia="en-GB"/>
        </w:rPr>
        <w:t>Ateka</w:t>
      </w:r>
      <w:proofErr w:type="spellEnd"/>
      <w:r w:rsidRPr="00D45E2B">
        <w:rPr>
          <w:rFonts w:eastAsia="Times New Roman" w:cs="Times New Roman"/>
          <w:szCs w:val="24"/>
          <w:lang w:eastAsia="en-GB"/>
        </w:rPr>
        <w:t xml:space="preserve">, J., Herrmann, R., &amp; Grote, U. (2021). Understanding forest users' participation in participatory forest management (PFM): Insights from </w:t>
      </w:r>
      <w:proofErr w:type="gramStart"/>
      <w:r w:rsidRPr="00D45E2B">
        <w:rPr>
          <w:rFonts w:eastAsia="Times New Roman" w:cs="Times New Roman"/>
          <w:szCs w:val="24"/>
          <w:lang w:eastAsia="en-GB"/>
        </w:rPr>
        <w:t>Mt. Elgon forest</w:t>
      </w:r>
      <w:proofErr w:type="gramEnd"/>
      <w:r w:rsidRPr="00D45E2B">
        <w:rPr>
          <w:rFonts w:eastAsia="Times New Roman" w:cs="Times New Roman"/>
          <w:szCs w:val="24"/>
          <w:lang w:eastAsia="en-GB"/>
        </w:rPr>
        <w:t xml:space="preserve"> ecosystem, Kenya. </w:t>
      </w:r>
      <w:r w:rsidRPr="00D45E2B">
        <w:rPr>
          <w:rFonts w:eastAsia="Times New Roman" w:cs="Times New Roman"/>
          <w:i/>
          <w:iCs/>
          <w:szCs w:val="24"/>
          <w:lang w:eastAsia="en-GB"/>
        </w:rPr>
        <w:t>Forest Policy and Economics</w:t>
      </w:r>
      <w:r w:rsidRPr="00D45E2B">
        <w:rPr>
          <w:rFonts w:eastAsia="Times New Roman" w:cs="Times New Roman"/>
          <w:szCs w:val="24"/>
          <w:lang w:eastAsia="en-GB"/>
        </w:rPr>
        <w:t xml:space="preserve">, </w:t>
      </w:r>
      <w:r w:rsidRPr="00D45E2B">
        <w:rPr>
          <w:rFonts w:eastAsia="Times New Roman" w:cs="Times New Roman"/>
          <w:i/>
          <w:iCs/>
          <w:szCs w:val="24"/>
          <w:lang w:eastAsia="en-GB"/>
        </w:rPr>
        <w:t>129</w:t>
      </w:r>
      <w:r w:rsidRPr="00D45E2B">
        <w:rPr>
          <w:rFonts w:eastAsia="Times New Roman" w:cs="Times New Roman"/>
          <w:szCs w:val="24"/>
          <w:lang w:eastAsia="en-GB"/>
        </w:rPr>
        <w:t>, 102507.</w:t>
      </w:r>
    </w:p>
    <w:p w14:paraId="6AD17BD5" w14:textId="77777777" w:rsidR="00D27874" w:rsidRDefault="00D27874" w:rsidP="000D7C39">
      <w:pPr>
        <w:pStyle w:val="BodyText"/>
        <w:spacing w:after="0"/>
        <w:ind w:left="720" w:hanging="720"/>
      </w:pPr>
      <w:r>
        <w:t xml:space="preserve">McCay, B. J., and Acheson, J. M. (eds.) (1987). </w:t>
      </w:r>
      <w:r>
        <w:rPr>
          <w:i/>
          <w:iCs/>
        </w:rPr>
        <w:t>The Question of the Commons. The culture and Ecology of Communal Resources</w:t>
      </w:r>
      <w:r>
        <w:t>. University of Arizona Press, Tucson.</w:t>
      </w:r>
    </w:p>
    <w:p w14:paraId="465D1715" w14:textId="7A0DAFB2" w:rsidR="00D177F7" w:rsidRDefault="00D177F7" w:rsidP="000D7C39">
      <w:pPr>
        <w:spacing w:after="0"/>
        <w:ind w:left="720" w:hanging="720"/>
        <w:rPr>
          <w:rFonts w:eastAsia="Times New Roman" w:cs="Times New Roman"/>
          <w:szCs w:val="24"/>
          <w:lang w:eastAsia="en-GB"/>
        </w:rPr>
      </w:pPr>
      <w:r w:rsidRPr="00D177F7">
        <w:rPr>
          <w:rFonts w:eastAsia="Times New Roman" w:cs="Times New Roman"/>
          <w:szCs w:val="24"/>
          <w:lang w:eastAsia="en-GB"/>
        </w:rPr>
        <w:t xml:space="preserve">McCay, B., &amp; Jentoft, S. (1998). Market or community failure? Critical perspectives on common property research. </w:t>
      </w:r>
      <w:r w:rsidRPr="00D177F7">
        <w:rPr>
          <w:rFonts w:eastAsia="Times New Roman" w:cs="Times New Roman"/>
          <w:i/>
          <w:iCs/>
          <w:szCs w:val="24"/>
          <w:lang w:eastAsia="en-GB"/>
        </w:rPr>
        <w:t xml:space="preserve">Human </w:t>
      </w:r>
      <w:r w:rsidR="0002112A">
        <w:rPr>
          <w:rFonts w:eastAsia="Times New Roman" w:cs="Times New Roman"/>
          <w:i/>
          <w:iCs/>
          <w:szCs w:val="24"/>
          <w:lang w:eastAsia="en-GB"/>
        </w:rPr>
        <w:t>O</w:t>
      </w:r>
      <w:r w:rsidRPr="00D177F7">
        <w:rPr>
          <w:rFonts w:eastAsia="Times New Roman" w:cs="Times New Roman"/>
          <w:i/>
          <w:iCs/>
          <w:szCs w:val="24"/>
          <w:lang w:eastAsia="en-GB"/>
        </w:rPr>
        <w:t>rganization</w:t>
      </w:r>
      <w:r w:rsidRPr="00D177F7">
        <w:rPr>
          <w:rFonts w:eastAsia="Times New Roman" w:cs="Times New Roman"/>
          <w:szCs w:val="24"/>
          <w:lang w:eastAsia="en-GB"/>
        </w:rPr>
        <w:t xml:space="preserve">, </w:t>
      </w:r>
      <w:r w:rsidRPr="00D177F7">
        <w:rPr>
          <w:rFonts w:eastAsia="Times New Roman" w:cs="Times New Roman"/>
          <w:i/>
          <w:iCs/>
          <w:szCs w:val="24"/>
          <w:lang w:eastAsia="en-GB"/>
        </w:rPr>
        <w:t>57</w:t>
      </w:r>
      <w:r w:rsidRPr="00D177F7">
        <w:rPr>
          <w:rFonts w:eastAsia="Times New Roman" w:cs="Times New Roman"/>
          <w:szCs w:val="24"/>
          <w:lang w:eastAsia="en-GB"/>
        </w:rPr>
        <w:t>(1), 21-29.</w:t>
      </w:r>
    </w:p>
    <w:p w14:paraId="4F79441E" w14:textId="7A1A45EF" w:rsidR="00262596" w:rsidRPr="00262596" w:rsidRDefault="00262596" w:rsidP="000D7C39">
      <w:pPr>
        <w:spacing w:after="0"/>
        <w:ind w:left="720" w:hanging="720"/>
        <w:rPr>
          <w:rFonts w:eastAsia="Times New Roman" w:cs="Times New Roman"/>
          <w:szCs w:val="24"/>
          <w:lang w:eastAsia="en-GB"/>
        </w:rPr>
      </w:pPr>
      <w:r w:rsidRPr="00262596">
        <w:rPr>
          <w:rFonts w:eastAsia="Times New Roman" w:cs="Times New Roman"/>
          <w:szCs w:val="24"/>
          <w:lang w:eastAsia="en-GB"/>
        </w:rPr>
        <w:t xml:space="preserve">McDermott, M. S., Oliver, M., </w:t>
      </w:r>
      <w:proofErr w:type="spellStart"/>
      <w:r w:rsidRPr="00262596">
        <w:rPr>
          <w:rFonts w:eastAsia="Times New Roman" w:cs="Times New Roman"/>
          <w:szCs w:val="24"/>
          <w:lang w:eastAsia="en-GB"/>
        </w:rPr>
        <w:t>Simnadis</w:t>
      </w:r>
      <w:proofErr w:type="spellEnd"/>
      <w:r w:rsidRPr="00262596">
        <w:rPr>
          <w:rFonts w:eastAsia="Times New Roman" w:cs="Times New Roman"/>
          <w:szCs w:val="24"/>
          <w:lang w:eastAsia="en-GB"/>
        </w:rPr>
        <w:t xml:space="preserve">, T., Beck, E. J., Coltman, T., Iverson, D., ... &amp; Sharma, R. (2015). The Theory of Planned Behaviour and dietary patterns: A systematic review and meta-analysis. </w:t>
      </w:r>
      <w:r w:rsidRPr="00262596">
        <w:rPr>
          <w:rFonts w:eastAsia="Times New Roman" w:cs="Times New Roman"/>
          <w:i/>
          <w:iCs/>
          <w:szCs w:val="24"/>
          <w:lang w:eastAsia="en-GB"/>
        </w:rPr>
        <w:t>Preventive Medicine</w:t>
      </w:r>
      <w:r w:rsidRPr="00262596">
        <w:rPr>
          <w:rFonts w:eastAsia="Times New Roman" w:cs="Times New Roman"/>
          <w:szCs w:val="24"/>
          <w:lang w:eastAsia="en-GB"/>
        </w:rPr>
        <w:t xml:space="preserve">, </w:t>
      </w:r>
      <w:r w:rsidRPr="00262596">
        <w:rPr>
          <w:rFonts w:eastAsia="Times New Roman" w:cs="Times New Roman"/>
          <w:i/>
          <w:iCs/>
          <w:szCs w:val="24"/>
          <w:lang w:eastAsia="en-GB"/>
        </w:rPr>
        <w:t>81</w:t>
      </w:r>
      <w:r w:rsidRPr="00262596">
        <w:rPr>
          <w:rFonts w:eastAsia="Times New Roman" w:cs="Times New Roman"/>
          <w:szCs w:val="24"/>
          <w:lang w:eastAsia="en-GB"/>
        </w:rPr>
        <w:t>, 150-156.</w:t>
      </w:r>
    </w:p>
    <w:p w14:paraId="018886CE" w14:textId="77777777" w:rsidR="00454253" w:rsidRDefault="00D27874" w:rsidP="000D7C39">
      <w:pPr>
        <w:pStyle w:val="BodyText"/>
        <w:spacing w:after="0"/>
        <w:ind w:left="720" w:hanging="720"/>
      </w:pPr>
      <w:r w:rsidRPr="008805AA">
        <w:t>McGinnis</w:t>
      </w:r>
      <w:r>
        <w:t xml:space="preserve">, M. D. (2011). An Introduction to IAD and the Language of the </w:t>
      </w:r>
    </w:p>
    <w:p w14:paraId="6DA83A04" w14:textId="77777777" w:rsidR="00D27874" w:rsidRDefault="00BB6EA5" w:rsidP="000D7C39">
      <w:pPr>
        <w:pStyle w:val="BodyText"/>
        <w:spacing w:after="0"/>
        <w:ind w:left="720" w:hanging="720"/>
      </w:pPr>
      <w:r>
        <w:tab/>
      </w:r>
      <w:r w:rsidR="00D27874">
        <w:t xml:space="preserve">Ostrom Workshop: A Simple Guide to a Complex Framework. </w:t>
      </w:r>
      <w:r w:rsidR="00D27874" w:rsidRPr="008805AA">
        <w:rPr>
          <w:i/>
          <w:iCs/>
        </w:rPr>
        <w:t>The Policy Studies Journal</w:t>
      </w:r>
      <w:r w:rsidR="00D27874" w:rsidRPr="008805AA">
        <w:t>,</w:t>
      </w:r>
      <w:r w:rsidR="00D27874">
        <w:t xml:space="preserve"> </w:t>
      </w:r>
      <w:r w:rsidR="00D27874" w:rsidRPr="008805AA">
        <w:t>39</w:t>
      </w:r>
      <w:r w:rsidR="00D27874">
        <w:t>(</w:t>
      </w:r>
      <w:r w:rsidR="00D27874" w:rsidRPr="008805AA">
        <w:t>1</w:t>
      </w:r>
      <w:r w:rsidR="00D27874">
        <w:t>).</w:t>
      </w:r>
    </w:p>
    <w:p w14:paraId="69C69999" w14:textId="77777777" w:rsidR="00C37C7C" w:rsidRDefault="00C37C7C" w:rsidP="000D7C39">
      <w:pPr>
        <w:spacing w:after="0"/>
        <w:ind w:left="720" w:hanging="720"/>
        <w:rPr>
          <w:rFonts w:cs="Times New Roman"/>
          <w:szCs w:val="24"/>
        </w:rPr>
      </w:pPr>
      <w:r w:rsidRPr="00CF7673">
        <w:rPr>
          <w:rFonts w:cs="Times New Roman"/>
          <w:szCs w:val="24"/>
        </w:rPr>
        <w:t xml:space="preserve">MCPFE (1993). </w:t>
      </w:r>
      <w:r w:rsidRPr="00613302">
        <w:rPr>
          <w:rFonts w:cs="Times New Roman"/>
          <w:i/>
          <w:iCs/>
          <w:szCs w:val="24"/>
        </w:rPr>
        <w:t>General declaration and resolutions adopted. In: Proceedings of the Second Ministerial Conference on the Protection of Forest in Europe, Helsinki</w:t>
      </w:r>
      <w:r w:rsidRPr="00CF7673">
        <w:rPr>
          <w:rFonts w:cs="Times New Roman"/>
          <w:szCs w:val="24"/>
        </w:rPr>
        <w:t>. Report. Liaison Unit, Vienna.</w:t>
      </w:r>
    </w:p>
    <w:p w14:paraId="1C4C8D25" w14:textId="5CF9CED8" w:rsidR="00AA67D0" w:rsidRPr="007B3371" w:rsidRDefault="00AA67D0" w:rsidP="000D7C39">
      <w:pPr>
        <w:spacing w:after="0"/>
        <w:ind w:left="720" w:hanging="720"/>
        <w:rPr>
          <w:rFonts w:eastAsia="Times New Roman" w:cs="Times New Roman"/>
          <w:i/>
          <w:iCs/>
          <w:szCs w:val="24"/>
          <w:lang w:eastAsia="en-GB"/>
        </w:rPr>
      </w:pPr>
      <w:r w:rsidRPr="00AA67D0">
        <w:rPr>
          <w:rFonts w:eastAsia="Times New Roman" w:cs="Times New Roman"/>
          <w:szCs w:val="24"/>
          <w:lang w:eastAsia="en-GB"/>
        </w:rPr>
        <w:lastRenderedPageBreak/>
        <w:t xml:space="preserve">Miles, M. B., &amp; Huberman, A. M. (1994). </w:t>
      </w:r>
      <w:r w:rsidRPr="00AA67D0">
        <w:rPr>
          <w:rFonts w:eastAsia="Times New Roman" w:cs="Times New Roman"/>
          <w:i/>
          <w:iCs/>
          <w:szCs w:val="24"/>
          <w:lang w:eastAsia="en-GB"/>
        </w:rPr>
        <w:t>Qualitative data analysis: An expanded sourcebook</w:t>
      </w:r>
      <w:r w:rsidRPr="00AA67D0">
        <w:rPr>
          <w:rFonts w:eastAsia="Times New Roman" w:cs="Times New Roman"/>
          <w:szCs w:val="24"/>
          <w:lang w:eastAsia="en-GB"/>
        </w:rPr>
        <w:t>. sage.</w:t>
      </w:r>
    </w:p>
    <w:p w14:paraId="3308CADD" w14:textId="51B82B3B" w:rsidR="00E26501" w:rsidRPr="007B3371" w:rsidRDefault="00E26501" w:rsidP="000D7C39">
      <w:pPr>
        <w:spacing w:after="0"/>
        <w:ind w:left="720" w:hanging="720"/>
      </w:pPr>
      <w:r>
        <w:t>Milgrom, P. &amp; Roberts, J. (1992) Economi</w:t>
      </w:r>
      <w:r w:rsidR="007B3371">
        <w:t xml:space="preserve">cs, Organization &amp; Management. </w:t>
      </w:r>
      <w:r>
        <w:t>Prentice Hall, New York.</w:t>
      </w:r>
    </w:p>
    <w:p w14:paraId="1082ECC5" w14:textId="215F53DF" w:rsidR="004A5642" w:rsidRDefault="004A5642" w:rsidP="000D7C39">
      <w:pPr>
        <w:spacing w:after="0"/>
        <w:ind w:left="720" w:hanging="720"/>
        <w:rPr>
          <w:rFonts w:eastAsia="Times New Roman" w:cs="Times New Roman"/>
          <w:szCs w:val="24"/>
          <w:lang w:eastAsia="en-GB"/>
        </w:rPr>
      </w:pPr>
      <w:r w:rsidRPr="00FF2AF2">
        <w:rPr>
          <w:rFonts w:eastAsia="Times New Roman" w:cs="Times New Roman"/>
          <w:szCs w:val="24"/>
          <w:lang w:eastAsia="en-GB"/>
        </w:rPr>
        <w:t xml:space="preserve">Mitchell, M. S., </w:t>
      </w:r>
      <w:proofErr w:type="spellStart"/>
      <w:r w:rsidRPr="00FF2AF2">
        <w:rPr>
          <w:rFonts w:eastAsia="Times New Roman" w:cs="Times New Roman"/>
          <w:szCs w:val="24"/>
          <w:lang w:eastAsia="en-GB"/>
        </w:rPr>
        <w:t>Cropanzano</w:t>
      </w:r>
      <w:proofErr w:type="spellEnd"/>
      <w:r w:rsidRPr="00FF2AF2">
        <w:rPr>
          <w:rFonts w:eastAsia="Times New Roman" w:cs="Times New Roman"/>
          <w:szCs w:val="24"/>
          <w:lang w:eastAsia="en-GB"/>
        </w:rPr>
        <w:t xml:space="preserve">, R. S., &amp; Quisenberry, D. M. (2012). Social exchange theory, exchange resources, and interpersonal relationships: A modest resolution of theoretical difficulties. </w:t>
      </w:r>
      <w:r w:rsidRPr="00FF2AF2">
        <w:rPr>
          <w:rFonts w:eastAsia="Times New Roman" w:cs="Times New Roman"/>
          <w:i/>
          <w:iCs/>
          <w:szCs w:val="24"/>
          <w:lang w:eastAsia="en-GB"/>
        </w:rPr>
        <w:t>Handbook of social resource theory: Theoretical extensions, empirical insights, and social applications</w:t>
      </w:r>
      <w:r w:rsidRPr="00FF2AF2">
        <w:rPr>
          <w:rFonts w:eastAsia="Times New Roman" w:cs="Times New Roman"/>
          <w:szCs w:val="24"/>
          <w:lang w:eastAsia="en-GB"/>
        </w:rPr>
        <w:t>, 99-118.</w:t>
      </w:r>
    </w:p>
    <w:p w14:paraId="00F6C8FD" w14:textId="575C1C96" w:rsidR="00EA0EFE" w:rsidRPr="007B3371" w:rsidRDefault="00EA0EFE" w:rsidP="000D7C39">
      <w:pPr>
        <w:pStyle w:val="BodyText"/>
        <w:spacing w:after="0"/>
        <w:ind w:left="720" w:hanging="720"/>
        <w:rPr>
          <w:i/>
          <w:iCs/>
        </w:rPr>
      </w:pPr>
      <w:r>
        <w:t xml:space="preserve">Ministry of Lands and Natural Resources. (2014). </w:t>
      </w:r>
      <w:r w:rsidR="007B3371">
        <w:rPr>
          <w:rStyle w:val="Emphasis"/>
        </w:rPr>
        <w:t xml:space="preserve">National forest plantation </w:t>
      </w:r>
      <w:r>
        <w:rPr>
          <w:rStyle w:val="Emphasis"/>
        </w:rPr>
        <w:t>development programme 2015-2040</w:t>
      </w:r>
      <w:r>
        <w:t>.</w:t>
      </w:r>
    </w:p>
    <w:p w14:paraId="6D3E1421" w14:textId="03C186B4" w:rsidR="00F41483" w:rsidRPr="00634A67" w:rsidRDefault="00F41483" w:rsidP="000D7C39">
      <w:pPr>
        <w:spacing w:after="0"/>
        <w:ind w:left="720" w:hanging="720"/>
        <w:rPr>
          <w:lang w:eastAsia="en-GB"/>
        </w:rPr>
      </w:pPr>
      <w:bookmarkStart w:id="516" w:name="_Hlk195388198"/>
      <w:r w:rsidRPr="00634A67">
        <w:rPr>
          <w:lang w:eastAsia="en-GB"/>
        </w:rPr>
        <w:t xml:space="preserve">Molnár, Z., &amp; Babai, D. (2021). Inviting ecologists to delve deeper into traditional ecological knowledge. </w:t>
      </w:r>
      <w:r w:rsidRPr="00634A67">
        <w:rPr>
          <w:i/>
          <w:iCs/>
          <w:lang w:eastAsia="en-GB"/>
        </w:rPr>
        <w:t>Trends in Ecology &amp; Evolution</w:t>
      </w:r>
      <w:r w:rsidRPr="00634A67">
        <w:rPr>
          <w:lang w:eastAsia="en-GB"/>
        </w:rPr>
        <w:t xml:space="preserve">, </w:t>
      </w:r>
      <w:r w:rsidRPr="00634A67">
        <w:rPr>
          <w:i/>
          <w:iCs/>
          <w:lang w:eastAsia="en-GB"/>
        </w:rPr>
        <w:t>36</w:t>
      </w:r>
      <w:r w:rsidRPr="00634A67">
        <w:rPr>
          <w:lang w:eastAsia="en-GB"/>
        </w:rPr>
        <w:t>(8), 679-690.</w:t>
      </w:r>
    </w:p>
    <w:bookmarkEnd w:id="516"/>
    <w:p w14:paraId="6C77C974" w14:textId="47A349CD" w:rsidR="007B3371" w:rsidRDefault="008451C7" w:rsidP="0081629E">
      <w:pPr>
        <w:spacing w:after="0"/>
        <w:ind w:left="720" w:hanging="720"/>
        <w:rPr>
          <w:rFonts w:eastAsia="Times New Roman" w:cs="Times New Roman"/>
          <w:szCs w:val="24"/>
          <w:lang w:eastAsia="en-GB"/>
        </w:rPr>
      </w:pPr>
      <w:r w:rsidRPr="008451C7">
        <w:rPr>
          <w:rFonts w:eastAsia="Times New Roman" w:cs="Times New Roman"/>
          <w:szCs w:val="24"/>
          <w:lang w:eastAsia="en-GB"/>
        </w:rPr>
        <w:t xml:space="preserve">Morgan, D. L. (2014). Pragmatism as a paradigm for social research. </w:t>
      </w:r>
      <w:r w:rsidRPr="008451C7">
        <w:rPr>
          <w:rFonts w:eastAsia="Times New Roman" w:cs="Times New Roman"/>
          <w:i/>
          <w:iCs/>
          <w:szCs w:val="24"/>
          <w:lang w:eastAsia="en-GB"/>
        </w:rPr>
        <w:t>Qualitative inquiry</w:t>
      </w:r>
      <w:r w:rsidRPr="008451C7">
        <w:rPr>
          <w:rFonts w:eastAsia="Times New Roman" w:cs="Times New Roman"/>
          <w:szCs w:val="24"/>
          <w:lang w:eastAsia="en-GB"/>
        </w:rPr>
        <w:t xml:space="preserve">, </w:t>
      </w:r>
      <w:r w:rsidRPr="008451C7">
        <w:rPr>
          <w:rFonts w:eastAsia="Times New Roman" w:cs="Times New Roman"/>
          <w:i/>
          <w:iCs/>
          <w:szCs w:val="24"/>
          <w:lang w:eastAsia="en-GB"/>
        </w:rPr>
        <w:t>20</w:t>
      </w:r>
      <w:r w:rsidR="0081629E">
        <w:rPr>
          <w:rFonts w:eastAsia="Times New Roman" w:cs="Times New Roman"/>
          <w:szCs w:val="24"/>
          <w:lang w:eastAsia="en-GB"/>
        </w:rPr>
        <w:t>(8), 1045-1053.</w:t>
      </w:r>
    </w:p>
    <w:p w14:paraId="0CDBC3FA" w14:textId="4A7866BE" w:rsidR="00262596" w:rsidRPr="00262596" w:rsidRDefault="00262596" w:rsidP="000D7C39">
      <w:pPr>
        <w:spacing w:after="0"/>
        <w:ind w:left="720" w:hanging="720"/>
        <w:rPr>
          <w:rFonts w:eastAsia="Times New Roman" w:cs="Times New Roman"/>
          <w:szCs w:val="24"/>
          <w:lang w:eastAsia="en-GB"/>
        </w:rPr>
      </w:pPr>
      <w:r w:rsidRPr="00262596">
        <w:rPr>
          <w:rFonts w:eastAsia="Times New Roman" w:cs="Times New Roman"/>
          <w:szCs w:val="24"/>
          <w:lang w:eastAsia="en-GB"/>
        </w:rPr>
        <w:t xml:space="preserve">Morgan, D. L. (2007). Paradigms lost and pragmatism regained: Methodological implications of combining qualitative and quantitative methods. </w:t>
      </w:r>
      <w:r w:rsidRPr="00262596">
        <w:rPr>
          <w:rFonts w:eastAsia="Times New Roman" w:cs="Times New Roman"/>
          <w:i/>
          <w:iCs/>
          <w:szCs w:val="24"/>
          <w:lang w:eastAsia="en-GB"/>
        </w:rPr>
        <w:t xml:space="preserve">Journal of </w:t>
      </w:r>
      <w:r w:rsidR="0002112A">
        <w:rPr>
          <w:rFonts w:eastAsia="Times New Roman" w:cs="Times New Roman"/>
          <w:i/>
          <w:iCs/>
          <w:szCs w:val="24"/>
          <w:lang w:eastAsia="en-GB"/>
        </w:rPr>
        <w:t>M</w:t>
      </w:r>
      <w:r w:rsidRPr="00262596">
        <w:rPr>
          <w:rFonts w:eastAsia="Times New Roman" w:cs="Times New Roman"/>
          <w:i/>
          <w:iCs/>
          <w:szCs w:val="24"/>
          <w:lang w:eastAsia="en-GB"/>
        </w:rPr>
        <w:t xml:space="preserve">ixed </w:t>
      </w:r>
      <w:r w:rsidR="0002112A">
        <w:rPr>
          <w:rFonts w:eastAsia="Times New Roman" w:cs="Times New Roman"/>
          <w:i/>
          <w:iCs/>
          <w:szCs w:val="24"/>
          <w:lang w:eastAsia="en-GB"/>
        </w:rPr>
        <w:t>Me</w:t>
      </w:r>
      <w:r w:rsidRPr="00262596">
        <w:rPr>
          <w:rFonts w:eastAsia="Times New Roman" w:cs="Times New Roman"/>
          <w:i/>
          <w:iCs/>
          <w:szCs w:val="24"/>
          <w:lang w:eastAsia="en-GB"/>
        </w:rPr>
        <w:t xml:space="preserve">thods </w:t>
      </w:r>
      <w:r w:rsidR="0002112A">
        <w:rPr>
          <w:rFonts w:eastAsia="Times New Roman" w:cs="Times New Roman"/>
          <w:i/>
          <w:iCs/>
          <w:szCs w:val="24"/>
          <w:lang w:eastAsia="en-GB"/>
        </w:rPr>
        <w:t>R</w:t>
      </w:r>
      <w:r w:rsidRPr="00262596">
        <w:rPr>
          <w:rFonts w:eastAsia="Times New Roman" w:cs="Times New Roman"/>
          <w:i/>
          <w:iCs/>
          <w:szCs w:val="24"/>
          <w:lang w:eastAsia="en-GB"/>
        </w:rPr>
        <w:t>esearch</w:t>
      </w:r>
      <w:r w:rsidRPr="00262596">
        <w:rPr>
          <w:rFonts w:eastAsia="Times New Roman" w:cs="Times New Roman"/>
          <w:szCs w:val="24"/>
          <w:lang w:eastAsia="en-GB"/>
        </w:rPr>
        <w:t xml:space="preserve">, </w:t>
      </w:r>
      <w:r w:rsidR="008451C7">
        <w:rPr>
          <w:rFonts w:eastAsia="Times New Roman" w:cs="Times New Roman"/>
          <w:szCs w:val="24"/>
          <w:lang w:eastAsia="en-GB"/>
        </w:rPr>
        <w:t>1</w:t>
      </w:r>
      <w:r w:rsidRPr="00262596">
        <w:rPr>
          <w:rFonts w:eastAsia="Times New Roman" w:cs="Times New Roman"/>
          <w:szCs w:val="24"/>
          <w:lang w:eastAsia="en-GB"/>
        </w:rPr>
        <w:t>(1), 48-76.</w:t>
      </w:r>
    </w:p>
    <w:p w14:paraId="48FBB375" w14:textId="080A6DC1" w:rsidR="00BE57CF" w:rsidRPr="00BE57CF" w:rsidRDefault="00BE57CF" w:rsidP="000D7C39">
      <w:pPr>
        <w:spacing w:after="0"/>
        <w:ind w:left="720" w:hanging="720"/>
        <w:rPr>
          <w:rFonts w:eastAsia="Times New Roman" w:cs="Times New Roman"/>
          <w:szCs w:val="24"/>
          <w:lang w:eastAsia="en-GB"/>
        </w:rPr>
      </w:pPr>
      <w:bookmarkStart w:id="517" w:name="_Hlk166853601"/>
      <w:r w:rsidRPr="00BE57CF">
        <w:rPr>
          <w:rFonts w:eastAsia="Times New Roman" w:cs="Times New Roman"/>
          <w:szCs w:val="24"/>
          <w:lang w:eastAsia="en-GB"/>
        </w:rPr>
        <w:t xml:space="preserve">Nath, P. C., </w:t>
      </w:r>
      <w:proofErr w:type="spellStart"/>
      <w:r w:rsidRPr="00BE57CF">
        <w:rPr>
          <w:rFonts w:eastAsia="Times New Roman" w:cs="Times New Roman"/>
          <w:szCs w:val="24"/>
          <w:lang w:eastAsia="en-GB"/>
        </w:rPr>
        <w:t>Thangjam</w:t>
      </w:r>
      <w:proofErr w:type="spellEnd"/>
      <w:r w:rsidRPr="00BE57CF">
        <w:rPr>
          <w:rFonts w:eastAsia="Times New Roman" w:cs="Times New Roman"/>
          <w:szCs w:val="24"/>
          <w:lang w:eastAsia="en-GB"/>
        </w:rPr>
        <w:t xml:space="preserve">, U., Kalita, S. S., Sahoo, U. K., Giri, K., &amp; Nath, A. J. (2022). Tree diversity and carbon important species vary with traditional agroforestry managers in the Indian Eastern Himalayan region. </w:t>
      </w:r>
      <w:r w:rsidRPr="00BE57CF">
        <w:rPr>
          <w:rFonts w:eastAsia="Times New Roman" w:cs="Times New Roman"/>
          <w:i/>
          <w:iCs/>
          <w:szCs w:val="24"/>
          <w:lang w:eastAsia="en-GB"/>
        </w:rPr>
        <w:t>Environmental Science and Pollution Research</w:t>
      </w:r>
      <w:r w:rsidRPr="00BE57CF">
        <w:rPr>
          <w:rFonts w:eastAsia="Times New Roman" w:cs="Times New Roman"/>
          <w:szCs w:val="24"/>
          <w:lang w:eastAsia="en-GB"/>
        </w:rPr>
        <w:t xml:space="preserve">, </w:t>
      </w:r>
      <w:r w:rsidRPr="00BE57CF">
        <w:rPr>
          <w:rFonts w:eastAsia="Times New Roman" w:cs="Times New Roman"/>
          <w:i/>
          <w:iCs/>
          <w:szCs w:val="24"/>
          <w:lang w:eastAsia="en-GB"/>
        </w:rPr>
        <w:t>29</w:t>
      </w:r>
      <w:r w:rsidRPr="00BE57CF">
        <w:rPr>
          <w:rFonts w:eastAsia="Times New Roman" w:cs="Times New Roman"/>
          <w:szCs w:val="24"/>
          <w:lang w:eastAsia="en-GB"/>
        </w:rPr>
        <w:t>(43), 64732-64744.</w:t>
      </w:r>
    </w:p>
    <w:p w14:paraId="064E2641" w14:textId="132139B7" w:rsidR="006B0E72" w:rsidRDefault="006B0E72" w:rsidP="000D7C39">
      <w:pPr>
        <w:spacing w:after="0"/>
        <w:ind w:left="720" w:hanging="720"/>
      </w:pPr>
      <w:r>
        <w:t xml:space="preserve">Naito, T. (2003). </w:t>
      </w:r>
      <w:r w:rsidRPr="006B0E72">
        <w:t>Pareto-improving Untied Aid with Environmental Externalities</w:t>
      </w:r>
      <w:r>
        <w:t>.</w:t>
      </w:r>
      <w:r w:rsidRPr="004907EC">
        <w:t xml:space="preserve"> </w:t>
      </w:r>
      <w:hyperlink r:id="rId46" w:history="1">
        <w:r w:rsidRPr="004907EC">
          <w:rPr>
            <w:rStyle w:val="Hyperlink"/>
            <w:i/>
            <w:iCs/>
            <w:color w:val="auto"/>
            <w:u w:val="none"/>
          </w:rPr>
          <w:t>Journal of Economics</w:t>
        </w:r>
      </w:hyperlink>
      <w:r w:rsidRPr="004907EC">
        <w:t>,</w:t>
      </w:r>
      <w:r>
        <w:t xml:space="preserve"> 80(2), 161-169.</w:t>
      </w:r>
    </w:p>
    <w:p w14:paraId="37CC21E7" w14:textId="7CAFE896" w:rsidR="00F41483" w:rsidRPr="00634A67" w:rsidRDefault="00F41483" w:rsidP="000D7C39">
      <w:pPr>
        <w:spacing w:after="0"/>
        <w:ind w:left="720" w:hanging="720"/>
        <w:rPr>
          <w:lang w:eastAsia="en-GB"/>
        </w:rPr>
      </w:pPr>
      <w:r w:rsidRPr="00634A67">
        <w:rPr>
          <w:lang w:eastAsia="en-GB"/>
        </w:rPr>
        <w:lastRenderedPageBreak/>
        <w:t xml:space="preserve">Narh, J. (2024). Progress, challenges and prospects of the modified </w:t>
      </w:r>
      <w:proofErr w:type="spellStart"/>
      <w:r w:rsidRPr="00634A67">
        <w:rPr>
          <w:lang w:eastAsia="en-GB"/>
        </w:rPr>
        <w:t>Taungya</w:t>
      </w:r>
      <w:proofErr w:type="spellEnd"/>
      <w:r w:rsidRPr="00634A67">
        <w:rPr>
          <w:lang w:eastAsia="en-GB"/>
        </w:rPr>
        <w:t xml:space="preserve"> system in Ghana. </w:t>
      </w:r>
      <w:r w:rsidRPr="00634A67">
        <w:rPr>
          <w:i/>
          <w:iCs/>
          <w:lang w:eastAsia="en-GB"/>
        </w:rPr>
        <w:t>Agroforestry Systems</w:t>
      </w:r>
      <w:r w:rsidRPr="00634A67">
        <w:rPr>
          <w:lang w:eastAsia="en-GB"/>
        </w:rPr>
        <w:t xml:space="preserve">, </w:t>
      </w:r>
      <w:r w:rsidRPr="00634A67">
        <w:rPr>
          <w:i/>
          <w:iCs/>
          <w:lang w:eastAsia="en-GB"/>
        </w:rPr>
        <w:t>98</w:t>
      </w:r>
      <w:r w:rsidRPr="00634A67">
        <w:rPr>
          <w:lang w:eastAsia="en-GB"/>
        </w:rPr>
        <w:t>(3), 767-782.</w:t>
      </w:r>
    </w:p>
    <w:bookmarkEnd w:id="517"/>
    <w:p w14:paraId="33DC6749" w14:textId="0604E184" w:rsidR="00471B69" w:rsidRPr="00471B69" w:rsidRDefault="00471B69" w:rsidP="000D7C39">
      <w:pPr>
        <w:pStyle w:val="BodyText"/>
        <w:spacing w:after="0"/>
        <w:ind w:left="720" w:hanging="720"/>
      </w:pPr>
      <w:r>
        <w:t xml:space="preserve">Nepal Forests Act 12/2019. (2019). </w:t>
      </w:r>
      <w:hyperlink r:id="rId47" w:history="1">
        <w:r w:rsidRPr="003D4638">
          <w:rPr>
            <w:rStyle w:val="Hyperlink"/>
          </w:rPr>
          <w:t>https://climate-laws.org/document/forests-</w:t>
        </w:r>
      </w:hyperlink>
      <w:r w:rsidRPr="00471B69">
        <w:t>act-12-2019_5e86[1</w:t>
      </w:r>
      <w:r>
        <w:t>]</w:t>
      </w:r>
    </w:p>
    <w:p w14:paraId="2DB465ED" w14:textId="044C2866" w:rsidR="004A670F" w:rsidRDefault="004A670F" w:rsidP="000D7C39">
      <w:pPr>
        <w:spacing w:after="0"/>
        <w:ind w:left="720" w:hanging="720"/>
        <w:rPr>
          <w:rFonts w:eastAsia="Times New Roman" w:cs="Times New Roman"/>
          <w:szCs w:val="24"/>
          <w:lang w:eastAsia="en-GB"/>
        </w:rPr>
      </w:pPr>
      <w:r w:rsidRPr="00404A4E">
        <w:rPr>
          <w:rFonts w:eastAsia="Times New Roman" w:cs="Times New Roman"/>
          <w:szCs w:val="24"/>
          <w:lang w:eastAsia="en-GB"/>
        </w:rPr>
        <w:t xml:space="preserve">Nielsen, V., Azofeifa-Mora, A. B., Romero-Chaves, R., &amp; </w:t>
      </w:r>
      <w:proofErr w:type="spellStart"/>
      <w:r w:rsidRPr="00404A4E">
        <w:rPr>
          <w:rFonts w:eastAsia="Times New Roman" w:cs="Times New Roman"/>
          <w:szCs w:val="24"/>
          <w:lang w:eastAsia="en-GB"/>
        </w:rPr>
        <w:t>Wehrtmann</w:t>
      </w:r>
      <w:proofErr w:type="spellEnd"/>
      <w:r w:rsidRPr="00404A4E">
        <w:rPr>
          <w:rFonts w:eastAsia="Times New Roman" w:cs="Times New Roman"/>
          <w:szCs w:val="24"/>
          <w:lang w:eastAsia="en-GB"/>
        </w:rPr>
        <w:t xml:space="preserve">, I. (2018). </w:t>
      </w:r>
      <w:proofErr w:type="spellStart"/>
      <w:r w:rsidRPr="00404A4E">
        <w:rPr>
          <w:rFonts w:eastAsia="Times New Roman" w:cs="Times New Roman"/>
          <w:szCs w:val="24"/>
          <w:lang w:eastAsia="en-GB"/>
        </w:rPr>
        <w:t>Bibliometry</w:t>
      </w:r>
      <w:proofErr w:type="spellEnd"/>
      <w:r w:rsidRPr="00404A4E">
        <w:rPr>
          <w:rFonts w:eastAsia="Times New Roman" w:cs="Times New Roman"/>
          <w:szCs w:val="24"/>
          <w:lang w:eastAsia="en-GB"/>
        </w:rPr>
        <w:t xml:space="preserve"> of marine science and limnology publications (1979-2015) by the Centro de </w:t>
      </w:r>
      <w:proofErr w:type="spellStart"/>
      <w:r w:rsidRPr="00404A4E">
        <w:rPr>
          <w:rFonts w:eastAsia="Times New Roman" w:cs="Times New Roman"/>
          <w:szCs w:val="24"/>
          <w:lang w:eastAsia="en-GB"/>
        </w:rPr>
        <w:t>Investigación</w:t>
      </w:r>
      <w:proofErr w:type="spellEnd"/>
      <w:r w:rsidRPr="00404A4E">
        <w:rPr>
          <w:rFonts w:eastAsia="Times New Roman" w:cs="Times New Roman"/>
          <w:szCs w:val="24"/>
          <w:lang w:eastAsia="en-GB"/>
        </w:rPr>
        <w:t xml:space="preserve"> </w:t>
      </w:r>
      <w:proofErr w:type="spellStart"/>
      <w:r w:rsidRPr="00404A4E">
        <w:rPr>
          <w:rFonts w:eastAsia="Times New Roman" w:cs="Times New Roman"/>
          <w:szCs w:val="24"/>
          <w:lang w:eastAsia="en-GB"/>
        </w:rPr>
        <w:t>en</w:t>
      </w:r>
      <w:proofErr w:type="spellEnd"/>
      <w:r w:rsidRPr="00404A4E">
        <w:rPr>
          <w:rFonts w:eastAsia="Times New Roman" w:cs="Times New Roman"/>
          <w:szCs w:val="24"/>
          <w:lang w:eastAsia="en-GB"/>
        </w:rPr>
        <w:t xml:space="preserve"> </w:t>
      </w:r>
      <w:proofErr w:type="spellStart"/>
      <w:r w:rsidRPr="00404A4E">
        <w:rPr>
          <w:rFonts w:eastAsia="Times New Roman" w:cs="Times New Roman"/>
          <w:szCs w:val="24"/>
          <w:lang w:eastAsia="en-GB"/>
        </w:rPr>
        <w:t>Ciencias</w:t>
      </w:r>
      <w:proofErr w:type="spellEnd"/>
      <w:r w:rsidRPr="00404A4E">
        <w:rPr>
          <w:rFonts w:eastAsia="Times New Roman" w:cs="Times New Roman"/>
          <w:szCs w:val="24"/>
          <w:lang w:eastAsia="en-GB"/>
        </w:rPr>
        <w:t xml:space="preserve"> del Mar y </w:t>
      </w:r>
      <w:proofErr w:type="spellStart"/>
      <w:r w:rsidRPr="00404A4E">
        <w:rPr>
          <w:rFonts w:eastAsia="Times New Roman" w:cs="Times New Roman"/>
          <w:szCs w:val="24"/>
          <w:lang w:eastAsia="en-GB"/>
        </w:rPr>
        <w:t>Limnología</w:t>
      </w:r>
      <w:proofErr w:type="spellEnd"/>
      <w:r w:rsidRPr="00404A4E">
        <w:rPr>
          <w:rFonts w:eastAsia="Times New Roman" w:cs="Times New Roman"/>
          <w:szCs w:val="24"/>
          <w:lang w:eastAsia="en-GB"/>
        </w:rPr>
        <w:t xml:space="preserve"> (CIMAR), Universidad de Costa Rica.</w:t>
      </w:r>
    </w:p>
    <w:p w14:paraId="1964EC8F" w14:textId="78B6814E" w:rsidR="0055713A" w:rsidRPr="0055713A" w:rsidRDefault="0055713A" w:rsidP="000D7C39">
      <w:pPr>
        <w:spacing w:after="0"/>
        <w:ind w:left="720" w:hanging="720"/>
        <w:rPr>
          <w:rFonts w:eastAsia="Times New Roman" w:cs="Times New Roman"/>
          <w:szCs w:val="24"/>
          <w:lang w:eastAsia="en-GB"/>
        </w:rPr>
      </w:pPr>
      <w:proofErr w:type="spellStart"/>
      <w:r w:rsidRPr="0055713A">
        <w:rPr>
          <w:rFonts w:eastAsia="Times New Roman" w:cs="Times New Roman"/>
          <w:szCs w:val="24"/>
          <w:lang w:eastAsia="en-GB"/>
        </w:rPr>
        <w:t>Nkemnyi</w:t>
      </w:r>
      <w:proofErr w:type="spellEnd"/>
      <w:r w:rsidRPr="0055713A">
        <w:rPr>
          <w:rFonts w:eastAsia="Times New Roman" w:cs="Times New Roman"/>
          <w:szCs w:val="24"/>
          <w:lang w:eastAsia="en-GB"/>
        </w:rPr>
        <w:t xml:space="preserve">, M. F. (2016). An Analysis of Local Participation in Community Forestry: The Case of Tinto and </w:t>
      </w:r>
      <w:proofErr w:type="spellStart"/>
      <w:r w:rsidRPr="0055713A">
        <w:rPr>
          <w:rFonts w:eastAsia="Times New Roman" w:cs="Times New Roman"/>
          <w:szCs w:val="24"/>
          <w:lang w:eastAsia="en-GB"/>
        </w:rPr>
        <w:t>Bimbia-Bonadikombo</w:t>
      </w:r>
      <w:proofErr w:type="spellEnd"/>
      <w:r w:rsidRPr="0055713A">
        <w:rPr>
          <w:rFonts w:eastAsia="Times New Roman" w:cs="Times New Roman"/>
          <w:szCs w:val="24"/>
          <w:lang w:eastAsia="en-GB"/>
        </w:rPr>
        <w:t xml:space="preserve"> Community Forest, Cameroon. </w:t>
      </w:r>
      <w:r w:rsidRPr="0055713A">
        <w:rPr>
          <w:rFonts w:eastAsia="Times New Roman" w:cs="Times New Roman"/>
          <w:i/>
          <w:iCs/>
          <w:szCs w:val="24"/>
          <w:lang w:eastAsia="en-GB"/>
        </w:rPr>
        <w:t>Sustainability in Environment</w:t>
      </w:r>
      <w:r w:rsidRPr="0055713A">
        <w:rPr>
          <w:rFonts w:eastAsia="Times New Roman" w:cs="Times New Roman"/>
          <w:szCs w:val="24"/>
          <w:lang w:eastAsia="en-GB"/>
        </w:rPr>
        <w:t xml:space="preserve">, </w:t>
      </w:r>
      <w:r w:rsidRPr="0055713A">
        <w:rPr>
          <w:rFonts w:eastAsia="Times New Roman" w:cs="Times New Roman"/>
          <w:i/>
          <w:iCs/>
          <w:szCs w:val="24"/>
          <w:lang w:eastAsia="en-GB"/>
        </w:rPr>
        <w:t>1</w:t>
      </w:r>
      <w:r w:rsidRPr="0055713A">
        <w:rPr>
          <w:rFonts w:eastAsia="Times New Roman" w:cs="Times New Roman"/>
          <w:szCs w:val="24"/>
          <w:lang w:eastAsia="en-GB"/>
        </w:rPr>
        <w:t>(2), 85-97.</w:t>
      </w:r>
    </w:p>
    <w:p w14:paraId="1C54070F" w14:textId="0C8B8CA4" w:rsidR="00460E1E" w:rsidRPr="007B3371" w:rsidRDefault="00460E1E" w:rsidP="000D7C39">
      <w:pPr>
        <w:spacing w:after="0"/>
        <w:ind w:left="720" w:hanging="720"/>
        <w:rPr>
          <w:rFonts w:eastAsia="Times New Roman" w:cs="Times New Roman"/>
          <w:i/>
          <w:iCs/>
          <w:szCs w:val="24"/>
          <w:lang w:eastAsia="en-GB"/>
        </w:rPr>
      </w:pPr>
      <w:r w:rsidRPr="00C22F6D">
        <w:rPr>
          <w:rFonts w:eastAsia="Times New Roman" w:cs="Times New Roman"/>
          <w:szCs w:val="24"/>
          <w:lang w:eastAsia="en-GB"/>
        </w:rPr>
        <w:t xml:space="preserve">North, D. C. (1990). </w:t>
      </w:r>
      <w:r w:rsidRPr="00C22F6D">
        <w:rPr>
          <w:rFonts w:eastAsia="Times New Roman" w:cs="Times New Roman"/>
          <w:i/>
          <w:iCs/>
          <w:szCs w:val="24"/>
          <w:lang w:eastAsia="en-GB"/>
        </w:rPr>
        <w:t>Institutions, institutional change and economic performance</w:t>
      </w:r>
      <w:r w:rsidRPr="00C22F6D">
        <w:rPr>
          <w:rFonts w:eastAsia="Times New Roman" w:cs="Times New Roman"/>
          <w:szCs w:val="24"/>
          <w:lang w:eastAsia="en-GB"/>
        </w:rPr>
        <w:t>. Cambridge university press.</w:t>
      </w:r>
    </w:p>
    <w:p w14:paraId="0A74BEA8" w14:textId="609F3A6E" w:rsidR="001361E0" w:rsidRDefault="001361E0" w:rsidP="000D7C39">
      <w:pPr>
        <w:spacing w:after="0"/>
        <w:ind w:left="720" w:hanging="720"/>
        <w:rPr>
          <w:rFonts w:eastAsia="Times New Roman" w:cs="Times New Roman"/>
          <w:szCs w:val="24"/>
          <w:lang w:eastAsia="en-GB"/>
        </w:rPr>
      </w:pPr>
      <w:r w:rsidRPr="001361E0">
        <w:rPr>
          <w:rFonts w:eastAsia="Times New Roman" w:cs="Times New Roman"/>
          <w:szCs w:val="24"/>
          <w:lang w:eastAsia="en-GB"/>
        </w:rPr>
        <w:t xml:space="preserve">Nunan, D. (2016). The declining use of the term market research: An empirical analysis. </w:t>
      </w:r>
      <w:r w:rsidRPr="001361E0">
        <w:rPr>
          <w:rFonts w:eastAsia="Times New Roman" w:cs="Times New Roman"/>
          <w:i/>
          <w:iCs/>
          <w:szCs w:val="24"/>
          <w:lang w:eastAsia="en-GB"/>
        </w:rPr>
        <w:t>International Journal of Market Research</w:t>
      </w:r>
      <w:r w:rsidRPr="001361E0">
        <w:rPr>
          <w:rFonts w:eastAsia="Times New Roman" w:cs="Times New Roman"/>
          <w:szCs w:val="24"/>
          <w:lang w:eastAsia="en-GB"/>
        </w:rPr>
        <w:t xml:space="preserve">, </w:t>
      </w:r>
      <w:r w:rsidRPr="001361E0">
        <w:rPr>
          <w:rFonts w:eastAsia="Times New Roman" w:cs="Times New Roman"/>
          <w:i/>
          <w:iCs/>
          <w:szCs w:val="24"/>
          <w:lang w:eastAsia="en-GB"/>
        </w:rPr>
        <w:t>58</w:t>
      </w:r>
      <w:r w:rsidRPr="001361E0">
        <w:rPr>
          <w:rFonts w:eastAsia="Times New Roman" w:cs="Times New Roman"/>
          <w:szCs w:val="24"/>
          <w:lang w:eastAsia="en-GB"/>
        </w:rPr>
        <w:t>(4), 503-522.</w:t>
      </w:r>
    </w:p>
    <w:p w14:paraId="48315DF2" w14:textId="77777777" w:rsidR="00524689" w:rsidRDefault="00524689" w:rsidP="000D7C39">
      <w:pPr>
        <w:spacing w:after="0"/>
        <w:ind w:left="720" w:hanging="720"/>
        <w:rPr>
          <w:rFonts w:eastAsia="Times New Roman" w:cs="Times New Roman"/>
          <w:szCs w:val="24"/>
        </w:rPr>
      </w:pPr>
    </w:p>
    <w:p w14:paraId="632B1EBB" w14:textId="77777777" w:rsidR="005561AC" w:rsidRPr="005561AC" w:rsidRDefault="005561AC" w:rsidP="000D7C39">
      <w:pPr>
        <w:spacing w:after="0"/>
        <w:ind w:left="720" w:hanging="720"/>
        <w:rPr>
          <w:rFonts w:eastAsia="Times New Roman" w:cs="Times New Roman"/>
          <w:szCs w:val="24"/>
        </w:rPr>
      </w:pPr>
      <w:r w:rsidRPr="005561AC">
        <w:rPr>
          <w:rFonts w:eastAsia="Times New Roman" w:cs="Times New Roman"/>
          <w:szCs w:val="24"/>
        </w:rPr>
        <w:t xml:space="preserve">Nunoo, E. K., Twum, E., &amp; </w:t>
      </w:r>
      <w:proofErr w:type="spellStart"/>
      <w:r w:rsidRPr="005561AC">
        <w:rPr>
          <w:rFonts w:eastAsia="Times New Roman" w:cs="Times New Roman"/>
          <w:szCs w:val="24"/>
        </w:rPr>
        <w:t>Pannin</w:t>
      </w:r>
      <w:proofErr w:type="spellEnd"/>
      <w:r w:rsidRPr="005561AC">
        <w:rPr>
          <w:rFonts w:eastAsia="Times New Roman" w:cs="Times New Roman"/>
          <w:szCs w:val="24"/>
        </w:rPr>
        <w:t xml:space="preserve">, A. (2016). A criteria and indicator prognosis for sustainable forest management assessments: Concepts and optional policy baskets for the high forest zone in Ghana. </w:t>
      </w:r>
      <w:r w:rsidRPr="005561AC">
        <w:rPr>
          <w:rFonts w:eastAsia="Times New Roman" w:cs="Times New Roman"/>
          <w:i/>
          <w:iCs/>
          <w:szCs w:val="24"/>
        </w:rPr>
        <w:t>Journal of Sustainable Forestry</w:t>
      </w:r>
      <w:r w:rsidRPr="005561AC">
        <w:rPr>
          <w:rFonts w:eastAsia="Times New Roman" w:cs="Times New Roman"/>
          <w:szCs w:val="24"/>
        </w:rPr>
        <w:t xml:space="preserve">, </w:t>
      </w:r>
      <w:r w:rsidRPr="005561AC">
        <w:rPr>
          <w:rFonts w:eastAsia="Times New Roman" w:cs="Times New Roman"/>
          <w:i/>
          <w:iCs/>
          <w:szCs w:val="24"/>
        </w:rPr>
        <w:t>35</w:t>
      </w:r>
      <w:r w:rsidRPr="005561AC">
        <w:rPr>
          <w:rFonts w:eastAsia="Times New Roman" w:cs="Times New Roman"/>
          <w:szCs w:val="24"/>
        </w:rPr>
        <w:t>(2), 149-171.</w:t>
      </w:r>
    </w:p>
    <w:p w14:paraId="141EB783" w14:textId="77777777" w:rsidR="00D849C0" w:rsidRDefault="00D27874" w:rsidP="000D7C39">
      <w:pPr>
        <w:spacing w:after="0"/>
        <w:ind w:left="720" w:hanging="720"/>
        <w:rPr>
          <w:rFonts w:eastAsia="Times New Roman" w:cs="Times New Roman"/>
          <w:i/>
          <w:iCs/>
          <w:szCs w:val="24"/>
          <w:lang w:eastAsia="en-GB"/>
        </w:rPr>
      </w:pPr>
      <w:r w:rsidRPr="00E56C01">
        <w:rPr>
          <w:rFonts w:eastAsia="Times New Roman" w:cs="Times New Roman"/>
          <w:szCs w:val="24"/>
          <w:lang w:eastAsia="en-GB"/>
        </w:rPr>
        <w:t xml:space="preserve">Obiri, D. B., Oduro A. K., </w:t>
      </w:r>
      <w:proofErr w:type="spellStart"/>
      <w:r w:rsidRPr="00E56C01">
        <w:rPr>
          <w:rFonts w:eastAsia="Times New Roman" w:cs="Times New Roman"/>
          <w:szCs w:val="24"/>
          <w:lang w:eastAsia="en-GB"/>
        </w:rPr>
        <w:t>Nutakor</w:t>
      </w:r>
      <w:proofErr w:type="spellEnd"/>
      <w:r w:rsidRPr="00E56C01">
        <w:rPr>
          <w:rFonts w:eastAsia="Times New Roman" w:cs="Times New Roman"/>
          <w:szCs w:val="24"/>
          <w:lang w:eastAsia="en-GB"/>
        </w:rPr>
        <w:t xml:space="preserve">. E., </w:t>
      </w:r>
      <w:r>
        <w:rPr>
          <w:rFonts w:eastAsia="Times New Roman" w:cs="Times New Roman"/>
          <w:szCs w:val="24"/>
          <w:lang w:eastAsia="en-GB"/>
        </w:rPr>
        <w:t>&amp;</w:t>
      </w:r>
      <w:r w:rsidRPr="00E56C01">
        <w:rPr>
          <w:rFonts w:eastAsia="Times New Roman" w:cs="Times New Roman"/>
          <w:szCs w:val="24"/>
          <w:lang w:eastAsia="en-GB"/>
        </w:rPr>
        <w:t xml:space="preserve"> Acquah (2019). </w:t>
      </w:r>
      <w:r w:rsidRPr="00483371">
        <w:rPr>
          <w:rFonts w:eastAsia="Times New Roman" w:cs="Times New Roman"/>
          <w:i/>
          <w:iCs/>
          <w:szCs w:val="24"/>
          <w:lang w:eastAsia="en-GB"/>
        </w:rPr>
        <w:t xml:space="preserve">Public and private </w:t>
      </w:r>
    </w:p>
    <w:p w14:paraId="7972D9A7" w14:textId="77777777" w:rsidR="00D27874" w:rsidRDefault="00BB6EA5" w:rsidP="000D7C39">
      <w:pPr>
        <w:spacing w:after="0"/>
        <w:ind w:left="720" w:hanging="720"/>
        <w:rPr>
          <w:rFonts w:eastAsia="Times New Roman" w:cs="Times New Roman"/>
          <w:szCs w:val="24"/>
          <w:lang w:eastAsia="en-GB"/>
        </w:rPr>
      </w:pPr>
      <w:r>
        <w:rPr>
          <w:rFonts w:eastAsia="Times New Roman" w:cs="Times New Roman"/>
          <w:i/>
          <w:iCs/>
          <w:szCs w:val="24"/>
          <w:lang w:eastAsia="en-GB"/>
        </w:rPr>
        <w:tab/>
      </w:r>
      <w:r w:rsidR="00D27874" w:rsidRPr="00483371">
        <w:rPr>
          <w:rFonts w:eastAsia="Times New Roman" w:cs="Times New Roman"/>
          <w:i/>
          <w:iCs/>
          <w:szCs w:val="24"/>
          <w:lang w:eastAsia="en-GB"/>
        </w:rPr>
        <w:t>sector development on forest products industry in Ghana</w:t>
      </w:r>
      <w:r w:rsidR="00D27874" w:rsidRPr="00E56C01">
        <w:rPr>
          <w:rFonts w:eastAsia="Times New Roman" w:cs="Times New Roman"/>
          <w:szCs w:val="24"/>
          <w:lang w:eastAsia="en-GB"/>
        </w:rPr>
        <w:t>. AFF Working Paper. African Forest</w:t>
      </w:r>
      <w:r w:rsidR="00D27874">
        <w:rPr>
          <w:rFonts w:eastAsia="Times New Roman" w:cs="Times New Roman"/>
          <w:szCs w:val="24"/>
          <w:lang w:eastAsia="en-GB"/>
        </w:rPr>
        <w:t xml:space="preserve"> </w:t>
      </w:r>
      <w:r w:rsidR="00D27874" w:rsidRPr="00E56C01">
        <w:rPr>
          <w:rFonts w:eastAsia="Times New Roman" w:cs="Times New Roman"/>
          <w:szCs w:val="24"/>
          <w:lang w:eastAsia="en-GB"/>
        </w:rPr>
        <w:t>Forum, Nairobi.</w:t>
      </w:r>
    </w:p>
    <w:p w14:paraId="7A83B179" w14:textId="57917968" w:rsidR="0061506E" w:rsidRPr="007B3371" w:rsidRDefault="0061506E" w:rsidP="000D7C39">
      <w:pPr>
        <w:spacing w:after="0"/>
        <w:ind w:left="720" w:hanging="720"/>
        <w:rPr>
          <w:rFonts w:eastAsia="Times New Roman" w:cs="Times New Roman"/>
          <w:i/>
          <w:iCs/>
          <w:szCs w:val="24"/>
          <w:lang w:eastAsia="en-GB"/>
        </w:rPr>
      </w:pPr>
      <w:r w:rsidRPr="003914DB">
        <w:rPr>
          <w:rFonts w:eastAsia="Times New Roman" w:cs="Times New Roman"/>
          <w:szCs w:val="24"/>
          <w:lang w:eastAsia="en-GB"/>
        </w:rPr>
        <w:t xml:space="preserve">O’Donoghue, T., &amp; Rabin, M. (1999). Doing It Now or Later. </w:t>
      </w:r>
      <w:r w:rsidRPr="003914DB">
        <w:rPr>
          <w:rFonts w:eastAsia="Times New Roman" w:cs="Times New Roman"/>
          <w:i/>
          <w:iCs/>
          <w:szCs w:val="24"/>
          <w:lang w:eastAsia="en-GB"/>
        </w:rPr>
        <w:t>The American Economic Review</w:t>
      </w:r>
      <w:r w:rsidRPr="003914DB">
        <w:rPr>
          <w:rFonts w:eastAsia="Times New Roman" w:cs="Times New Roman"/>
          <w:szCs w:val="24"/>
          <w:lang w:eastAsia="en-GB"/>
        </w:rPr>
        <w:t xml:space="preserve">, </w:t>
      </w:r>
      <w:r w:rsidRPr="003914DB">
        <w:rPr>
          <w:rFonts w:eastAsia="Times New Roman" w:cs="Times New Roman"/>
          <w:i/>
          <w:iCs/>
          <w:szCs w:val="24"/>
          <w:lang w:eastAsia="en-GB"/>
        </w:rPr>
        <w:t>89</w:t>
      </w:r>
      <w:r w:rsidRPr="003914DB">
        <w:rPr>
          <w:rFonts w:eastAsia="Times New Roman" w:cs="Times New Roman"/>
          <w:szCs w:val="24"/>
          <w:lang w:eastAsia="en-GB"/>
        </w:rPr>
        <w:t>(1), 103–124.</w:t>
      </w:r>
    </w:p>
    <w:p w14:paraId="297A6961" w14:textId="77777777" w:rsidR="00D849C0" w:rsidRDefault="00D27874" w:rsidP="000D7C39">
      <w:pPr>
        <w:pStyle w:val="BodyText"/>
        <w:spacing w:after="0"/>
        <w:ind w:left="720" w:hanging="720"/>
      </w:pPr>
      <w:r>
        <w:lastRenderedPageBreak/>
        <w:t xml:space="preserve">Oduro, K. A., Duah-Gyamfi, A., Acquah, S. B. &amp; Agyeman, V. K. (2012). </w:t>
      </w:r>
    </w:p>
    <w:p w14:paraId="58296DA0" w14:textId="77777777" w:rsidR="00D27874" w:rsidRDefault="00BB6EA5" w:rsidP="000D7C39">
      <w:pPr>
        <w:pStyle w:val="BodyText"/>
        <w:spacing w:after="0"/>
        <w:ind w:left="720" w:hanging="720"/>
      </w:pPr>
      <w:r>
        <w:tab/>
      </w:r>
      <w:r w:rsidR="00D27874">
        <w:t>Ghana forest and wildlife handbook: a compendium of information about forest and wildlife resources, forestry related issues and wood processing in Ghana. Forestry Commission, Ghana.</w:t>
      </w:r>
    </w:p>
    <w:p w14:paraId="56210A41" w14:textId="77777777" w:rsidR="007B3371" w:rsidRDefault="00F8520B" w:rsidP="000D7C39">
      <w:pPr>
        <w:spacing w:after="0"/>
        <w:ind w:left="720" w:hanging="720"/>
      </w:pPr>
      <w:r>
        <w:t>Ogu, G. (2016). Social E</w:t>
      </w:r>
      <w:r w:rsidR="007B3371">
        <w:t xml:space="preserve">xchange Theory. Retrieved from </w:t>
      </w:r>
    </w:p>
    <w:p w14:paraId="0BC54002" w14:textId="4C9352C7" w:rsidR="00F8520B" w:rsidRPr="007B3371" w:rsidRDefault="00F8520B" w:rsidP="0081629E">
      <w:pPr>
        <w:spacing w:after="0"/>
        <w:ind w:left="720" w:firstLine="0"/>
      </w:pPr>
      <w:hyperlink r:id="rId48" w:history="1">
        <w:r w:rsidRPr="00CC6ADD">
          <w:rPr>
            <w:rStyle w:val="Hyperlink"/>
          </w:rPr>
          <w:t>https://www.niu.edu/writingtutorial/style/list-of-sources/apa.shtml</w:t>
        </w:r>
      </w:hyperlink>
    </w:p>
    <w:p w14:paraId="11806E18" w14:textId="4ADB7D1A" w:rsidR="00A66485" w:rsidRDefault="00A66485" w:rsidP="000D7C39">
      <w:pPr>
        <w:spacing w:after="0"/>
        <w:ind w:left="720" w:hanging="720"/>
        <w:rPr>
          <w:rFonts w:eastAsia="Times New Roman" w:cs="Times New Roman"/>
          <w:szCs w:val="24"/>
          <w:lang w:eastAsia="en-GB"/>
        </w:rPr>
      </w:pPr>
      <w:proofErr w:type="spellStart"/>
      <w:r w:rsidRPr="00A66485">
        <w:rPr>
          <w:rFonts w:eastAsia="Times New Roman" w:cs="Times New Roman"/>
          <w:szCs w:val="24"/>
          <w:lang w:eastAsia="en-GB"/>
        </w:rPr>
        <w:t>Oldekop</w:t>
      </w:r>
      <w:proofErr w:type="spellEnd"/>
      <w:r w:rsidRPr="00A66485">
        <w:rPr>
          <w:rFonts w:eastAsia="Times New Roman" w:cs="Times New Roman"/>
          <w:szCs w:val="24"/>
          <w:lang w:eastAsia="en-GB"/>
        </w:rPr>
        <w:t xml:space="preserve">, J. A., Holmes, G., Harris, W. E., &amp; Evans, K. L. (2016). A global assessment of the social and conservation outcomes of protected areas. </w:t>
      </w:r>
      <w:r w:rsidRPr="00A66485">
        <w:rPr>
          <w:rFonts w:eastAsia="Times New Roman" w:cs="Times New Roman"/>
          <w:i/>
          <w:iCs/>
          <w:szCs w:val="24"/>
          <w:lang w:eastAsia="en-GB"/>
        </w:rPr>
        <w:t>Conservation Biology</w:t>
      </w:r>
      <w:r w:rsidRPr="00A66485">
        <w:rPr>
          <w:rFonts w:eastAsia="Times New Roman" w:cs="Times New Roman"/>
          <w:szCs w:val="24"/>
          <w:lang w:eastAsia="en-GB"/>
        </w:rPr>
        <w:t xml:space="preserve">, </w:t>
      </w:r>
      <w:r w:rsidRPr="00A66485">
        <w:rPr>
          <w:rFonts w:eastAsia="Times New Roman" w:cs="Times New Roman"/>
          <w:i/>
          <w:iCs/>
          <w:szCs w:val="24"/>
          <w:lang w:eastAsia="en-GB"/>
        </w:rPr>
        <w:t>30</w:t>
      </w:r>
      <w:r w:rsidRPr="00A66485">
        <w:rPr>
          <w:rFonts w:eastAsia="Times New Roman" w:cs="Times New Roman"/>
          <w:szCs w:val="24"/>
          <w:lang w:eastAsia="en-GB"/>
        </w:rPr>
        <w:t>(1), 133-141.</w:t>
      </w:r>
    </w:p>
    <w:p w14:paraId="1F12CCB6" w14:textId="615B1BFF" w:rsidR="006E2197" w:rsidRPr="006E2197" w:rsidRDefault="006E2197" w:rsidP="000D7C39">
      <w:pPr>
        <w:spacing w:after="0"/>
        <w:ind w:left="720" w:hanging="720"/>
        <w:rPr>
          <w:rFonts w:eastAsia="Times New Roman" w:cs="Times New Roman"/>
          <w:szCs w:val="24"/>
          <w:lang w:eastAsia="en-GB"/>
        </w:rPr>
      </w:pPr>
      <w:r w:rsidRPr="006E2197">
        <w:rPr>
          <w:rFonts w:eastAsia="Times New Roman" w:cs="Times New Roman"/>
          <w:szCs w:val="24"/>
          <w:lang w:eastAsia="en-GB"/>
        </w:rPr>
        <w:t xml:space="preserve">Onwuegbuzie, A. J., &amp; Johnson, R. B. (2006). The validity issue in mixed research. </w:t>
      </w:r>
      <w:r w:rsidRPr="006E2197">
        <w:rPr>
          <w:rFonts w:eastAsia="Times New Roman" w:cs="Times New Roman"/>
          <w:i/>
          <w:iCs/>
          <w:szCs w:val="24"/>
          <w:lang w:eastAsia="en-GB"/>
        </w:rPr>
        <w:t>Research in the Schools</w:t>
      </w:r>
      <w:r w:rsidRPr="006E2197">
        <w:rPr>
          <w:rFonts w:eastAsia="Times New Roman" w:cs="Times New Roman"/>
          <w:szCs w:val="24"/>
          <w:lang w:eastAsia="en-GB"/>
        </w:rPr>
        <w:t xml:space="preserve">, </w:t>
      </w:r>
      <w:r w:rsidRPr="006E2197">
        <w:rPr>
          <w:rFonts w:eastAsia="Times New Roman" w:cs="Times New Roman"/>
          <w:i/>
          <w:iCs/>
          <w:szCs w:val="24"/>
          <w:lang w:eastAsia="en-GB"/>
        </w:rPr>
        <w:t>13</w:t>
      </w:r>
      <w:r w:rsidRPr="006E2197">
        <w:rPr>
          <w:rFonts w:eastAsia="Times New Roman" w:cs="Times New Roman"/>
          <w:szCs w:val="24"/>
          <w:lang w:eastAsia="en-GB"/>
        </w:rPr>
        <w:t>(1), 48-63.</w:t>
      </w:r>
    </w:p>
    <w:p w14:paraId="13BB252D" w14:textId="77777777" w:rsidR="00D849C0" w:rsidRDefault="00D27874" w:rsidP="000D7C39">
      <w:pPr>
        <w:pStyle w:val="BodyText"/>
        <w:spacing w:after="0"/>
        <w:ind w:left="720" w:hanging="720"/>
        <w:rPr>
          <w:i/>
          <w:iCs/>
        </w:rPr>
      </w:pPr>
      <w:bookmarkStart w:id="518" w:name="_Hlk195388244"/>
      <w:r>
        <w:t xml:space="preserve">Ostrom, E. (1990). </w:t>
      </w:r>
      <w:r w:rsidRPr="00F110C6">
        <w:rPr>
          <w:i/>
          <w:iCs/>
        </w:rPr>
        <w:t xml:space="preserve">Governing the commons: the evolution of institutions for </w:t>
      </w:r>
    </w:p>
    <w:p w14:paraId="0D8DEC6B" w14:textId="77777777" w:rsidR="00D27874" w:rsidRDefault="00BB6EA5" w:rsidP="000D7C39">
      <w:pPr>
        <w:pStyle w:val="BodyText"/>
        <w:spacing w:after="0"/>
        <w:ind w:left="720" w:hanging="720"/>
      </w:pPr>
      <w:r>
        <w:rPr>
          <w:i/>
          <w:iCs/>
        </w:rPr>
        <w:tab/>
      </w:r>
      <w:r w:rsidR="00D27874" w:rsidRPr="00F110C6">
        <w:rPr>
          <w:i/>
          <w:iCs/>
        </w:rPr>
        <w:t>collective action</w:t>
      </w:r>
      <w:r w:rsidR="00D27874">
        <w:t>. Cambridge: Cambridge University Press.</w:t>
      </w:r>
    </w:p>
    <w:bookmarkEnd w:id="518"/>
    <w:p w14:paraId="32547B33" w14:textId="7F4DDF66" w:rsidR="001104F9" w:rsidRPr="001104F9" w:rsidRDefault="001104F9" w:rsidP="000D7C39">
      <w:pPr>
        <w:spacing w:after="0"/>
        <w:ind w:left="720" w:hanging="720"/>
        <w:rPr>
          <w:rFonts w:eastAsia="Times New Roman" w:cs="Times New Roman"/>
          <w:szCs w:val="24"/>
          <w:lang w:eastAsia="en-GB"/>
        </w:rPr>
      </w:pPr>
      <w:r w:rsidRPr="001104F9">
        <w:rPr>
          <w:rFonts w:eastAsia="Times New Roman" w:cs="Times New Roman"/>
          <w:szCs w:val="24"/>
          <w:lang w:eastAsia="en-GB"/>
        </w:rPr>
        <w:t xml:space="preserve">Ostrom, E. (1992). Community and the endogenous solution of commons problems. </w:t>
      </w:r>
      <w:r w:rsidRPr="001104F9">
        <w:rPr>
          <w:rFonts w:eastAsia="Times New Roman" w:cs="Times New Roman"/>
          <w:i/>
          <w:iCs/>
          <w:szCs w:val="24"/>
          <w:lang w:eastAsia="en-GB"/>
        </w:rPr>
        <w:t xml:space="preserve">Journal of </w:t>
      </w:r>
      <w:r w:rsidR="0002112A">
        <w:rPr>
          <w:rFonts w:eastAsia="Times New Roman" w:cs="Times New Roman"/>
          <w:i/>
          <w:iCs/>
          <w:szCs w:val="24"/>
          <w:lang w:eastAsia="en-GB"/>
        </w:rPr>
        <w:t>T</w:t>
      </w:r>
      <w:r w:rsidRPr="001104F9">
        <w:rPr>
          <w:rFonts w:eastAsia="Times New Roman" w:cs="Times New Roman"/>
          <w:i/>
          <w:iCs/>
          <w:szCs w:val="24"/>
          <w:lang w:eastAsia="en-GB"/>
        </w:rPr>
        <w:t xml:space="preserve">heoretical </w:t>
      </w:r>
      <w:r w:rsidR="0002112A">
        <w:rPr>
          <w:rFonts w:eastAsia="Times New Roman" w:cs="Times New Roman"/>
          <w:i/>
          <w:iCs/>
          <w:szCs w:val="24"/>
          <w:lang w:eastAsia="en-GB"/>
        </w:rPr>
        <w:t>P</w:t>
      </w:r>
      <w:r w:rsidRPr="001104F9">
        <w:rPr>
          <w:rFonts w:eastAsia="Times New Roman" w:cs="Times New Roman"/>
          <w:i/>
          <w:iCs/>
          <w:szCs w:val="24"/>
          <w:lang w:eastAsia="en-GB"/>
        </w:rPr>
        <w:t>olitics</w:t>
      </w:r>
      <w:r w:rsidRPr="001104F9">
        <w:rPr>
          <w:rFonts w:eastAsia="Times New Roman" w:cs="Times New Roman"/>
          <w:szCs w:val="24"/>
          <w:lang w:eastAsia="en-GB"/>
        </w:rPr>
        <w:t xml:space="preserve">, </w:t>
      </w:r>
      <w:r w:rsidRPr="001104F9">
        <w:rPr>
          <w:rFonts w:eastAsia="Times New Roman" w:cs="Times New Roman"/>
          <w:i/>
          <w:iCs/>
          <w:szCs w:val="24"/>
          <w:lang w:eastAsia="en-GB"/>
        </w:rPr>
        <w:t>4</w:t>
      </w:r>
      <w:r w:rsidRPr="001104F9">
        <w:rPr>
          <w:rFonts w:eastAsia="Times New Roman" w:cs="Times New Roman"/>
          <w:szCs w:val="24"/>
          <w:lang w:eastAsia="en-GB"/>
        </w:rPr>
        <w:t>(3), 343-351.</w:t>
      </w:r>
    </w:p>
    <w:p w14:paraId="18B379C6" w14:textId="77777777" w:rsidR="00D849C0" w:rsidRDefault="00D27874" w:rsidP="000D7C39">
      <w:pPr>
        <w:spacing w:after="0"/>
        <w:ind w:left="720" w:hanging="720"/>
        <w:rPr>
          <w:szCs w:val="24"/>
        </w:rPr>
      </w:pPr>
      <w:r w:rsidRPr="00876084">
        <w:rPr>
          <w:szCs w:val="24"/>
        </w:rPr>
        <w:t xml:space="preserve">Ostrom, E. </w:t>
      </w:r>
      <w:r>
        <w:rPr>
          <w:szCs w:val="24"/>
        </w:rPr>
        <w:t>(</w:t>
      </w:r>
      <w:r w:rsidRPr="00876084">
        <w:rPr>
          <w:szCs w:val="24"/>
        </w:rPr>
        <w:t>2009</w:t>
      </w:r>
      <w:r>
        <w:rPr>
          <w:szCs w:val="24"/>
        </w:rPr>
        <w:t>)</w:t>
      </w:r>
      <w:r w:rsidRPr="00876084">
        <w:rPr>
          <w:szCs w:val="24"/>
        </w:rPr>
        <w:t>. A general framework for analy</w:t>
      </w:r>
      <w:r>
        <w:rPr>
          <w:szCs w:val="24"/>
        </w:rPr>
        <w:t>s</w:t>
      </w:r>
      <w:r w:rsidRPr="00876084">
        <w:rPr>
          <w:szCs w:val="24"/>
        </w:rPr>
        <w:t>ing sustainability of social-</w:t>
      </w:r>
    </w:p>
    <w:p w14:paraId="38535D8C" w14:textId="77777777" w:rsidR="00D27874" w:rsidRDefault="00BB6EA5" w:rsidP="000D7C39">
      <w:pPr>
        <w:spacing w:after="0"/>
        <w:ind w:left="720" w:hanging="720"/>
        <w:rPr>
          <w:szCs w:val="24"/>
        </w:rPr>
      </w:pPr>
      <w:r>
        <w:rPr>
          <w:szCs w:val="24"/>
        </w:rPr>
        <w:tab/>
      </w:r>
      <w:r w:rsidR="00D27874" w:rsidRPr="00876084">
        <w:rPr>
          <w:szCs w:val="24"/>
        </w:rPr>
        <w:t>ecological</w:t>
      </w:r>
      <w:r w:rsidR="00D27874">
        <w:rPr>
          <w:szCs w:val="24"/>
        </w:rPr>
        <w:t xml:space="preserve"> </w:t>
      </w:r>
      <w:r w:rsidR="00D27874" w:rsidRPr="00876084">
        <w:rPr>
          <w:szCs w:val="24"/>
        </w:rPr>
        <w:t xml:space="preserve">systems. </w:t>
      </w:r>
      <w:r w:rsidR="00D27874" w:rsidRPr="007A038A">
        <w:rPr>
          <w:i/>
          <w:iCs/>
          <w:szCs w:val="24"/>
        </w:rPr>
        <w:t>Science</w:t>
      </w:r>
      <w:r w:rsidR="00557F0F">
        <w:rPr>
          <w:i/>
          <w:iCs/>
          <w:szCs w:val="24"/>
        </w:rPr>
        <w:t>,</w:t>
      </w:r>
      <w:r w:rsidR="00D27874" w:rsidRPr="00876084">
        <w:rPr>
          <w:szCs w:val="24"/>
        </w:rPr>
        <w:t xml:space="preserve"> 325, 419–422.</w:t>
      </w:r>
    </w:p>
    <w:p w14:paraId="303673C4" w14:textId="69803D1F" w:rsidR="00424540" w:rsidRPr="00C336E6" w:rsidRDefault="00424540" w:rsidP="000D7C39">
      <w:pPr>
        <w:spacing w:after="0"/>
        <w:ind w:left="720" w:hanging="720"/>
        <w:rPr>
          <w:rFonts w:eastAsia="Times New Roman" w:cs="Times New Roman"/>
          <w:szCs w:val="24"/>
          <w:lang w:eastAsia="en-GB"/>
        </w:rPr>
      </w:pPr>
      <w:r w:rsidRPr="00C336E6">
        <w:rPr>
          <w:rFonts w:eastAsia="Times New Roman" w:cs="Times New Roman"/>
          <w:szCs w:val="24"/>
          <w:lang w:eastAsia="en-GB"/>
        </w:rPr>
        <w:t xml:space="preserve">Ostrom, E. (2005). Doing institutional analysis digging deeper than markets and hierarchies. In </w:t>
      </w:r>
      <w:r w:rsidRPr="00C336E6">
        <w:rPr>
          <w:rFonts w:eastAsia="Times New Roman" w:cs="Times New Roman"/>
          <w:i/>
          <w:iCs/>
          <w:szCs w:val="24"/>
          <w:lang w:eastAsia="en-GB"/>
        </w:rPr>
        <w:t xml:space="preserve">Handbook of </w:t>
      </w:r>
      <w:r w:rsidR="00B92739">
        <w:rPr>
          <w:rFonts w:eastAsia="Times New Roman" w:cs="Times New Roman"/>
          <w:i/>
          <w:iCs/>
          <w:szCs w:val="24"/>
          <w:lang w:eastAsia="en-GB"/>
        </w:rPr>
        <w:t>N</w:t>
      </w:r>
      <w:r w:rsidRPr="00C336E6">
        <w:rPr>
          <w:rFonts w:eastAsia="Times New Roman" w:cs="Times New Roman"/>
          <w:i/>
          <w:iCs/>
          <w:szCs w:val="24"/>
          <w:lang w:eastAsia="en-GB"/>
        </w:rPr>
        <w:t xml:space="preserve">ew </w:t>
      </w:r>
      <w:r w:rsidR="00B92739">
        <w:rPr>
          <w:rFonts w:eastAsia="Times New Roman" w:cs="Times New Roman"/>
          <w:i/>
          <w:iCs/>
          <w:szCs w:val="24"/>
          <w:lang w:eastAsia="en-GB"/>
        </w:rPr>
        <w:t>I</w:t>
      </w:r>
      <w:r w:rsidRPr="00C336E6">
        <w:rPr>
          <w:rFonts w:eastAsia="Times New Roman" w:cs="Times New Roman"/>
          <w:i/>
          <w:iCs/>
          <w:szCs w:val="24"/>
          <w:lang w:eastAsia="en-GB"/>
        </w:rPr>
        <w:t xml:space="preserve">nstitutional </w:t>
      </w:r>
      <w:r w:rsidR="00B92739">
        <w:rPr>
          <w:rFonts w:eastAsia="Times New Roman" w:cs="Times New Roman"/>
          <w:i/>
          <w:iCs/>
          <w:szCs w:val="24"/>
          <w:lang w:eastAsia="en-GB"/>
        </w:rPr>
        <w:t>E</w:t>
      </w:r>
      <w:r w:rsidRPr="00C336E6">
        <w:rPr>
          <w:rFonts w:eastAsia="Times New Roman" w:cs="Times New Roman"/>
          <w:i/>
          <w:iCs/>
          <w:szCs w:val="24"/>
          <w:lang w:eastAsia="en-GB"/>
        </w:rPr>
        <w:t>conomics</w:t>
      </w:r>
      <w:r w:rsidRPr="00C336E6">
        <w:rPr>
          <w:rFonts w:eastAsia="Times New Roman" w:cs="Times New Roman"/>
          <w:szCs w:val="24"/>
          <w:lang w:eastAsia="en-GB"/>
        </w:rPr>
        <w:t xml:space="preserve"> (819-848). Boston, MA: Springer US.</w:t>
      </w:r>
    </w:p>
    <w:p w14:paraId="787823DC" w14:textId="77B5ABD8" w:rsidR="008A4A3C" w:rsidRDefault="008A4A3C" w:rsidP="000D7C39">
      <w:pPr>
        <w:spacing w:after="0"/>
        <w:ind w:left="720" w:hanging="720"/>
        <w:rPr>
          <w:rFonts w:eastAsia="Times New Roman" w:cs="Times New Roman"/>
          <w:szCs w:val="24"/>
          <w:lang w:eastAsia="en-GB"/>
        </w:rPr>
      </w:pPr>
      <w:r w:rsidRPr="008A4A3C">
        <w:rPr>
          <w:rFonts w:eastAsia="Times New Roman" w:cs="Times New Roman"/>
          <w:szCs w:val="24"/>
          <w:lang w:eastAsia="en-GB"/>
        </w:rPr>
        <w:t xml:space="preserve">Ostrom, E. (2010). Institutional analysis and development: Elements of the framework in historical perspective. </w:t>
      </w:r>
      <w:r w:rsidRPr="008A4A3C">
        <w:rPr>
          <w:rFonts w:eastAsia="Times New Roman" w:cs="Times New Roman"/>
          <w:i/>
          <w:iCs/>
          <w:szCs w:val="24"/>
          <w:lang w:eastAsia="en-GB"/>
        </w:rPr>
        <w:t xml:space="preserve">Historical </w:t>
      </w:r>
      <w:r w:rsidR="00FB6CA4">
        <w:rPr>
          <w:rFonts w:eastAsia="Times New Roman" w:cs="Times New Roman"/>
          <w:i/>
          <w:iCs/>
          <w:szCs w:val="24"/>
          <w:lang w:eastAsia="en-GB"/>
        </w:rPr>
        <w:t>D</w:t>
      </w:r>
      <w:r w:rsidRPr="008A4A3C">
        <w:rPr>
          <w:rFonts w:eastAsia="Times New Roman" w:cs="Times New Roman"/>
          <w:i/>
          <w:iCs/>
          <w:szCs w:val="24"/>
          <w:lang w:eastAsia="en-GB"/>
        </w:rPr>
        <w:t xml:space="preserve">evelopments and </w:t>
      </w:r>
      <w:r w:rsidR="00FB6CA4">
        <w:rPr>
          <w:rFonts w:eastAsia="Times New Roman" w:cs="Times New Roman"/>
          <w:i/>
          <w:iCs/>
          <w:szCs w:val="24"/>
          <w:lang w:eastAsia="en-GB"/>
        </w:rPr>
        <w:t>T</w:t>
      </w:r>
      <w:r w:rsidRPr="008A4A3C">
        <w:rPr>
          <w:rFonts w:eastAsia="Times New Roman" w:cs="Times New Roman"/>
          <w:i/>
          <w:iCs/>
          <w:szCs w:val="24"/>
          <w:lang w:eastAsia="en-GB"/>
        </w:rPr>
        <w:t xml:space="preserve">heoretical </w:t>
      </w:r>
      <w:r w:rsidR="00FB6CA4">
        <w:rPr>
          <w:rFonts w:eastAsia="Times New Roman" w:cs="Times New Roman"/>
          <w:i/>
          <w:iCs/>
          <w:szCs w:val="24"/>
          <w:lang w:eastAsia="en-GB"/>
        </w:rPr>
        <w:t>A</w:t>
      </w:r>
      <w:r w:rsidRPr="008A4A3C">
        <w:rPr>
          <w:rFonts w:eastAsia="Times New Roman" w:cs="Times New Roman"/>
          <w:i/>
          <w:iCs/>
          <w:szCs w:val="24"/>
          <w:lang w:eastAsia="en-GB"/>
        </w:rPr>
        <w:t>pproaches in sociology</w:t>
      </w:r>
      <w:r w:rsidRPr="008A4A3C">
        <w:rPr>
          <w:rFonts w:eastAsia="Times New Roman" w:cs="Times New Roman"/>
          <w:szCs w:val="24"/>
          <w:lang w:eastAsia="en-GB"/>
        </w:rPr>
        <w:t xml:space="preserve">, </w:t>
      </w:r>
      <w:r w:rsidRPr="008A4A3C">
        <w:rPr>
          <w:rFonts w:eastAsia="Times New Roman" w:cs="Times New Roman"/>
          <w:i/>
          <w:iCs/>
          <w:szCs w:val="24"/>
          <w:lang w:eastAsia="en-GB"/>
        </w:rPr>
        <w:t>2</w:t>
      </w:r>
      <w:r w:rsidRPr="008A4A3C">
        <w:rPr>
          <w:rFonts w:eastAsia="Times New Roman" w:cs="Times New Roman"/>
          <w:szCs w:val="24"/>
          <w:lang w:eastAsia="en-GB"/>
        </w:rPr>
        <w:t>, 261-288.</w:t>
      </w:r>
    </w:p>
    <w:p w14:paraId="60B53E20" w14:textId="0F8E78A7" w:rsidR="001104F9" w:rsidRDefault="001104F9" w:rsidP="000D7C39">
      <w:pPr>
        <w:spacing w:after="0"/>
        <w:ind w:left="720" w:hanging="720"/>
        <w:rPr>
          <w:rFonts w:eastAsia="Times New Roman" w:cs="Times New Roman"/>
          <w:szCs w:val="24"/>
          <w:lang w:eastAsia="en-GB"/>
        </w:rPr>
      </w:pPr>
      <w:r w:rsidRPr="001104F9">
        <w:rPr>
          <w:rFonts w:eastAsia="Times New Roman" w:cs="Times New Roman"/>
          <w:szCs w:val="24"/>
          <w:lang w:eastAsia="en-GB"/>
        </w:rPr>
        <w:t xml:space="preserve">Ostrom, E. (2011). Background on the institutional analysis and development framework. </w:t>
      </w:r>
      <w:r w:rsidRPr="001104F9">
        <w:rPr>
          <w:rFonts w:eastAsia="Times New Roman" w:cs="Times New Roman"/>
          <w:i/>
          <w:iCs/>
          <w:szCs w:val="24"/>
          <w:lang w:eastAsia="en-GB"/>
        </w:rPr>
        <w:t xml:space="preserve">Policy </w:t>
      </w:r>
      <w:r w:rsidR="00FB6CA4">
        <w:rPr>
          <w:rFonts w:eastAsia="Times New Roman" w:cs="Times New Roman"/>
          <w:i/>
          <w:iCs/>
          <w:szCs w:val="24"/>
          <w:lang w:eastAsia="en-GB"/>
        </w:rPr>
        <w:t>S</w:t>
      </w:r>
      <w:r w:rsidRPr="001104F9">
        <w:rPr>
          <w:rFonts w:eastAsia="Times New Roman" w:cs="Times New Roman"/>
          <w:i/>
          <w:iCs/>
          <w:szCs w:val="24"/>
          <w:lang w:eastAsia="en-GB"/>
        </w:rPr>
        <w:t xml:space="preserve">tudies </w:t>
      </w:r>
      <w:r w:rsidR="00FB6CA4">
        <w:rPr>
          <w:rFonts w:eastAsia="Times New Roman" w:cs="Times New Roman"/>
          <w:i/>
          <w:iCs/>
          <w:szCs w:val="24"/>
          <w:lang w:eastAsia="en-GB"/>
        </w:rPr>
        <w:t>J</w:t>
      </w:r>
      <w:r w:rsidRPr="001104F9">
        <w:rPr>
          <w:rFonts w:eastAsia="Times New Roman" w:cs="Times New Roman"/>
          <w:i/>
          <w:iCs/>
          <w:szCs w:val="24"/>
          <w:lang w:eastAsia="en-GB"/>
        </w:rPr>
        <w:t>ournal</w:t>
      </w:r>
      <w:r w:rsidRPr="001104F9">
        <w:rPr>
          <w:rFonts w:eastAsia="Times New Roman" w:cs="Times New Roman"/>
          <w:szCs w:val="24"/>
          <w:lang w:eastAsia="en-GB"/>
        </w:rPr>
        <w:t xml:space="preserve">, </w:t>
      </w:r>
      <w:r w:rsidRPr="001104F9">
        <w:rPr>
          <w:rFonts w:eastAsia="Times New Roman" w:cs="Times New Roman"/>
          <w:i/>
          <w:iCs/>
          <w:szCs w:val="24"/>
          <w:lang w:eastAsia="en-GB"/>
        </w:rPr>
        <w:t>39</w:t>
      </w:r>
      <w:r w:rsidRPr="001104F9">
        <w:rPr>
          <w:rFonts w:eastAsia="Times New Roman" w:cs="Times New Roman"/>
          <w:szCs w:val="24"/>
          <w:lang w:eastAsia="en-GB"/>
        </w:rPr>
        <w:t>(1), 7-27.</w:t>
      </w:r>
    </w:p>
    <w:p w14:paraId="3F748DCB" w14:textId="77777777" w:rsidR="004C4BE1" w:rsidRPr="00F21AB0" w:rsidRDefault="004C4BE1" w:rsidP="004C4BE1">
      <w:pPr>
        <w:ind w:left="720" w:hanging="720"/>
        <w:rPr>
          <w:rFonts w:eastAsia="Times New Roman" w:cs="Times New Roman"/>
        </w:rPr>
      </w:pPr>
      <w:r w:rsidRPr="00F21AB0">
        <w:rPr>
          <w:rFonts w:eastAsia="Times New Roman" w:cs="Times New Roman"/>
        </w:rPr>
        <w:lastRenderedPageBreak/>
        <w:t xml:space="preserve">Ostrom, E. (2019). Institutional rational choice: An assessment of the institutional analysis and development framework. In </w:t>
      </w:r>
      <w:r w:rsidRPr="00F21AB0">
        <w:rPr>
          <w:rFonts w:eastAsia="Times New Roman" w:cs="Times New Roman"/>
          <w:i/>
          <w:iCs/>
        </w:rPr>
        <w:t>Theories of the Policy Process, Second Edition</w:t>
      </w:r>
      <w:r w:rsidRPr="00F21AB0">
        <w:rPr>
          <w:rFonts w:eastAsia="Times New Roman" w:cs="Times New Roman"/>
        </w:rPr>
        <w:t xml:space="preserve"> (pp. 21-64). Routledge.</w:t>
      </w:r>
    </w:p>
    <w:p w14:paraId="4DD35E7D" w14:textId="02637E40" w:rsidR="00904401" w:rsidRPr="007B3371" w:rsidRDefault="00904401" w:rsidP="000D7C39">
      <w:pPr>
        <w:spacing w:after="0"/>
        <w:ind w:left="720" w:hanging="720"/>
        <w:rPr>
          <w:i/>
          <w:iCs/>
        </w:rPr>
      </w:pPr>
      <w:r>
        <w:t xml:space="preserve">Organ, D. W. </w:t>
      </w:r>
      <w:r w:rsidR="00FE7C97">
        <w:t>(</w:t>
      </w:r>
      <w:r>
        <w:t>1988</w:t>
      </w:r>
      <w:r w:rsidR="00FE7C97">
        <w:t>)</w:t>
      </w:r>
      <w:r>
        <w:t xml:space="preserve">. </w:t>
      </w:r>
      <w:r>
        <w:rPr>
          <w:rStyle w:val="Emphasis"/>
        </w:rPr>
        <w:t xml:space="preserve">Organizational citizenship </w:t>
      </w:r>
      <w:r w:rsidR="00FE7C97">
        <w:rPr>
          <w:rStyle w:val="Emphasis"/>
        </w:rPr>
        <w:t>behaviour</w:t>
      </w:r>
      <w:r w:rsidR="007B3371">
        <w:rPr>
          <w:rStyle w:val="Emphasis"/>
        </w:rPr>
        <w:t xml:space="preserve">: The good soldier </w:t>
      </w:r>
      <w:r>
        <w:rPr>
          <w:rStyle w:val="Emphasis"/>
        </w:rPr>
        <w:t>syndrome</w:t>
      </w:r>
      <w:r>
        <w:t>. Lexington, MA: Lexington Books.</w:t>
      </w:r>
    </w:p>
    <w:p w14:paraId="07B88BAF" w14:textId="17A0BE67" w:rsidR="00904401" w:rsidRDefault="00424540" w:rsidP="000D7C39">
      <w:pPr>
        <w:spacing w:after="0"/>
        <w:ind w:left="720" w:hanging="720"/>
      </w:pPr>
      <w:r>
        <w:t xml:space="preserve">Owusu-Ansah, N. </w:t>
      </w:r>
      <w:r w:rsidR="008B5E01">
        <w:t>(</w:t>
      </w:r>
      <w:r>
        <w:t>2020</w:t>
      </w:r>
      <w:r w:rsidR="008B5E01">
        <w:t>)</w:t>
      </w:r>
      <w:r>
        <w:t>. Leading sustainabi</w:t>
      </w:r>
      <w:r w:rsidR="007B3371">
        <w:t xml:space="preserve">lity: understanding leadership </w:t>
      </w:r>
      <w:r>
        <w:t xml:space="preserve">emergence in community resources management areas in Ghana. </w:t>
      </w:r>
      <w:r w:rsidRPr="00424540">
        <w:rPr>
          <w:i/>
          <w:iCs/>
        </w:rPr>
        <w:t>Qual. Rep</w:t>
      </w:r>
      <w:r>
        <w:t>. 25 (7), 1766</w:t>
      </w:r>
      <w:r>
        <w:rPr>
          <w:rFonts w:ascii="AdvOTb0c9bf5d+20" w:hAnsi="AdvOTb0c9bf5d+20" w:cs="AdvOTb0c9bf5d+20"/>
        </w:rPr>
        <w:t>–</w:t>
      </w:r>
      <w:r>
        <w:t>1779.</w:t>
      </w:r>
      <w:r w:rsidRPr="00F42EA7">
        <w:t xml:space="preserve"> </w:t>
      </w:r>
    </w:p>
    <w:p w14:paraId="3EC6AE0A" w14:textId="0CB53184" w:rsidR="00E26501" w:rsidRPr="007B3371" w:rsidRDefault="00E26501" w:rsidP="000D7C39">
      <w:pPr>
        <w:spacing w:after="0"/>
        <w:ind w:left="720" w:hanging="720"/>
        <w:rPr>
          <w:rFonts w:eastAsia="Times New Roman" w:cs="Times New Roman"/>
          <w:i/>
          <w:iCs/>
          <w:szCs w:val="24"/>
          <w:lang w:eastAsia="en-GB"/>
        </w:rPr>
      </w:pPr>
      <w:r w:rsidRPr="00942479">
        <w:rPr>
          <w:rFonts w:eastAsia="Times New Roman" w:cs="Times New Roman"/>
          <w:szCs w:val="24"/>
          <w:lang w:eastAsia="en-GB"/>
        </w:rPr>
        <w:t xml:space="preserve">Oye, K. A. (1993). </w:t>
      </w:r>
      <w:r w:rsidRPr="00942479">
        <w:rPr>
          <w:rFonts w:eastAsia="Times New Roman" w:cs="Times New Roman"/>
          <w:i/>
          <w:iCs/>
          <w:szCs w:val="24"/>
          <w:lang w:eastAsia="en-GB"/>
        </w:rPr>
        <w:t>Economic discrimination and political exchange: World political economy in the 1930s and 1980s</w:t>
      </w:r>
      <w:r w:rsidRPr="00942479">
        <w:rPr>
          <w:rFonts w:eastAsia="Times New Roman" w:cs="Times New Roman"/>
          <w:szCs w:val="24"/>
          <w:lang w:eastAsia="en-GB"/>
        </w:rPr>
        <w:t>. Princeton University Press.</w:t>
      </w:r>
    </w:p>
    <w:p w14:paraId="6A2FC5C3" w14:textId="77777777" w:rsidR="00D849C0" w:rsidRDefault="00D27874" w:rsidP="000D7C39">
      <w:pPr>
        <w:spacing w:after="0"/>
        <w:ind w:left="720" w:hanging="720"/>
        <w:rPr>
          <w:rFonts w:eastAsia="Times New Roman" w:cs="Times New Roman"/>
          <w:i/>
          <w:iCs/>
          <w:szCs w:val="24"/>
          <w:lang w:eastAsia="en-GB"/>
        </w:rPr>
      </w:pPr>
      <w:bookmarkStart w:id="519" w:name="_Hlk166853296"/>
      <w:proofErr w:type="spellStart"/>
      <w:r w:rsidRPr="00380579">
        <w:rPr>
          <w:rFonts w:eastAsia="Times New Roman" w:cs="Times New Roman"/>
          <w:szCs w:val="24"/>
          <w:lang w:eastAsia="en-GB"/>
        </w:rPr>
        <w:t>Pasiecznik</w:t>
      </w:r>
      <w:proofErr w:type="spellEnd"/>
      <w:r w:rsidRPr="00380579">
        <w:rPr>
          <w:rFonts w:eastAsia="Times New Roman" w:cs="Times New Roman"/>
          <w:szCs w:val="24"/>
          <w:lang w:eastAsia="en-GB"/>
        </w:rPr>
        <w:t>, N</w:t>
      </w:r>
      <w:r>
        <w:rPr>
          <w:rFonts w:eastAsia="Times New Roman" w:cs="Times New Roman"/>
          <w:szCs w:val="24"/>
          <w:lang w:eastAsia="en-GB"/>
        </w:rPr>
        <w:t>.</w:t>
      </w:r>
      <w:r w:rsidRPr="00380579">
        <w:rPr>
          <w:rFonts w:eastAsia="Times New Roman" w:cs="Times New Roman"/>
          <w:szCs w:val="24"/>
          <w:lang w:eastAsia="en-GB"/>
        </w:rPr>
        <w:t xml:space="preserve">, </w:t>
      </w:r>
      <w:r>
        <w:rPr>
          <w:rFonts w:eastAsia="Times New Roman" w:cs="Times New Roman"/>
          <w:szCs w:val="24"/>
          <w:lang w:eastAsia="en-GB"/>
        </w:rPr>
        <w:t xml:space="preserve">&amp; </w:t>
      </w:r>
      <w:proofErr w:type="spellStart"/>
      <w:r w:rsidRPr="00380579">
        <w:rPr>
          <w:rFonts w:eastAsia="Times New Roman" w:cs="Times New Roman"/>
          <w:szCs w:val="24"/>
          <w:lang w:eastAsia="en-GB"/>
        </w:rPr>
        <w:t>Savenije</w:t>
      </w:r>
      <w:proofErr w:type="spellEnd"/>
      <w:r w:rsidRPr="00380579">
        <w:rPr>
          <w:rFonts w:eastAsia="Times New Roman" w:cs="Times New Roman"/>
          <w:szCs w:val="24"/>
          <w:lang w:eastAsia="en-GB"/>
        </w:rPr>
        <w:t>, H</w:t>
      </w:r>
      <w:r>
        <w:rPr>
          <w:rFonts w:eastAsia="Times New Roman" w:cs="Times New Roman"/>
          <w:szCs w:val="24"/>
          <w:lang w:eastAsia="en-GB"/>
        </w:rPr>
        <w:t>.</w:t>
      </w:r>
      <w:r w:rsidRPr="00380579">
        <w:rPr>
          <w:rFonts w:eastAsia="Times New Roman" w:cs="Times New Roman"/>
          <w:szCs w:val="24"/>
          <w:lang w:eastAsia="en-GB"/>
        </w:rPr>
        <w:t xml:space="preserve"> </w:t>
      </w:r>
      <w:r>
        <w:rPr>
          <w:rFonts w:eastAsia="Times New Roman" w:cs="Times New Roman"/>
          <w:szCs w:val="24"/>
          <w:lang w:eastAsia="en-GB"/>
        </w:rPr>
        <w:t>(</w:t>
      </w:r>
      <w:r w:rsidRPr="00380579">
        <w:rPr>
          <w:rFonts w:eastAsia="Times New Roman" w:cs="Times New Roman"/>
          <w:szCs w:val="24"/>
          <w:lang w:eastAsia="en-GB"/>
        </w:rPr>
        <w:t>2015</w:t>
      </w:r>
      <w:r>
        <w:rPr>
          <w:rFonts w:eastAsia="Times New Roman" w:cs="Times New Roman"/>
          <w:szCs w:val="24"/>
          <w:lang w:eastAsia="en-GB"/>
        </w:rPr>
        <w:t>)</w:t>
      </w:r>
      <w:r w:rsidRPr="00380579">
        <w:rPr>
          <w:rFonts w:eastAsia="Times New Roman" w:cs="Times New Roman"/>
          <w:szCs w:val="24"/>
          <w:lang w:eastAsia="en-GB"/>
        </w:rPr>
        <w:t xml:space="preserve">. </w:t>
      </w:r>
      <w:r w:rsidRPr="00483371">
        <w:rPr>
          <w:rFonts w:eastAsia="Times New Roman" w:cs="Times New Roman"/>
          <w:i/>
          <w:iCs/>
          <w:szCs w:val="24"/>
          <w:lang w:eastAsia="en-GB"/>
        </w:rPr>
        <w:t xml:space="preserve">Effective Forest and Farm Producer </w:t>
      </w:r>
    </w:p>
    <w:p w14:paraId="45C2A973" w14:textId="77777777" w:rsidR="00D27874" w:rsidRDefault="00BB6EA5" w:rsidP="000D7C39">
      <w:pPr>
        <w:spacing w:after="0"/>
        <w:ind w:left="720" w:hanging="720"/>
        <w:rPr>
          <w:rFonts w:eastAsia="Times New Roman" w:cs="Times New Roman"/>
          <w:szCs w:val="24"/>
          <w:lang w:eastAsia="en-GB"/>
        </w:rPr>
      </w:pPr>
      <w:r>
        <w:rPr>
          <w:rFonts w:eastAsia="Times New Roman" w:cs="Times New Roman"/>
          <w:i/>
          <w:iCs/>
          <w:szCs w:val="24"/>
          <w:lang w:eastAsia="en-GB"/>
        </w:rPr>
        <w:tab/>
      </w:r>
      <w:r w:rsidR="00D27874" w:rsidRPr="00483371">
        <w:rPr>
          <w:rFonts w:eastAsia="Times New Roman" w:cs="Times New Roman"/>
          <w:i/>
          <w:iCs/>
          <w:szCs w:val="24"/>
          <w:lang w:eastAsia="en-GB"/>
        </w:rPr>
        <w:t>Organi</w:t>
      </w:r>
      <w:r w:rsidR="00D849C0">
        <w:rPr>
          <w:rFonts w:eastAsia="Times New Roman" w:cs="Times New Roman"/>
          <w:i/>
          <w:iCs/>
          <w:szCs w:val="24"/>
          <w:lang w:eastAsia="en-GB"/>
        </w:rPr>
        <w:t>s</w:t>
      </w:r>
      <w:r w:rsidR="00D27874" w:rsidRPr="00483371">
        <w:rPr>
          <w:rFonts w:eastAsia="Times New Roman" w:cs="Times New Roman"/>
          <w:i/>
          <w:iCs/>
          <w:szCs w:val="24"/>
          <w:lang w:eastAsia="en-GB"/>
        </w:rPr>
        <w:t>ations</w:t>
      </w:r>
      <w:r w:rsidR="00D27874" w:rsidRPr="00380579">
        <w:rPr>
          <w:rFonts w:eastAsia="Times New Roman" w:cs="Times New Roman"/>
          <w:szCs w:val="24"/>
          <w:lang w:eastAsia="en-GB"/>
        </w:rPr>
        <w:t xml:space="preserve">. </w:t>
      </w:r>
      <w:proofErr w:type="spellStart"/>
      <w:r w:rsidR="00D27874" w:rsidRPr="00380579">
        <w:rPr>
          <w:rFonts w:eastAsia="Times New Roman" w:cs="Times New Roman"/>
          <w:szCs w:val="24"/>
          <w:lang w:eastAsia="en-GB"/>
        </w:rPr>
        <w:t>Tropenbos</w:t>
      </w:r>
      <w:proofErr w:type="spellEnd"/>
      <w:r w:rsidR="00D27874" w:rsidRPr="00380579">
        <w:rPr>
          <w:rFonts w:eastAsia="Times New Roman" w:cs="Times New Roman"/>
          <w:szCs w:val="24"/>
          <w:lang w:eastAsia="en-GB"/>
        </w:rPr>
        <w:t xml:space="preserve"> International, Wageningen, the Netherlands.</w:t>
      </w:r>
    </w:p>
    <w:bookmarkEnd w:id="519"/>
    <w:p w14:paraId="7E7E6012" w14:textId="77777777" w:rsidR="00F82B12" w:rsidRDefault="00F82B12" w:rsidP="000D7C39">
      <w:pPr>
        <w:pStyle w:val="NormalWeb"/>
        <w:spacing w:before="0" w:beforeAutospacing="0" w:after="0" w:afterAutospacing="0" w:line="480" w:lineRule="auto"/>
        <w:ind w:left="720" w:hanging="720"/>
        <w:jc w:val="both"/>
      </w:pPr>
      <w:r>
        <w:t xml:space="preserve">Pearce, J. &amp; Vela, G. (2005). Colombia Country Report for the Dutch CFA </w:t>
      </w:r>
    </w:p>
    <w:p w14:paraId="51387D9C" w14:textId="77777777" w:rsidR="00F82B12" w:rsidRDefault="00BB6EA5" w:rsidP="000D7C39">
      <w:pPr>
        <w:pStyle w:val="NormalWeb"/>
        <w:spacing w:before="0" w:beforeAutospacing="0" w:after="0" w:afterAutospacing="0" w:line="480" w:lineRule="auto"/>
        <w:ind w:left="720" w:hanging="720"/>
        <w:jc w:val="both"/>
      </w:pPr>
      <w:r>
        <w:tab/>
      </w:r>
      <w:r w:rsidR="00F82B12">
        <w:t>Programme.</w:t>
      </w:r>
    </w:p>
    <w:p w14:paraId="1D080EE9" w14:textId="1E393BFE" w:rsidR="00424540" w:rsidRPr="00A17D73" w:rsidRDefault="00424540" w:rsidP="000D7C39">
      <w:pPr>
        <w:spacing w:after="0"/>
        <w:ind w:left="720" w:hanging="720"/>
        <w:rPr>
          <w:rFonts w:eastAsia="Times New Roman" w:cs="Times New Roman"/>
          <w:szCs w:val="24"/>
          <w:lang w:val="fr-FR" w:eastAsia="en-GB"/>
        </w:rPr>
      </w:pPr>
      <w:r w:rsidRPr="00A84DD7">
        <w:rPr>
          <w:rFonts w:eastAsia="Times New Roman" w:cs="Times New Roman"/>
          <w:szCs w:val="24"/>
          <w:lang w:eastAsia="en-GB"/>
        </w:rPr>
        <w:t xml:space="preserve">Penner, L. A., Dovidio, J. F., Piliavin, J. A., &amp; Schroeder, D. A. (2005). </w:t>
      </w:r>
      <w:r w:rsidRPr="00A17D73">
        <w:rPr>
          <w:rFonts w:eastAsia="Times New Roman" w:cs="Times New Roman"/>
          <w:szCs w:val="24"/>
          <w:lang w:val="fr-FR" w:eastAsia="en-GB"/>
        </w:rPr>
        <w:t xml:space="preserve">Prosocial </w:t>
      </w:r>
      <w:proofErr w:type="spellStart"/>
      <w:proofErr w:type="gramStart"/>
      <w:r w:rsidRPr="00A17D73">
        <w:rPr>
          <w:rFonts w:eastAsia="Times New Roman" w:cs="Times New Roman"/>
          <w:szCs w:val="24"/>
          <w:lang w:val="fr-FR" w:eastAsia="en-GB"/>
        </w:rPr>
        <w:t>behavior</w:t>
      </w:r>
      <w:proofErr w:type="spellEnd"/>
      <w:r w:rsidRPr="00A17D73">
        <w:rPr>
          <w:rFonts w:eastAsia="Times New Roman" w:cs="Times New Roman"/>
          <w:szCs w:val="24"/>
          <w:lang w:val="fr-FR" w:eastAsia="en-GB"/>
        </w:rPr>
        <w:t>:</w:t>
      </w:r>
      <w:proofErr w:type="gramEnd"/>
      <w:r w:rsidRPr="00A17D73">
        <w:rPr>
          <w:rFonts w:eastAsia="Times New Roman" w:cs="Times New Roman"/>
          <w:szCs w:val="24"/>
          <w:lang w:val="fr-FR" w:eastAsia="en-GB"/>
        </w:rPr>
        <w:t xml:space="preserve"> </w:t>
      </w:r>
      <w:proofErr w:type="spellStart"/>
      <w:r w:rsidRPr="00A17D73">
        <w:rPr>
          <w:rFonts w:eastAsia="Times New Roman" w:cs="Times New Roman"/>
          <w:szCs w:val="24"/>
          <w:lang w:val="fr-FR" w:eastAsia="en-GB"/>
        </w:rPr>
        <w:t>Multilevel</w:t>
      </w:r>
      <w:proofErr w:type="spellEnd"/>
      <w:r w:rsidRPr="00A17D73">
        <w:rPr>
          <w:rFonts w:eastAsia="Times New Roman" w:cs="Times New Roman"/>
          <w:szCs w:val="24"/>
          <w:lang w:val="fr-FR" w:eastAsia="en-GB"/>
        </w:rPr>
        <w:t xml:space="preserve"> perspectives. </w:t>
      </w:r>
      <w:proofErr w:type="spellStart"/>
      <w:r w:rsidRPr="00A17D73">
        <w:rPr>
          <w:rFonts w:eastAsia="Times New Roman" w:cs="Times New Roman"/>
          <w:i/>
          <w:iCs/>
          <w:szCs w:val="24"/>
          <w:lang w:val="fr-FR" w:eastAsia="en-GB"/>
        </w:rPr>
        <w:t>Annu</w:t>
      </w:r>
      <w:proofErr w:type="spellEnd"/>
      <w:r w:rsidRPr="00A17D73">
        <w:rPr>
          <w:rFonts w:eastAsia="Times New Roman" w:cs="Times New Roman"/>
          <w:i/>
          <w:iCs/>
          <w:szCs w:val="24"/>
          <w:lang w:val="fr-FR" w:eastAsia="en-GB"/>
        </w:rPr>
        <w:t xml:space="preserve">. </w:t>
      </w:r>
      <w:proofErr w:type="spellStart"/>
      <w:r w:rsidRPr="00A17D73">
        <w:rPr>
          <w:rFonts w:eastAsia="Times New Roman" w:cs="Times New Roman"/>
          <w:i/>
          <w:iCs/>
          <w:szCs w:val="24"/>
          <w:lang w:val="fr-FR" w:eastAsia="en-GB"/>
        </w:rPr>
        <w:t>Rev</w:t>
      </w:r>
      <w:proofErr w:type="spellEnd"/>
      <w:r w:rsidRPr="00A17D73">
        <w:rPr>
          <w:rFonts w:eastAsia="Times New Roman" w:cs="Times New Roman"/>
          <w:i/>
          <w:iCs/>
          <w:szCs w:val="24"/>
          <w:lang w:val="fr-FR" w:eastAsia="en-GB"/>
        </w:rPr>
        <w:t xml:space="preserve">. </w:t>
      </w:r>
      <w:proofErr w:type="spellStart"/>
      <w:r w:rsidRPr="00A17D73">
        <w:rPr>
          <w:rFonts w:eastAsia="Times New Roman" w:cs="Times New Roman"/>
          <w:i/>
          <w:iCs/>
          <w:szCs w:val="24"/>
          <w:lang w:val="fr-FR" w:eastAsia="en-GB"/>
        </w:rPr>
        <w:t>Psychol</w:t>
      </w:r>
      <w:proofErr w:type="spellEnd"/>
      <w:r w:rsidRPr="00A17D73">
        <w:rPr>
          <w:rFonts w:eastAsia="Times New Roman" w:cs="Times New Roman"/>
          <w:i/>
          <w:iCs/>
          <w:szCs w:val="24"/>
          <w:lang w:val="fr-FR" w:eastAsia="en-GB"/>
        </w:rPr>
        <w:t>.</w:t>
      </w:r>
      <w:r w:rsidRPr="00A17D73">
        <w:rPr>
          <w:rFonts w:eastAsia="Times New Roman" w:cs="Times New Roman"/>
          <w:szCs w:val="24"/>
          <w:lang w:val="fr-FR" w:eastAsia="en-GB"/>
        </w:rPr>
        <w:t xml:space="preserve">, </w:t>
      </w:r>
      <w:r w:rsidRPr="00A17D73">
        <w:rPr>
          <w:rFonts w:eastAsia="Times New Roman" w:cs="Times New Roman"/>
          <w:i/>
          <w:iCs/>
          <w:szCs w:val="24"/>
          <w:lang w:val="fr-FR" w:eastAsia="en-GB"/>
        </w:rPr>
        <w:t>56</w:t>
      </w:r>
      <w:r w:rsidRPr="00A17D73">
        <w:rPr>
          <w:rFonts w:eastAsia="Times New Roman" w:cs="Times New Roman"/>
          <w:szCs w:val="24"/>
          <w:lang w:val="fr-FR" w:eastAsia="en-GB"/>
        </w:rPr>
        <w:t>, 365-392.</w:t>
      </w:r>
    </w:p>
    <w:p w14:paraId="4FA90467" w14:textId="4A1C1834" w:rsidR="0081629E" w:rsidRDefault="00C9668A" w:rsidP="00524689">
      <w:pPr>
        <w:spacing w:after="0"/>
        <w:ind w:left="720" w:hanging="720"/>
        <w:rPr>
          <w:rFonts w:eastAsia="Times New Roman" w:cs="Times New Roman"/>
          <w:szCs w:val="24"/>
          <w:lang w:eastAsia="en-GB"/>
        </w:rPr>
      </w:pPr>
      <w:r w:rsidRPr="00A17D73">
        <w:rPr>
          <w:rFonts w:eastAsia="Times New Roman" w:cs="Times New Roman"/>
          <w:szCs w:val="24"/>
          <w:lang w:val="fr-FR" w:eastAsia="en-GB"/>
        </w:rPr>
        <w:t xml:space="preserve">Pérez-Cirera, V., &amp; </w:t>
      </w:r>
      <w:proofErr w:type="spellStart"/>
      <w:r w:rsidRPr="00A17D73">
        <w:rPr>
          <w:rFonts w:eastAsia="Times New Roman" w:cs="Times New Roman"/>
          <w:szCs w:val="24"/>
          <w:lang w:val="fr-FR" w:eastAsia="en-GB"/>
        </w:rPr>
        <w:t>Lovett</w:t>
      </w:r>
      <w:proofErr w:type="spellEnd"/>
      <w:r w:rsidRPr="00A17D73">
        <w:rPr>
          <w:rFonts w:eastAsia="Times New Roman" w:cs="Times New Roman"/>
          <w:szCs w:val="24"/>
          <w:lang w:val="fr-FR" w:eastAsia="en-GB"/>
        </w:rPr>
        <w:t xml:space="preserve">, J. C. (2006). </w:t>
      </w:r>
      <w:r w:rsidRPr="00C9668A">
        <w:rPr>
          <w:rFonts w:eastAsia="Times New Roman" w:cs="Times New Roman"/>
          <w:szCs w:val="24"/>
          <w:lang w:eastAsia="en-GB"/>
        </w:rPr>
        <w:t xml:space="preserve">Power distribution, the external environment and common property forest governance: A local user groups model. </w:t>
      </w:r>
      <w:r w:rsidRPr="00C9668A">
        <w:rPr>
          <w:rFonts w:eastAsia="Times New Roman" w:cs="Times New Roman"/>
          <w:i/>
          <w:iCs/>
          <w:szCs w:val="24"/>
          <w:lang w:eastAsia="en-GB"/>
        </w:rPr>
        <w:t>Ecological Economics</w:t>
      </w:r>
      <w:r w:rsidRPr="00C9668A">
        <w:rPr>
          <w:rFonts w:eastAsia="Times New Roman" w:cs="Times New Roman"/>
          <w:szCs w:val="24"/>
          <w:lang w:eastAsia="en-GB"/>
        </w:rPr>
        <w:t xml:space="preserve">, </w:t>
      </w:r>
      <w:r w:rsidRPr="00C9668A">
        <w:rPr>
          <w:rFonts w:eastAsia="Times New Roman" w:cs="Times New Roman"/>
          <w:i/>
          <w:iCs/>
          <w:szCs w:val="24"/>
          <w:lang w:eastAsia="en-GB"/>
        </w:rPr>
        <w:t>59</w:t>
      </w:r>
      <w:bookmarkStart w:id="520" w:name="_Hlk165537812"/>
      <w:r w:rsidR="00524689">
        <w:rPr>
          <w:rFonts w:eastAsia="Times New Roman" w:cs="Times New Roman"/>
          <w:szCs w:val="24"/>
          <w:lang w:eastAsia="en-GB"/>
        </w:rPr>
        <w:t>(3), 341-352.</w:t>
      </w:r>
    </w:p>
    <w:p w14:paraId="7F37B93D" w14:textId="77777777" w:rsidR="00D849C0" w:rsidRDefault="00D27874" w:rsidP="000D7C39">
      <w:pPr>
        <w:spacing w:after="0"/>
        <w:ind w:left="720" w:hanging="720"/>
        <w:rPr>
          <w:rFonts w:eastAsia="Times New Roman" w:cs="Times New Roman"/>
          <w:szCs w:val="24"/>
          <w:lang w:eastAsia="en-GB"/>
        </w:rPr>
      </w:pPr>
      <w:r w:rsidRPr="00A21180">
        <w:rPr>
          <w:rFonts w:eastAsia="Times New Roman" w:cs="Times New Roman"/>
          <w:szCs w:val="24"/>
          <w:lang w:eastAsia="en-GB"/>
        </w:rPr>
        <w:t>Persson, J</w:t>
      </w:r>
      <w:r>
        <w:rPr>
          <w:rFonts w:eastAsia="Times New Roman" w:cs="Times New Roman"/>
          <w:szCs w:val="24"/>
          <w:lang w:eastAsia="en-GB"/>
        </w:rPr>
        <w:t>.,</w:t>
      </w:r>
      <w:r w:rsidRPr="00A21180">
        <w:rPr>
          <w:rFonts w:eastAsia="Times New Roman" w:cs="Times New Roman"/>
          <w:szCs w:val="24"/>
          <w:lang w:eastAsia="en-GB"/>
        </w:rPr>
        <w:t xml:space="preserve"> &amp; Prowse, M. (2017). Collective action on forest governance: An </w:t>
      </w:r>
    </w:p>
    <w:p w14:paraId="17CA44C3" w14:textId="77777777" w:rsidR="00D27874" w:rsidRDefault="00BB6EA5"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A21180">
        <w:rPr>
          <w:rFonts w:eastAsia="Times New Roman" w:cs="Times New Roman"/>
          <w:szCs w:val="24"/>
          <w:lang w:eastAsia="en-GB"/>
        </w:rPr>
        <w:t xml:space="preserve">institutional analysis of the Cambodian community forest system. </w:t>
      </w:r>
      <w:r w:rsidR="00D27874" w:rsidRPr="00AD4F30">
        <w:rPr>
          <w:rFonts w:eastAsia="Times New Roman" w:cs="Times New Roman"/>
          <w:i/>
          <w:iCs/>
          <w:szCs w:val="24"/>
          <w:lang w:eastAsia="en-GB"/>
        </w:rPr>
        <w:t>Forest Policy and Economics</w:t>
      </w:r>
      <w:r w:rsidR="00A94F1B">
        <w:rPr>
          <w:rFonts w:eastAsia="Times New Roman" w:cs="Times New Roman"/>
          <w:szCs w:val="24"/>
          <w:lang w:eastAsia="en-GB"/>
        </w:rPr>
        <w:t>,</w:t>
      </w:r>
      <w:r w:rsidR="00D27874" w:rsidRPr="00A21180">
        <w:rPr>
          <w:rFonts w:eastAsia="Times New Roman" w:cs="Times New Roman"/>
          <w:szCs w:val="24"/>
          <w:lang w:eastAsia="en-GB"/>
        </w:rPr>
        <w:t xml:space="preserve"> 83</w:t>
      </w:r>
      <w:r w:rsidR="00A94F1B">
        <w:rPr>
          <w:rFonts w:eastAsia="Times New Roman" w:cs="Times New Roman"/>
          <w:szCs w:val="24"/>
          <w:lang w:eastAsia="en-GB"/>
        </w:rPr>
        <w:t>,</w:t>
      </w:r>
      <w:r w:rsidR="00D27874" w:rsidRPr="00A21180">
        <w:rPr>
          <w:rFonts w:eastAsia="Times New Roman" w:cs="Times New Roman"/>
          <w:szCs w:val="24"/>
          <w:lang w:eastAsia="en-GB"/>
        </w:rPr>
        <w:t xml:space="preserve"> 70-79. 10.1016/</w:t>
      </w:r>
      <w:proofErr w:type="spellStart"/>
      <w:r w:rsidR="00D27874" w:rsidRPr="00A21180">
        <w:rPr>
          <w:rFonts w:eastAsia="Times New Roman" w:cs="Times New Roman"/>
          <w:szCs w:val="24"/>
          <w:lang w:eastAsia="en-GB"/>
        </w:rPr>
        <w:t>j.forpol</w:t>
      </w:r>
      <w:proofErr w:type="spellEnd"/>
      <w:r w:rsidR="00D27874" w:rsidRPr="00A21180">
        <w:rPr>
          <w:rFonts w:eastAsia="Times New Roman" w:cs="Times New Roman"/>
          <w:szCs w:val="24"/>
          <w:lang w:eastAsia="en-GB"/>
        </w:rPr>
        <w:t>.</w:t>
      </w:r>
      <w:r w:rsidR="00D15027">
        <w:rPr>
          <w:rFonts w:eastAsia="Times New Roman" w:cs="Times New Roman"/>
          <w:szCs w:val="24"/>
          <w:lang w:eastAsia="en-GB"/>
        </w:rPr>
        <w:t xml:space="preserve"> </w:t>
      </w:r>
      <w:r w:rsidR="00D27874" w:rsidRPr="00A21180">
        <w:rPr>
          <w:rFonts w:eastAsia="Times New Roman" w:cs="Times New Roman"/>
          <w:szCs w:val="24"/>
          <w:lang w:eastAsia="en-GB"/>
        </w:rPr>
        <w:t>2017.06</w:t>
      </w:r>
      <w:r w:rsidR="00D15027">
        <w:rPr>
          <w:rFonts w:eastAsia="Times New Roman" w:cs="Times New Roman"/>
          <w:szCs w:val="24"/>
          <w:lang w:eastAsia="en-GB"/>
        </w:rPr>
        <w:t xml:space="preserve"> </w:t>
      </w:r>
      <w:r w:rsidR="00D27874" w:rsidRPr="00A21180">
        <w:rPr>
          <w:rFonts w:eastAsia="Times New Roman" w:cs="Times New Roman"/>
          <w:szCs w:val="24"/>
          <w:lang w:eastAsia="en-GB"/>
        </w:rPr>
        <w:t>.008.</w:t>
      </w:r>
    </w:p>
    <w:bookmarkEnd w:id="520"/>
    <w:p w14:paraId="45BC9A06" w14:textId="77777777" w:rsidR="00C37C7C" w:rsidRDefault="00C37C7C" w:rsidP="000D7C39">
      <w:pPr>
        <w:spacing w:after="0"/>
        <w:ind w:left="720" w:hanging="720"/>
        <w:rPr>
          <w:rFonts w:cs="Times New Roman"/>
          <w:szCs w:val="24"/>
        </w:rPr>
      </w:pPr>
      <w:r w:rsidRPr="00CF7673">
        <w:rPr>
          <w:rFonts w:cs="Times New Roman"/>
          <w:szCs w:val="24"/>
        </w:rPr>
        <w:t xml:space="preserve">Peng, C. (2000). Understanding the role of forest simulation models in </w:t>
      </w:r>
    </w:p>
    <w:p w14:paraId="6F6D9FF5" w14:textId="77777777" w:rsidR="00C37C7C" w:rsidRDefault="00BB6EA5" w:rsidP="000D7C39">
      <w:pPr>
        <w:spacing w:after="0"/>
        <w:ind w:left="720" w:hanging="720"/>
        <w:rPr>
          <w:rFonts w:cs="Times New Roman"/>
          <w:szCs w:val="24"/>
        </w:rPr>
      </w:pPr>
      <w:r>
        <w:rPr>
          <w:rFonts w:cs="Times New Roman"/>
          <w:szCs w:val="24"/>
        </w:rPr>
        <w:lastRenderedPageBreak/>
        <w:tab/>
      </w:r>
      <w:r w:rsidR="00C37C7C" w:rsidRPr="00CF7673">
        <w:rPr>
          <w:rFonts w:cs="Times New Roman"/>
          <w:szCs w:val="24"/>
        </w:rPr>
        <w:t xml:space="preserve">sustainable forest management. </w:t>
      </w:r>
      <w:r w:rsidR="00C37C7C" w:rsidRPr="00613302">
        <w:rPr>
          <w:rFonts w:cs="Times New Roman"/>
          <w:i/>
          <w:iCs/>
          <w:szCs w:val="24"/>
        </w:rPr>
        <w:t>Environmental Impact Assessment Review</w:t>
      </w:r>
      <w:r w:rsidR="00C37C7C" w:rsidRPr="00CF7673">
        <w:rPr>
          <w:rFonts w:cs="Times New Roman"/>
          <w:szCs w:val="24"/>
        </w:rPr>
        <w:t>, 20, 481- 501.</w:t>
      </w:r>
    </w:p>
    <w:p w14:paraId="798DCDF2" w14:textId="650F9416" w:rsidR="001E3E97" w:rsidRDefault="001E3E97" w:rsidP="000D7C39">
      <w:pPr>
        <w:spacing w:after="0"/>
        <w:ind w:left="720" w:hanging="720"/>
      </w:pPr>
      <w:r>
        <w:t xml:space="preserve">Peters, B. G. (2000). </w:t>
      </w:r>
      <w:r w:rsidRPr="00A31A70">
        <w:rPr>
          <w:i/>
          <w:iCs/>
        </w:rPr>
        <w:t>Institutional theory: problems and prospects</w:t>
      </w:r>
      <w:r w:rsidR="007B3371">
        <w:t xml:space="preserve">. (Reihe </w:t>
      </w:r>
      <w:proofErr w:type="spellStart"/>
      <w:r>
        <w:t>Politikwissenschaft</w:t>
      </w:r>
      <w:proofErr w:type="spellEnd"/>
      <w:r>
        <w:t xml:space="preserve"> / </w:t>
      </w:r>
      <w:proofErr w:type="spellStart"/>
      <w:r>
        <w:t>Institut</w:t>
      </w:r>
      <w:proofErr w:type="spellEnd"/>
      <w:r>
        <w:t xml:space="preserve"> für </w:t>
      </w:r>
      <w:proofErr w:type="spellStart"/>
      <w:r>
        <w:t>Höhere</w:t>
      </w:r>
      <w:proofErr w:type="spellEnd"/>
      <w:r>
        <w:t xml:space="preserve"> </w:t>
      </w:r>
      <w:proofErr w:type="spellStart"/>
      <w:r>
        <w:t>Studien</w:t>
      </w:r>
      <w:proofErr w:type="spellEnd"/>
      <w:r>
        <w:t xml:space="preserve">, Abt. </w:t>
      </w:r>
      <w:proofErr w:type="spellStart"/>
      <w:r>
        <w:t>Politikwissenschaft</w:t>
      </w:r>
      <w:proofErr w:type="spellEnd"/>
      <w:r>
        <w:t xml:space="preserve">, 69). Wien: </w:t>
      </w:r>
      <w:proofErr w:type="spellStart"/>
      <w:r>
        <w:t>Institut</w:t>
      </w:r>
      <w:proofErr w:type="spellEnd"/>
      <w:r>
        <w:t xml:space="preserve"> für </w:t>
      </w:r>
      <w:proofErr w:type="spellStart"/>
      <w:r>
        <w:t>Höhere</w:t>
      </w:r>
      <w:proofErr w:type="spellEnd"/>
      <w:r>
        <w:t xml:space="preserve"> </w:t>
      </w:r>
      <w:proofErr w:type="spellStart"/>
      <w:r>
        <w:t>Studien</w:t>
      </w:r>
      <w:proofErr w:type="spellEnd"/>
      <w:r>
        <w:t xml:space="preserve"> (IHS), Wien.</w:t>
      </w:r>
    </w:p>
    <w:p w14:paraId="0407A560" w14:textId="20096860" w:rsidR="00841E42" w:rsidRDefault="00841E42" w:rsidP="000D7C39">
      <w:pPr>
        <w:pStyle w:val="BodyText"/>
        <w:spacing w:after="0"/>
        <w:ind w:left="720" w:hanging="720"/>
      </w:pPr>
      <w:proofErr w:type="spellStart"/>
      <w:r w:rsidRPr="00892420">
        <w:t>Phonchaluen</w:t>
      </w:r>
      <w:proofErr w:type="spellEnd"/>
      <w:r w:rsidRPr="00892420">
        <w:t>, S</w:t>
      </w:r>
      <w:r>
        <w:t>.</w:t>
      </w:r>
      <w:r w:rsidRPr="00892420">
        <w:t xml:space="preserve">, </w:t>
      </w:r>
      <w:proofErr w:type="spellStart"/>
      <w:r w:rsidRPr="00892420">
        <w:t>Fongmul</w:t>
      </w:r>
      <w:proofErr w:type="spellEnd"/>
      <w:r w:rsidRPr="00892420">
        <w:t>, S.</w:t>
      </w:r>
      <w:r>
        <w:t>,</w:t>
      </w:r>
      <w:r w:rsidRPr="00892420">
        <w:t xml:space="preserve"> </w:t>
      </w:r>
      <w:proofErr w:type="spellStart"/>
      <w:r w:rsidRPr="00892420">
        <w:t>Sakkatat</w:t>
      </w:r>
      <w:proofErr w:type="spellEnd"/>
      <w:r w:rsidRPr="00892420">
        <w:t>, P</w:t>
      </w:r>
      <w:r>
        <w:t xml:space="preserve">. </w:t>
      </w:r>
      <w:r w:rsidRPr="00892420">
        <w:t>h.</w:t>
      </w:r>
      <w:r>
        <w:t>,</w:t>
      </w:r>
      <w:r w:rsidRPr="00892420">
        <w:t xml:space="preserve"> </w:t>
      </w:r>
      <w:r>
        <w:t>&amp;</w:t>
      </w:r>
      <w:r w:rsidRPr="00892420">
        <w:t xml:space="preserve"> </w:t>
      </w:r>
      <w:proofErr w:type="spellStart"/>
      <w:r w:rsidRPr="00892420">
        <w:t>Kanokhong</w:t>
      </w:r>
      <w:proofErr w:type="spellEnd"/>
      <w:r w:rsidRPr="00892420">
        <w:t>, K</w:t>
      </w:r>
      <w:r w:rsidR="007B3371">
        <w:t xml:space="preserve">. (2023). </w:t>
      </w:r>
      <w:r>
        <w:t xml:space="preserve">Factors affecting the participation in community forest conservation in Northern Upland of Laos P.D.R. </w:t>
      </w:r>
      <w:r w:rsidRPr="00892420">
        <w:rPr>
          <w:i/>
          <w:iCs/>
        </w:rPr>
        <w:t>International Journal of Agricultural Technology</w:t>
      </w:r>
      <w:r>
        <w:t>,</w:t>
      </w:r>
      <w:r w:rsidRPr="00892420">
        <w:t xml:space="preserve"> 19(3)</w:t>
      </w:r>
      <w:r>
        <w:t>,</w:t>
      </w:r>
      <w:r w:rsidRPr="00892420">
        <w:t>1191-1208</w:t>
      </w:r>
      <w:r>
        <w:t>.</w:t>
      </w:r>
    </w:p>
    <w:p w14:paraId="5F79AC01" w14:textId="23F5E15A" w:rsidR="00B925E7" w:rsidRPr="00B925E7" w:rsidRDefault="00B925E7" w:rsidP="000D7C39">
      <w:pPr>
        <w:spacing w:after="0"/>
        <w:ind w:left="720" w:hanging="720"/>
        <w:rPr>
          <w:rFonts w:eastAsia="Times New Roman" w:cs="Times New Roman"/>
          <w:szCs w:val="24"/>
          <w:lang w:eastAsia="en-GB"/>
        </w:rPr>
      </w:pPr>
      <w:proofErr w:type="spellStart"/>
      <w:r w:rsidRPr="00B925E7">
        <w:rPr>
          <w:rFonts w:eastAsia="Times New Roman" w:cs="Times New Roman"/>
          <w:szCs w:val="24"/>
          <w:lang w:eastAsia="en-GB"/>
        </w:rPr>
        <w:t>Plieninger</w:t>
      </w:r>
      <w:proofErr w:type="spellEnd"/>
      <w:r w:rsidRPr="00B925E7">
        <w:rPr>
          <w:rFonts w:eastAsia="Times New Roman" w:cs="Times New Roman"/>
          <w:szCs w:val="24"/>
          <w:lang w:eastAsia="en-GB"/>
        </w:rPr>
        <w:t xml:space="preserve">, T., Hartel, T., Martín-López, B., Beaufoy, G., Bergmeier, E., Kirby, K., ... &amp; Van </w:t>
      </w:r>
      <w:proofErr w:type="spellStart"/>
      <w:r w:rsidRPr="00B925E7">
        <w:rPr>
          <w:rFonts w:eastAsia="Times New Roman" w:cs="Times New Roman"/>
          <w:szCs w:val="24"/>
          <w:lang w:eastAsia="en-GB"/>
        </w:rPr>
        <w:t>Uytvanck</w:t>
      </w:r>
      <w:proofErr w:type="spellEnd"/>
      <w:r w:rsidRPr="00B925E7">
        <w:rPr>
          <w:rFonts w:eastAsia="Times New Roman" w:cs="Times New Roman"/>
          <w:szCs w:val="24"/>
          <w:lang w:eastAsia="en-GB"/>
        </w:rPr>
        <w:t xml:space="preserve">, J. (2015). Wood-pastures of Europe: Geographic coverage, social–ecological values, conservation management, and policy implications. </w:t>
      </w:r>
      <w:r w:rsidRPr="00B925E7">
        <w:rPr>
          <w:rFonts w:eastAsia="Times New Roman" w:cs="Times New Roman"/>
          <w:i/>
          <w:iCs/>
          <w:szCs w:val="24"/>
          <w:lang w:eastAsia="en-GB"/>
        </w:rPr>
        <w:t>Biological Conservation</w:t>
      </w:r>
      <w:r w:rsidRPr="00B925E7">
        <w:rPr>
          <w:rFonts w:eastAsia="Times New Roman" w:cs="Times New Roman"/>
          <w:szCs w:val="24"/>
          <w:lang w:eastAsia="en-GB"/>
        </w:rPr>
        <w:t xml:space="preserve">, </w:t>
      </w:r>
      <w:r w:rsidRPr="00B925E7">
        <w:rPr>
          <w:rFonts w:eastAsia="Times New Roman" w:cs="Times New Roman"/>
          <w:i/>
          <w:iCs/>
          <w:szCs w:val="24"/>
          <w:lang w:eastAsia="en-GB"/>
        </w:rPr>
        <w:t>190</w:t>
      </w:r>
      <w:r w:rsidRPr="00B925E7">
        <w:rPr>
          <w:rFonts w:eastAsia="Times New Roman" w:cs="Times New Roman"/>
          <w:szCs w:val="24"/>
          <w:lang w:eastAsia="en-GB"/>
        </w:rPr>
        <w:t>, 70-79.</w:t>
      </w:r>
    </w:p>
    <w:p w14:paraId="18681A04" w14:textId="2AD2EF32" w:rsidR="00D177F7" w:rsidRPr="00D177F7" w:rsidRDefault="00D177F7" w:rsidP="000D7C39">
      <w:pPr>
        <w:spacing w:after="0"/>
        <w:ind w:left="720" w:hanging="720"/>
        <w:rPr>
          <w:rFonts w:eastAsia="Times New Roman" w:cs="Times New Roman"/>
          <w:szCs w:val="24"/>
          <w:lang w:eastAsia="en-GB"/>
        </w:rPr>
      </w:pPr>
      <w:r w:rsidRPr="00D177F7">
        <w:rPr>
          <w:rFonts w:eastAsia="Times New Roman" w:cs="Times New Roman"/>
          <w:szCs w:val="24"/>
          <w:lang w:eastAsia="en-GB"/>
        </w:rPr>
        <w:t xml:space="preserve">Plummer, R., &amp; Fitzgibbon, J. (2004). Co-management of natural resources: a proposed framework. </w:t>
      </w:r>
      <w:r w:rsidRPr="00D177F7">
        <w:rPr>
          <w:rFonts w:eastAsia="Times New Roman" w:cs="Times New Roman"/>
          <w:i/>
          <w:iCs/>
          <w:szCs w:val="24"/>
          <w:lang w:eastAsia="en-GB"/>
        </w:rPr>
        <w:t xml:space="preserve">Environmental </w:t>
      </w:r>
      <w:r w:rsidR="00FB6CA4">
        <w:rPr>
          <w:rFonts w:eastAsia="Times New Roman" w:cs="Times New Roman"/>
          <w:i/>
          <w:iCs/>
          <w:szCs w:val="24"/>
          <w:lang w:eastAsia="en-GB"/>
        </w:rPr>
        <w:t>M</w:t>
      </w:r>
      <w:r w:rsidRPr="00D177F7">
        <w:rPr>
          <w:rFonts w:eastAsia="Times New Roman" w:cs="Times New Roman"/>
          <w:i/>
          <w:iCs/>
          <w:szCs w:val="24"/>
          <w:lang w:eastAsia="en-GB"/>
        </w:rPr>
        <w:t>anagement</w:t>
      </w:r>
      <w:r w:rsidRPr="00D177F7">
        <w:rPr>
          <w:rFonts w:eastAsia="Times New Roman" w:cs="Times New Roman"/>
          <w:szCs w:val="24"/>
          <w:lang w:eastAsia="en-GB"/>
        </w:rPr>
        <w:t xml:space="preserve">, </w:t>
      </w:r>
      <w:r w:rsidRPr="00D177F7">
        <w:rPr>
          <w:rFonts w:eastAsia="Times New Roman" w:cs="Times New Roman"/>
          <w:i/>
          <w:iCs/>
          <w:szCs w:val="24"/>
          <w:lang w:eastAsia="en-GB"/>
        </w:rPr>
        <w:t>33</w:t>
      </w:r>
      <w:r w:rsidRPr="00D177F7">
        <w:rPr>
          <w:rFonts w:eastAsia="Times New Roman" w:cs="Times New Roman"/>
          <w:szCs w:val="24"/>
          <w:lang w:eastAsia="en-GB"/>
        </w:rPr>
        <w:t>, 876-885.</w:t>
      </w:r>
    </w:p>
    <w:p w14:paraId="5B9E7AA8" w14:textId="5AA51193" w:rsidR="00D849C0" w:rsidRDefault="00D27874" w:rsidP="000D7C39">
      <w:pPr>
        <w:spacing w:after="0"/>
        <w:ind w:left="720" w:hanging="720"/>
        <w:rPr>
          <w:i/>
          <w:iCs/>
        </w:rPr>
      </w:pPr>
      <w:r>
        <w:t xml:space="preserve">Polit, D. F., &amp; Beck, C.T. (2004). </w:t>
      </w:r>
      <w:r w:rsidRPr="00483371">
        <w:rPr>
          <w:i/>
          <w:iCs/>
        </w:rPr>
        <w:t xml:space="preserve">Nursing Research: Principles and Methods. </w:t>
      </w:r>
    </w:p>
    <w:p w14:paraId="69D45439" w14:textId="77777777" w:rsidR="00D27874" w:rsidRDefault="00BB6EA5" w:rsidP="000D7C39">
      <w:pPr>
        <w:spacing w:after="0"/>
        <w:ind w:left="720" w:hanging="720"/>
      </w:pPr>
      <w:r>
        <w:rPr>
          <w:i/>
          <w:iCs/>
        </w:rPr>
        <w:tab/>
      </w:r>
      <w:r w:rsidR="00D27874">
        <w:rPr>
          <w:i/>
          <w:iCs/>
        </w:rPr>
        <w:t>(</w:t>
      </w:r>
      <w:r w:rsidR="00D27874" w:rsidRPr="00483371">
        <w:rPr>
          <w:i/>
          <w:iCs/>
        </w:rPr>
        <w:t xml:space="preserve">7th </w:t>
      </w:r>
      <w:r w:rsidR="00A94F1B">
        <w:rPr>
          <w:i/>
          <w:iCs/>
        </w:rPr>
        <w:t>ed</w:t>
      </w:r>
      <w:r w:rsidR="00D27874">
        <w:rPr>
          <w:i/>
          <w:iCs/>
        </w:rPr>
        <w:t>)</w:t>
      </w:r>
      <w:r w:rsidR="00A94F1B">
        <w:t>.</w:t>
      </w:r>
      <w:r w:rsidR="00D27874">
        <w:t xml:space="preserve"> Lippincott Williams &amp; Wilkins, Philadelphia.</w:t>
      </w:r>
    </w:p>
    <w:p w14:paraId="4781C14B" w14:textId="792F1F29" w:rsidR="006A5378" w:rsidRPr="007B3371" w:rsidRDefault="006A5378" w:rsidP="000D7C39">
      <w:pPr>
        <w:spacing w:after="0"/>
        <w:ind w:left="720" w:hanging="720"/>
        <w:rPr>
          <w:rFonts w:eastAsia="Times New Roman" w:cs="Times New Roman"/>
          <w:i/>
          <w:iCs/>
          <w:szCs w:val="24"/>
          <w:lang w:eastAsia="en-GB"/>
        </w:rPr>
      </w:pPr>
      <w:r w:rsidRPr="00450428">
        <w:rPr>
          <w:rFonts w:eastAsia="Times New Roman" w:cs="Times New Roman"/>
          <w:szCs w:val="24"/>
          <w:lang w:eastAsia="en-GB"/>
        </w:rPr>
        <w:t xml:space="preserve">Pomeroy, R. S., &amp; Rivera-Guieb, R. (2005). </w:t>
      </w:r>
      <w:r w:rsidRPr="00450428">
        <w:rPr>
          <w:rFonts w:eastAsia="Times New Roman" w:cs="Times New Roman"/>
          <w:i/>
          <w:iCs/>
          <w:szCs w:val="24"/>
          <w:lang w:eastAsia="en-GB"/>
        </w:rPr>
        <w:t>Fishery co-management: a practical handbook</w:t>
      </w:r>
      <w:r w:rsidRPr="00450428">
        <w:rPr>
          <w:rFonts w:eastAsia="Times New Roman" w:cs="Times New Roman"/>
          <w:szCs w:val="24"/>
          <w:lang w:eastAsia="en-GB"/>
        </w:rPr>
        <w:t>. CABI.</w:t>
      </w:r>
    </w:p>
    <w:p w14:paraId="64DB2393" w14:textId="1FCB6B79" w:rsidR="004A670F" w:rsidRPr="00404A4E" w:rsidRDefault="004A670F" w:rsidP="000D7C39">
      <w:pPr>
        <w:spacing w:after="0"/>
        <w:ind w:left="720" w:hanging="720"/>
        <w:rPr>
          <w:rFonts w:eastAsia="Times New Roman" w:cs="Times New Roman"/>
          <w:szCs w:val="24"/>
          <w:lang w:eastAsia="en-GB"/>
        </w:rPr>
      </w:pPr>
      <w:r w:rsidRPr="00404A4E">
        <w:rPr>
          <w:rFonts w:eastAsia="Times New Roman" w:cs="Times New Roman"/>
          <w:szCs w:val="24"/>
          <w:lang w:eastAsia="en-GB"/>
        </w:rPr>
        <w:t xml:space="preserve">Pomeroy, R. S., &amp; Berkes, F. (1997). Two to tango: the role of government in fisheries co-management. </w:t>
      </w:r>
      <w:r w:rsidRPr="00404A4E">
        <w:rPr>
          <w:rFonts w:eastAsia="Times New Roman" w:cs="Times New Roman"/>
          <w:i/>
          <w:iCs/>
          <w:szCs w:val="24"/>
          <w:lang w:eastAsia="en-GB"/>
        </w:rPr>
        <w:t xml:space="preserve">Marine </w:t>
      </w:r>
      <w:r w:rsidR="00CB5AA6">
        <w:rPr>
          <w:rFonts w:eastAsia="Times New Roman" w:cs="Times New Roman"/>
          <w:i/>
          <w:iCs/>
          <w:szCs w:val="24"/>
          <w:lang w:eastAsia="en-GB"/>
        </w:rPr>
        <w:t>P</w:t>
      </w:r>
      <w:r w:rsidRPr="00404A4E">
        <w:rPr>
          <w:rFonts w:eastAsia="Times New Roman" w:cs="Times New Roman"/>
          <w:i/>
          <w:iCs/>
          <w:szCs w:val="24"/>
          <w:lang w:eastAsia="en-GB"/>
        </w:rPr>
        <w:t>olicy</w:t>
      </w:r>
      <w:r w:rsidRPr="00404A4E">
        <w:rPr>
          <w:rFonts w:eastAsia="Times New Roman" w:cs="Times New Roman"/>
          <w:szCs w:val="24"/>
          <w:lang w:eastAsia="en-GB"/>
        </w:rPr>
        <w:t xml:space="preserve">, </w:t>
      </w:r>
      <w:r w:rsidRPr="00404A4E">
        <w:rPr>
          <w:rFonts w:eastAsia="Times New Roman" w:cs="Times New Roman"/>
          <w:i/>
          <w:iCs/>
          <w:szCs w:val="24"/>
          <w:lang w:eastAsia="en-GB"/>
        </w:rPr>
        <w:t>21</w:t>
      </w:r>
      <w:r w:rsidRPr="00404A4E">
        <w:rPr>
          <w:rFonts w:eastAsia="Times New Roman" w:cs="Times New Roman"/>
          <w:szCs w:val="24"/>
          <w:lang w:eastAsia="en-GB"/>
        </w:rPr>
        <w:t>(5), 465-480.</w:t>
      </w:r>
    </w:p>
    <w:p w14:paraId="11AFFCB4" w14:textId="77777777" w:rsidR="00C37C7C" w:rsidRDefault="00C37C7C" w:rsidP="000D7C39">
      <w:pPr>
        <w:spacing w:after="0"/>
        <w:ind w:left="720" w:hanging="720"/>
        <w:rPr>
          <w:rFonts w:cs="Times New Roman"/>
          <w:szCs w:val="24"/>
        </w:rPr>
      </w:pPr>
      <w:r w:rsidRPr="00CF7673">
        <w:rPr>
          <w:rFonts w:cs="Times New Roman"/>
          <w:szCs w:val="24"/>
        </w:rPr>
        <w:t xml:space="preserve">Poore, D. (2003). </w:t>
      </w:r>
      <w:r w:rsidRPr="002504D7">
        <w:rPr>
          <w:rFonts w:cs="Times New Roman"/>
          <w:i/>
          <w:iCs/>
          <w:szCs w:val="24"/>
        </w:rPr>
        <w:t>Changing Landscapes. Earthscan</w:t>
      </w:r>
      <w:r w:rsidRPr="00CF7673">
        <w:rPr>
          <w:rFonts w:cs="Times New Roman"/>
          <w:szCs w:val="24"/>
        </w:rPr>
        <w:t xml:space="preserve">, ISBN 1-85383-991-4. </w:t>
      </w:r>
    </w:p>
    <w:p w14:paraId="450C1E3C" w14:textId="4C7BF759" w:rsidR="00741E63" w:rsidRPr="003F1DE3" w:rsidRDefault="00BB6EA5" w:rsidP="000D7C39">
      <w:pPr>
        <w:spacing w:after="0"/>
        <w:ind w:left="720" w:hanging="720"/>
        <w:rPr>
          <w:rFonts w:cs="Times New Roman"/>
          <w:szCs w:val="24"/>
        </w:rPr>
      </w:pPr>
      <w:r>
        <w:rPr>
          <w:rFonts w:cs="Times New Roman"/>
          <w:szCs w:val="24"/>
        </w:rPr>
        <w:tab/>
      </w:r>
      <w:r w:rsidR="00C37C7C" w:rsidRPr="00CF7673">
        <w:rPr>
          <w:rFonts w:cs="Times New Roman"/>
          <w:szCs w:val="24"/>
        </w:rPr>
        <w:t xml:space="preserve">London, UK. </w:t>
      </w:r>
    </w:p>
    <w:p w14:paraId="3412C363" w14:textId="77777777" w:rsidR="00853293" w:rsidRDefault="00853293" w:rsidP="000D7C39">
      <w:pPr>
        <w:spacing w:after="0"/>
        <w:ind w:left="720" w:hanging="720"/>
        <w:rPr>
          <w:rFonts w:cs="Times New Roman"/>
          <w:szCs w:val="24"/>
        </w:rPr>
      </w:pPr>
      <w:r w:rsidRPr="00CF7673">
        <w:rPr>
          <w:rFonts w:cs="Times New Roman"/>
          <w:szCs w:val="24"/>
        </w:rPr>
        <w:lastRenderedPageBreak/>
        <w:t>Prabhu, R.</w:t>
      </w:r>
      <w:r>
        <w:rPr>
          <w:rFonts w:cs="Times New Roman"/>
          <w:szCs w:val="24"/>
        </w:rPr>
        <w:t>,</w:t>
      </w:r>
      <w:r w:rsidRPr="00CF7673">
        <w:rPr>
          <w:rFonts w:cs="Times New Roman"/>
          <w:szCs w:val="24"/>
        </w:rPr>
        <w:t xml:space="preserve"> </w:t>
      </w:r>
      <w:proofErr w:type="spellStart"/>
      <w:r w:rsidRPr="00CF7673">
        <w:rPr>
          <w:rFonts w:cs="Times New Roman"/>
          <w:szCs w:val="24"/>
        </w:rPr>
        <w:t>Ruitenbeek</w:t>
      </w:r>
      <w:proofErr w:type="spellEnd"/>
      <w:r w:rsidRPr="00CF7673">
        <w:rPr>
          <w:rFonts w:cs="Times New Roman"/>
          <w:szCs w:val="24"/>
        </w:rPr>
        <w:t>, H.</w:t>
      </w:r>
      <w:r>
        <w:rPr>
          <w:rFonts w:cs="Times New Roman"/>
          <w:szCs w:val="24"/>
        </w:rPr>
        <w:t xml:space="preserve"> </w:t>
      </w:r>
      <w:r w:rsidRPr="00CF7673">
        <w:rPr>
          <w:rFonts w:cs="Times New Roman"/>
          <w:szCs w:val="24"/>
        </w:rPr>
        <w:t>J.</w:t>
      </w:r>
      <w:r>
        <w:rPr>
          <w:rFonts w:cs="Times New Roman"/>
          <w:szCs w:val="24"/>
        </w:rPr>
        <w:t>,</w:t>
      </w:r>
      <w:r w:rsidRPr="00CF7673">
        <w:rPr>
          <w:rFonts w:cs="Times New Roman"/>
          <w:szCs w:val="24"/>
        </w:rPr>
        <w:t xml:space="preserve"> Boyle, T.</w:t>
      </w:r>
      <w:r>
        <w:rPr>
          <w:rFonts w:cs="Times New Roman"/>
          <w:szCs w:val="24"/>
        </w:rPr>
        <w:t xml:space="preserve"> </w:t>
      </w:r>
      <w:r w:rsidRPr="00CF7673">
        <w:rPr>
          <w:rFonts w:cs="Times New Roman"/>
          <w:szCs w:val="24"/>
        </w:rPr>
        <w:t>J.</w:t>
      </w:r>
      <w:r>
        <w:rPr>
          <w:rFonts w:cs="Times New Roman"/>
          <w:szCs w:val="24"/>
        </w:rPr>
        <w:t xml:space="preserve"> </w:t>
      </w:r>
      <w:r w:rsidRPr="00CF7673">
        <w:rPr>
          <w:rFonts w:cs="Times New Roman"/>
          <w:szCs w:val="24"/>
        </w:rPr>
        <w:t>B. &amp; Colfer, C.</w:t>
      </w:r>
      <w:r>
        <w:rPr>
          <w:rFonts w:cs="Times New Roman"/>
          <w:szCs w:val="24"/>
        </w:rPr>
        <w:t xml:space="preserve"> </w:t>
      </w:r>
      <w:r w:rsidRPr="00CF7673">
        <w:rPr>
          <w:rFonts w:cs="Times New Roman"/>
          <w:szCs w:val="24"/>
        </w:rPr>
        <w:t>J.</w:t>
      </w:r>
      <w:r>
        <w:rPr>
          <w:rFonts w:cs="Times New Roman"/>
          <w:szCs w:val="24"/>
        </w:rPr>
        <w:t xml:space="preserve"> </w:t>
      </w:r>
      <w:r w:rsidRPr="00CF7673">
        <w:rPr>
          <w:rFonts w:cs="Times New Roman"/>
          <w:szCs w:val="24"/>
        </w:rPr>
        <w:t>P. (2001). Between voodoo science and adaptive management: the role and research needs for indicators of sustainable forest management. In: Criteria and Indicators of Sustainable Forest Management, R.J. Raison; A.G. Brown &amp; D.W. Flinn (Eds.), 39-66. IUFRO research series, Vol. 7. CABI Publishing, Oxford.</w:t>
      </w:r>
    </w:p>
    <w:p w14:paraId="70F97A6B" w14:textId="59E6B2EF" w:rsidR="00B84E5D" w:rsidRPr="007B3371" w:rsidRDefault="00B84E5D" w:rsidP="000D7C39">
      <w:pPr>
        <w:spacing w:after="0"/>
        <w:ind w:left="720" w:hanging="720"/>
        <w:rPr>
          <w:i/>
          <w:iCs/>
        </w:rPr>
      </w:pPr>
      <w:r>
        <w:t xml:space="preserve">Pratt, J. W., &amp; </w:t>
      </w:r>
      <w:proofErr w:type="spellStart"/>
      <w:r>
        <w:t>Zeckhauser</w:t>
      </w:r>
      <w:proofErr w:type="spellEnd"/>
      <w:r>
        <w:t xml:space="preserve">, R. eds (1991). </w:t>
      </w:r>
      <w:r w:rsidRPr="00CB5AA6">
        <w:rPr>
          <w:i/>
          <w:iCs/>
        </w:rPr>
        <w:t>Principles and agents: the structure of business</w:t>
      </w:r>
      <w:r>
        <w:t>. Harvard Business School Press.</w:t>
      </w:r>
    </w:p>
    <w:p w14:paraId="4EDE6CE1" w14:textId="77777777" w:rsidR="00D849C0" w:rsidRDefault="00D27874" w:rsidP="000D7C39">
      <w:pPr>
        <w:pStyle w:val="BodyText"/>
        <w:spacing w:after="0"/>
        <w:ind w:left="720" w:hanging="720"/>
        <w:rPr>
          <w:rFonts w:cs="Times New Roman"/>
          <w:i/>
          <w:iCs/>
          <w:szCs w:val="24"/>
        </w:rPr>
      </w:pPr>
      <w:r w:rsidRPr="00191A6B">
        <w:rPr>
          <w:rFonts w:cs="Times New Roman"/>
          <w:szCs w:val="24"/>
        </w:rPr>
        <w:t xml:space="preserve">Pretty, J. N. (1995). </w:t>
      </w:r>
      <w:r w:rsidRPr="00191A6B">
        <w:rPr>
          <w:rFonts w:cs="Times New Roman"/>
          <w:i/>
          <w:iCs/>
          <w:szCs w:val="24"/>
        </w:rPr>
        <w:t xml:space="preserve">Regenerating agriculture: policies and practice for </w:t>
      </w:r>
    </w:p>
    <w:p w14:paraId="4603CB41" w14:textId="77777777" w:rsidR="00D27874" w:rsidRDefault="00BB6EA5" w:rsidP="000D7C39">
      <w:pPr>
        <w:pStyle w:val="BodyText"/>
        <w:spacing w:after="0"/>
        <w:ind w:left="720" w:hanging="720"/>
        <w:rPr>
          <w:rFonts w:cs="Times New Roman"/>
          <w:szCs w:val="24"/>
        </w:rPr>
      </w:pPr>
      <w:r>
        <w:rPr>
          <w:rFonts w:cs="Times New Roman"/>
          <w:i/>
          <w:iCs/>
          <w:szCs w:val="24"/>
        </w:rPr>
        <w:tab/>
      </w:r>
      <w:r w:rsidR="00D27874" w:rsidRPr="00191A6B">
        <w:rPr>
          <w:rFonts w:cs="Times New Roman"/>
          <w:i/>
          <w:iCs/>
          <w:szCs w:val="24"/>
        </w:rPr>
        <w:t>sustainability and</w:t>
      </w:r>
      <w:r w:rsidR="00D27874">
        <w:rPr>
          <w:rFonts w:cs="Times New Roman"/>
          <w:i/>
          <w:iCs/>
          <w:szCs w:val="24"/>
        </w:rPr>
        <w:t xml:space="preserve"> </w:t>
      </w:r>
      <w:r w:rsidR="00D27874" w:rsidRPr="00191A6B">
        <w:rPr>
          <w:rFonts w:cs="Times New Roman"/>
          <w:i/>
          <w:iCs/>
          <w:szCs w:val="24"/>
        </w:rPr>
        <w:t>self-</w:t>
      </w:r>
      <w:r w:rsidR="00D27874">
        <w:rPr>
          <w:rFonts w:cs="Times New Roman"/>
          <w:i/>
          <w:iCs/>
          <w:szCs w:val="24"/>
        </w:rPr>
        <w:t>r</w:t>
      </w:r>
      <w:r w:rsidR="00D27874" w:rsidRPr="00191A6B">
        <w:rPr>
          <w:rFonts w:cs="Times New Roman"/>
          <w:i/>
          <w:iCs/>
          <w:szCs w:val="24"/>
        </w:rPr>
        <w:t>eliance</w:t>
      </w:r>
      <w:r w:rsidR="00D27874" w:rsidRPr="00191A6B">
        <w:rPr>
          <w:rFonts w:cs="Times New Roman"/>
          <w:szCs w:val="24"/>
        </w:rPr>
        <w:t>. Washington: National Academy Press</w:t>
      </w:r>
      <w:r w:rsidR="00D27874">
        <w:rPr>
          <w:rFonts w:cs="Times New Roman"/>
          <w:szCs w:val="24"/>
        </w:rPr>
        <w:t>.</w:t>
      </w:r>
    </w:p>
    <w:p w14:paraId="46886D2F" w14:textId="026B5A96" w:rsidR="00855155" w:rsidRPr="00855155" w:rsidRDefault="00855155" w:rsidP="000D7C39">
      <w:pPr>
        <w:spacing w:after="0"/>
        <w:ind w:left="720" w:hanging="720"/>
        <w:rPr>
          <w:rFonts w:eastAsia="Times New Roman" w:cs="Times New Roman"/>
          <w:szCs w:val="24"/>
          <w:lang w:eastAsia="en-GB"/>
        </w:rPr>
      </w:pPr>
      <w:proofErr w:type="spellStart"/>
      <w:r w:rsidRPr="00855155">
        <w:rPr>
          <w:rFonts w:eastAsia="Times New Roman" w:cs="Times New Roman"/>
          <w:szCs w:val="24"/>
          <w:lang w:eastAsia="en-GB"/>
        </w:rPr>
        <w:t>Puettmann</w:t>
      </w:r>
      <w:proofErr w:type="spellEnd"/>
      <w:r w:rsidRPr="00855155">
        <w:rPr>
          <w:rFonts w:eastAsia="Times New Roman" w:cs="Times New Roman"/>
          <w:szCs w:val="24"/>
          <w:lang w:eastAsia="en-GB"/>
        </w:rPr>
        <w:t xml:space="preserve">, K. J., Wilson, S. M., Baker, S. C., Donoso, P. J., </w:t>
      </w:r>
      <w:proofErr w:type="spellStart"/>
      <w:r w:rsidRPr="00855155">
        <w:rPr>
          <w:rFonts w:eastAsia="Times New Roman" w:cs="Times New Roman"/>
          <w:szCs w:val="24"/>
          <w:lang w:eastAsia="en-GB"/>
        </w:rPr>
        <w:t>Drössler</w:t>
      </w:r>
      <w:proofErr w:type="spellEnd"/>
      <w:r w:rsidRPr="00855155">
        <w:rPr>
          <w:rFonts w:eastAsia="Times New Roman" w:cs="Times New Roman"/>
          <w:szCs w:val="24"/>
          <w:lang w:eastAsia="en-GB"/>
        </w:rPr>
        <w:t xml:space="preserve">, L., Amente, G., ... &amp; </w:t>
      </w:r>
      <w:proofErr w:type="spellStart"/>
      <w:r w:rsidRPr="00855155">
        <w:rPr>
          <w:rFonts w:eastAsia="Times New Roman" w:cs="Times New Roman"/>
          <w:szCs w:val="24"/>
          <w:lang w:eastAsia="en-GB"/>
        </w:rPr>
        <w:t>Bauhus</w:t>
      </w:r>
      <w:proofErr w:type="spellEnd"/>
      <w:r w:rsidRPr="00855155">
        <w:rPr>
          <w:rFonts w:eastAsia="Times New Roman" w:cs="Times New Roman"/>
          <w:szCs w:val="24"/>
          <w:lang w:eastAsia="en-GB"/>
        </w:rPr>
        <w:t xml:space="preserve">, J. (2015). Silvicultural alternatives to conventional even-aged forest management-what limits global </w:t>
      </w:r>
      <w:proofErr w:type="gramStart"/>
      <w:r w:rsidRPr="00855155">
        <w:rPr>
          <w:rFonts w:eastAsia="Times New Roman" w:cs="Times New Roman"/>
          <w:szCs w:val="24"/>
          <w:lang w:eastAsia="en-GB"/>
        </w:rPr>
        <w:t>adoption?.</w:t>
      </w:r>
      <w:proofErr w:type="gramEnd"/>
      <w:r w:rsidRPr="00855155">
        <w:rPr>
          <w:rFonts w:eastAsia="Times New Roman" w:cs="Times New Roman"/>
          <w:szCs w:val="24"/>
          <w:lang w:eastAsia="en-GB"/>
        </w:rPr>
        <w:t xml:space="preserve"> </w:t>
      </w:r>
      <w:r w:rsidRPr="00855155">
        <w:rPr>
          <w:rFonts w:eastAsia="Times New Roman" w:cs="Times New Roman"/>
          <w:i/>
          <w:iCs/>
          <w:szCs w:val="24"/>
          <w:lang w:eastAsia="en-GB"/>
        </w:rPr>
        <w:t>Forest Ecosystems</w:t>
      </w:r>
      <w:r w:rsidRPr="00855155">
        <w:rPr>
          <w:rFonts w:eastAsia="Times New Roman" w:cs="Times New Roman"/>
          <w:szCs w:val="24"/>
          <w:lang w:eastAsia="en-GB"/>
        </w:rPr>
        <w:t xml:space="preserve">, </w:t>
      </w:r>
      <w:r w:rsidRPr="00855155">
        <w:rPr>
          <w:rFonts w:eastAsia="Times New Roman" w:cs="Times New Roman"/>
          <w:i/>
          <w:iCs/>
          <w:szCs w:val="24"/>
          <w:lang w:eastAsia="en-GB"/>
        </w:rPr>
        <w:t>2</w:t>
      </w:r>
      <w:r w:rsidRPr="00855155">
        <w:rPr>
          <w:rFonts w:eastAsia="Times New Roman" w:cs="Times New Roman"/>
          <w:szCs w:val="24"/>
          <w:lang w:eastAsia="en-GB"/>
        </w:rPr>
        <w:t>, 1-16.</w:t>
      </w:r>
    </w:p>
    <w:p w14:paraId="221ABB9C" w14:textId="54E3CFAF" w:rsidR="0081629E" w:rsidRDefault="00833166" w:rsidP="00524689">
      <w:pPr>
        <w:spacing w:after="0"/>
        <w:ind w:left="720" w:hanging="720"/>
      </w:pPr>
      <w:r>
        <w:t xml:space="preserve">Purnomo, Y. W., Aziz, T. A., </w:t>
      </w:r>
      <w:proofErr w:type="spellStart"/>
      <w:r>
        <w:t>Pramudiani</w:t>
      </w:r>
      <w:proofErr w:type="spellEnd"/>
      <w:r>
        <w:t>,</w:t>
      </w:r>
      <w:r w:rsidR="007B3371">
        <w:t xml:space="preserve"> P., Darwis, S., &amp; </w:t>
      </w:r>
      <w:proofErr w:type="spellStart"/>
      <w:r w:rsidR="007B3371">
        <w:t>Suryadi</w:t>
      </w:r>
      <w:proofErr w:type="spellEnd"/>
      <w:r w:rsidR="007B3371">
        <w:t xml:space="preserve">, D. </w:t>
      </w:r>
      <w:r>
        <w:t xml:space="preserve">(2018). Potential characteristics that relate to </w:t>
      </w:r>
      <w:proofErr w:type="gramStart"/>
      <w:r>
        <w:t>teachers</w:t>
      </w:r>
      <w:proofErr w:type="gramEnd"/>
      <w:r>
        <w:t xml:space="preserve"> mathematics-related beliefs. </w:t>
      </w:r>
      <w:r w:rsidRPr="00CB5AA6">
        <w:rPr>
          <w:i/>
          <w:iCs/>
        </w:rPr>
        <w:t>Journal of Physics: Conference Series</w:t>
      </w:r>
      <w:r w:rsidR="00524689">
        <w:t>, 948(1), 1-8.</w:t>
      </w:r>
    </w:p>
    <w:p w14:paraId="5D20F73B" w14:textId="325CA1E2" w:rsidR="00F9704C" w:rsidRDefault="00F9704C" w:rsidP="000D7C39">
      <w:pPr>
        <w:spacing w:after="0"/>
        <w:ind w:left="720" w:hanging="720"/>
      </w:pPr>
      <w:proofErr w:type="spellStart"/>
      <w:r>
        <w:t>Quesblatin</w:t>
      </w:r>
      <w:proofErr w:type="spellEnd"/>
      <w:r>
        <w:t>, E.</w:t>
      </w:r>
      <w:r w:rsidR="00CB5AA6">
        <w:t xml:space="preserve"> </w:t>
      </w:r>
      <w:r>
        <w:t>E. (1994)</w:t>
      </w:r>
      <w:r w:rsidR="00CB5AA6">
        <w:t>.</w:t>
      </w:r>
      <w:r>
        <w:t xml:space="preserve"> The Philippines: the roles of networks in su</w:t>
      </w:r>
      <w:r w:rsidR="007B3371">
        <w:t xml:space="preserve">staining </w:t>
      </w:r>
      <w:r>
        <w:t xml:space="preserve">advances in community forestry initiatives’, paper presented to the International Conference on </w:t>
      </w:r>
      <w:r>
        <w:rPr>
          <w:i/>
          <w:iCs/>
        </w:rPr>
        <w:t>The Role of Networks in Nature Conservation</w:t>
      </w:r>
      <w:r>
        <w:t>, CSIRO, May 15–20, Geraldton, Australia.</w:t>
      </w:r>
    </w:p>
    <w:p w14:paraId="043E34A2" w14:textId="72E8ACE4" w:rsidR="009D0068" w:rsidRPr="007B3371" w:rsidRDefault="009D0068" w:rsidP="000D7C39">
      <w:pPr>
        <w:spacing w:after="0"/>
        <w:ind w:left="720" w:hanging="720"/>
        <w:rPr>
          <w:rFonts w:eastAsia="Times New Roman" w:cs="Times New Roman"/>
          <w:i/>
          <w:iCs/>
          <w:szCs w:val="24"/>
          <w:lang w:eastAsia="en-GB"/>
        </w:rPr>
      </w:pPr>
      <w:proofErr w:type="spellStart"/>
      <w:r w:rsidRPr="00A17D73">
        <w:rPr>
          <w:rFonts w:eastAsia="Times New Roman" w:cs="Times New Roman"/>
          <w:szCs w:val="24"/>
          <w:lang w:val="fr-FR" w:eastAsia="en-GB"/>
        </w:rPr>
        <w:t>Rabé</w:t>
      </w:r>
      <w:proofErr w:type="spellEnd"/>
      <w:r w:rsidRPr="00A17D73">
        <w:rPr>
          <w:rFonts w:eastAsia="Times New Roman" w:cs="Times New Roman"/>
          <w:szCs w:val="24"/>
          <w:lang w:val="fr-FR" w:eastAsia="en-GB"/>
        </w:rPr>
        <w:t xml:space="preserve">, P., &amp; </w:t>
      </w:r>
      <w:proofErr w:type="spellStart"/>
      <w:r w:rsidRPr="00A17D73">
        <w:rPr>
          <w:rFonts w:eastAsia="Times New Roman" w:cs="Times New Roman"/>
          <w:szCs w:val="24"/>
          <w:lang w:val="fr-FR" w:eastAsia="en-GB"/>
        </w:rPr>
        <w:t>Kamanzi</w:t>
      </w:r>
      <w:proofErr w:type="spellEnd"/>
      <w:r w:rsidRPr="00A17D73">
        <w:rPr>
          <w:rFonts w:eastAsia="Times New Roman" w:cs="Times New Roman"/>
          <w:szCs w:val="24"/>
          <w:lang w:val="fr-FR" w:eastAsia="en-GB"/>
        </w:rPr>
        <w:t xml:space="preserve">, A. F. (2012). </w:t>
      </w:r>
      <w:r w:rsidRPr="00E02AA6">
        <w:rPr>
          <w:rFonts w:eastAsia="Times New Roman" w:cs="Times New Roman"/>
          <w:i/>
          <w:iCs/>
          <w:szCs w:val="24"/>
          <w:lang w:eastAsia="en-GB"/>
        </w:rPr>
        <w:t>Power analysis: A study of par</w:t>
      </w:r>
      <w:r w:rsidR="007B3371">
        <w:rPr>
          <w:rFonts w:eastAsia="Times New Roman" w:cs="Times New Roman"/>
          <w:i/>
          <w:iCs/>
          <w:szCs w:val="24"/>
          <w:lang w:eastAsia="en-GB"/>
        </w:rPr>
        <w:t xml:space="preserve">ticipation at </w:t>
      </w:r>
      <w:r w:rsidRPr="00E02AA6">
        <w:rPr>
          <w:rFonts w:eastAsia="Times New Roman" w:cs="Times New Roman"/>
          <w:i/>
          <w:iCs/>
          <w:szCs w:val="24"/>
          <w:lang w:eastAsia="en-GB"/>
        </w:rPr>
        <w:t>the local level in Tanzania</w:t>
      </w:r>
      <w:r w:rsidRPr="009D0068">
        <w:rPr>
          <w:rFonts w:eastAsia="Times New Roman" w:cs="Times New Roman"/>
          <w:szCs w:val="24"/>
          <w:lang w:eastAsia="en-GB"/>
        </w:rPr>
        <w:t>.</w:t>
      </w:r>
      <w:r w:rsidR="00E02AA6">
        <w:rPr>
          <w:rFonts w:eastAsia="Times New Roman" w:cs="Times New Roman"/>
          <w:szCs w:val="24"/>
          <w:lang w:eastAsia="en-GB"/>
        </w:rPr>
        <w:t xml:space="preserve"> </w:t>
      </w:r>
      <w:r w:rsidR="00E02AA6" w:rsidRPr="00E02AA6">
        <w:rPr>
          <w:rFonts w:eastAsia="Times New Roman" w:cs="Times New Roman"/>
          <w:szCs w:val="24"/>
          <w:lang w:eastAsia="en-GB"/>
        </w:rPr>
        <w:t>African Studies Centre</w:t>
      </w:r>
      <w:r w:rsidR="00E02AA6">
        <w:rPr>
          <w:rFonts w:eastAsia="Times New Roman" w:cs="Times New Roman"/>
          <w:szCs w:val="24"/>
          <w:lang w:eastAsia="en-GB"/>
        </w:rPr>
        <w:t xml:space="preserve">, </w:t>
      </w:r>
      <w:r w:rsidR="00E02AA6" w:rsidRPr="00E02AA6">
        <w:rPr>
          <w:rFonts w:eastAsia="Times New Roman" w:cs="Times New Roman"/>
          <w:szCs w:val="24"/>
          <w:lang w:eastAsia="en-GB"/>
        </w:rPr>
        <w:t>Netherlands</w:t>
      </w:r>
      <w:r w:rsidR="00E02AA6">
        <w:rPr>
          <w:rFonts w:eastAsia="Times New Roman" w:cs="Times New Roman"/>
          <w:szCs w:val="24"/>
          <w:lang w:eastAsia="en-GB"/>
        </w:rPr>
        <w:t>.</w:t>
      </w:r>
    </w:p>
    <w:p w14:paraId="7C7349AE" w14:textId="77777777" w:rsidR="00456262" w:rsidRDefault="00456262" w:rsidP="000D7C39">
      <w:pPr>
        <w:spacing w:after="0"/>
        <w:ind w:left="720" w:hanging="720"/>
      </w:pPr>
    </w:p>
    <w:p w14:paraId="109DDFD8" w14:textId="77777777" w:rsidR="00456262" w:rsidRDefault="00456262" w:rsidP="000D7C39">
      <w:pPr>
        <w:spacing w:after="0"/>
        <w:ind w:left="720" w:hanging="720"/>
      </w:pPr>
    </w:p>
    <w:p w14:paraId="1A995C73" w14:textId="6DDE9F9B" w:rsidR="00D849C0" w:rsidRDefault="00D27874" w:rsidP="000D7C39">
      <w:pPr>
        <w:spacing w:after="0"/>
        <w:ind w:left="720" w:hanging="720"/>
      </w:pPr>
      <w:r>
        <w:lastRenderedPageBreak/>
        <w:t xml:space="preserve">Raeisi, A., </w:t>
      </w:r>
      <w:proofErr w:type="spellStart"/>
      <w:r>
        <w:t>Bijani</w:t>
      </w:r>
      <w:proofErr w:type="spellEnd"/>
      <w:r>
        <w:t xml:space="preserve">, M., &amp; </w:t>
      </w:r>
      <w:proofErr w:type="spellStart"/>
      <w:r>
        <w:t>Chizari</w:t>
      </w:r>
      <w:proofErr w:type="spellEnd"/>
      <w:r>
        <w:t xml:space="preserve">, M. (2018). The mediating role of </w:t>
      </w:r>
    </w:p>
    <w:p w14:paraId="087C6778" w14:textId="77777777" w:rsidR="00D27874" w:rsidRDefault="00BB6EA5" w:rsidP="000D7C39">
      <w:pPr>
        <w:spacing w:after="0"/>
        <w:ind w:left="720" w:hanging="720"/>
      </w:pPr>
      <w:r>
        <w:tab/>
      </w:r>
      <w:r w:rsidR="00D27874">
        <w:t xml:space="preserve">environmental emotions in transition from knowledge to sustainable use of groundwater resources in Iran's agriculture. </w:t>
      </w:r>
      <w:r w:rsidR="00D27874" w:rsidRPr="00585023">
        <w:rPr>
          <w:i/>
          <w:iCs/>
        </w:rPr>
        <w:t xml:space="preserve">Int Soil Water </w:t>
      </w:r>
      <w:proofErr w:type="spellStart"/>
      <w:r w:rsidR="00D27874" w:rsidRPr="00585023">
        <w:rPr>
          <w:i/>
          <w:iCs/>
        </w:rPr>
        <w:t>Conserv</w:t>
      </w:r>
      <w:proofErr w:type="spellEnd"/>
      <w:r w:rsidR="00D27874" w:rsidRPr="00585023">
        <w:rPr>
          <w:i/>
          <w:iCs/>
        </w:rPr>
        <w:t xml:space="preserve"> Res</w:t>
      </w:r>
      <w:r w:rsidR="00D27874">
        <w:t>, 6(2), 143–152.</w:t>
      </w:r>
    </w:p>
    <w:p w14:paraId="602B9C16" w14:textId="0240B321" w:rsidR="00D27874" w:rsidRPr="00A21180" w:rsidRDefault="00D27874" w:rsidP="000D7C39">
      <w:pPr>
        <w:spacing w:after="0"/>
        <w:ind w:left="720" w:hanging="720"/>
        <w:rPr>
          <w:rFonts w:eastAsia="Times New Roman" w:cs="Times New Roman"/>
          <w:szCs w:val="24"/>
          <w:lang w:eastAsia="en-GB"/>
        </w:rPr>
      </w:pPr>
      <w:bookmarkStart w:id="521" w:name="_Hlk165537537"/>
      <w:r w:rsidRPr="00A21180">
        <w:rPr>
          <w:rFonts w:eastAsia="Times New Roman" w:cs="Times New Roman"/>
          <w:szCs w:val="24"/>
          <w:lang w:eastAsia="en-GB"/>
        </w:rPr>
        <w:t>Ranjit</w:t>
      </w:r>
      <w:r>
        <w:rPr>
          <w:rFonts w:eastAsia="Times New Roman" w:cs="Times New Roman"/>
          <w:szCs w:val="24"/>
          <w:lang w:eastAsia="en-GB"/>
        </w:rPr>
        <w:t>,</w:t>
      </w:r>
      <w:r w:rsidRPr="00A21180">
        <w:rPr>
          <w:rFonts w:eastAsia="Times New Roman" w:cs="Times New Roman"/>
          <w:szCs w:val="24"/>
          <w:lang w:eastAsia="en-GB"/>
        </w:rPr>
        <w:t xml:space="preserve"> Y</w:t>
      </w:r>
      <w:r>
        <w:rPr>
          <w:rFonts w:eastAsia="Times New Roman" w:cs="Times New Roman"/>
          <w:szCs w:val="24"/>
          <w:lang w:eastAsia="en-GB"/>
        </w:rPr>
        <w:t>.</w:t>
      </w:r>
      <w:r w:rsidRPr="00A21180">
        <w:rPr>
          <w:rFonts w:eastAsia="Times New Roman" w:cs="Times New Roman"/>
          <w:szCs w:val="24"/>
          <w:lang w:eastAsia="en-GB"/>
        </w:rPr>
        <w:t xml:space="preserve"> (2014) Determinants of people’s participation in forest protection and management: a study in Kaski Nepal. </w:t>
      </w:r>
      <w:r w:rsidRPr="00AD4F30">
        <w:rPr>
          <w:rFonts w:eastAsia="Times New Roman" w:cs="Times New Roman"/>
          <w:i/>
          <w:iCs/>
          <w:szCs w:val="24"/>
          <w:lang w:eastAsia="en-GB"/>
        </w:rPr>
        <w:t>Econ J Develop</w:t>
      </w:r>
      <w:r>
        <w:rPr>
          <w:rFonts w:eastAsia="Times New Roman" w:cs="Times New Roman"/>
          <w:i/>
          <w:iCs/>
          <w:szCs w:val="24"/>
          <w:lang w:eastAsia="en-GB"/>
        </w:rPr>
        <w:t>,</w:t>
      </w:r>
      <w:r w:rsidRPr="00A21180">
        <w:rPr>
          <w:rFonts w:eastAsia="Times New Roman" w:cs="Times New Roman"/>
          <w:szCs w:val="24"/>
          <w:lang w:eastAsia="en-GB"/>
        </w:rPr>
        <w:t xml:space="preserve"> 17 and 18(1–2):175–186</w:t>
      </w:r>
    </w:p>
    <w:bookmarkEnd w:id="521"/>
    <w:p w14:paraId="040FDCED" w14:textId="77777777" w:rsidR="00D849C0" w:rsidRDefault="00D27874" w:rsidP="000D7C39">
      <w:pPr>
        <w:pStyle w:val="BodyText"/>
        <w:spacing w:after="0"/>
        <w:ind w:left="720" w:hanging="720"/>
        <w:rPr>
          <w:rFonts w:cs="Times New Roman"/>
          <w:szCs w:val="24"/>
        </w:rPr>
      </w:pPr>
      <w:r w:rsidRPr="00191A6B">
        <w:rPr>
          <w:rFonts w:cs="Times New Roman"/>
          <w:szCs w:val="24"/>
        </w:rPr>
        <w:t>Rantala, S., &amp; German L. A. (2013</w:t>
      </w:r>
      <w:r w:rsidRPr="00191A6B">
        <w:rPr>
          <w:rFonts w:cs="Times New Roman"/>
          <w:i/>
          <w:iCs/>
          <w:szCs w:val="24"/>
        </w:rPr>
        <w:t xml:space="preserve">). </w:t>
      </w:r>
      <w:r w:rsidRPr="00F110C6">
        <w:rPr>
          <w:rFonts w:cs="Times New Roman"/>
          <w:szCs w:val="24"/>
        </w:rPr>
        <w:t xml:space="preserve">Exploring village governance processes </w:t>
      </w:r>
    </w:p>
    <w:p w14:paraId="6F9B16E8" w14:textId="6AA2951B" w:rsidR="00D27874" w:rsidRDefault="00BB6EA5" w:rsidP="000D7C39">
      <w:pPr>
        <w:pStyle w:val="BodyText"/>
        <w:spacing w:after="0"/>
        <w:ind w:left="720" w:hanging="720"/>
        <w:rPr>
          <w:rFonts w:cs="Times New Roman"/>
          <w:szCs w:val="24"/>
        </w:rPr>
      </w:pPr>
      <w:r>
        <w:rPr>
          <w:rFonts w:cs="Times New Roman"/>
          <w:szCs w:val="24"/>
        </w:rPr>
        <w:tab/>
      </w:r>
      <w:r w:rsidR="00D27874" w:rsidRPr="00F110C6">
        <w:rPr>
          <w:rFonts w:cs="Times New Roman"/>
          <w:szCs w:val="24"/>
        </w:rPr>
        <w:t xml:space="preserve">behind community-based forest management: legitimacy and coercion in the </w:t>
      </w:r>
      <w:proofErr w:type="spellStart"/>
      <w:r w:rsidR="00D27874" w:rsidRPr="00F110C6">
        <w:rPr>
          <w:rFonts w:cs="Times New Roman"/>
          <w:szCs w:val="24"/>
        </w:rPr>
        <w:t>Usambara</w:t>
      </w:r>
      <w:proofErr w:type="spellEnd"/>
      <w:r w:rsidR="00D27874" w:rsidRPr="00F110C6">
        <w:rPr>
          <w:rFonts w:cs="Times New Roman"/>
          <w:szCs w:val="24"/>
        </w:rPr>
        <w:t xml:space="preserve"> Mountains of Tanzania. </w:t>
      </w:r>
      <w:r w:rsidR="00D27874" w:rsidRPr="00F110C6">
        <w:rPr>
          <w:rFonts w:cs="Times New Roman"/>
          <w:i/>
          <w:iCs/>
          <w:szCs w:val="24"/>
        </w:rPr>
        <w:t>The International Forestry Review</w:t>
      </w:r>
      <w:r w:rsidR="00D27874" w:rsidRPr="00191A6B">
        <w:rPr>
          <w:rFonts w:cs="Times New Roman"/>
          <w:szCs w:val="24"/>
        </w:rPr>
        <w:t>,</w:t>
      </w:r>
      <w:r w:rsidR="00D27874">
        <w:rPr>
          <w:rFonts w:cs="Times New Roman"/>
          <w:szCs w:val="24"/>
        </w:rPr>
        <w:t xml:space="preserve"> </w:t>
      </w:r>
      <w:r w:rsidR="00D27874" w:rsidRPr="00191A6B">
        <w:rPr>
          <w:rFonts w:cs="Times New Roman"/>
          <w:szCs w:val="24"/>
        </w:rPr>
        <w:t>15</w:t>
      </w:r>
      <w:r w:rsidR="00D27874">
        <w:rPr>
          <w:rFonts w:cs="Times New Roman"/>
          <w:szCs w:val="24"/>
        </w:rPr>
        <w:t>(</w:t>
      </w:r>
      <w:r w:rsidR="00D27874" w:rsidRPr="00191A6B">
        <w:rPr>
          <w:rFonts w:cs="Times New Roman"/>
          <w:szCs w:val="24"/>
        </w:rPr>
        <w:t>3</w:t>
      </w:r>
      <w:r w:rsidR="00D27874">
        <w:rPr>
          <w:rFonts w:cs="Times New Roman"/>
          <w:szCs w:val="24"/>
        </w:rPr>
        <w:t>),</w:t>
      </w:r>
      <w:r w:rsidR="00D27874" w:rsidRPr="00191A6B">
        <w:rPr>
          <w:rFonts w:cs="Times New Roman"/>
          <w:szCs w:val="24"/>
        </w:rPr>
        <w:t xml:space="preserve"> 355-367</w:t>
      </w:r>
      <w:r w:rsidR="00E54837">
        <w:rPr>
          <w:rFonts w:cs="Times New Roman"/>
          <w:szCs w:val="24"/>
        </w:rPr>
        <w:t>.</w:t>
      </w:r>
    </w:p>
    <w:p w14:paraId="7269FF8B" w14:textId="633D9C47" w:rsidR="00A7438D" w:rsidRPr="00A7438D" w:rsidRDefault="00A7438D" w:rsidP="000D7C39">
      <w:pPr>
        <w:spacing w:after="0"/>
        <w:ind w:left="720" w:hanging="720"/>
        <w:rPr>
          <w:rFonts w:eastAsia="Times New Roman" w:cs="Times New Roman"/>
          <w:szCs w:val="24"/>
          <w:lang w:eastAsia="en-GB"/>
        </w:rPr>
      </w:pPr>
      <w:r w:rsidRPr="00A7438D">
        <w:rPr>
          <w:rFonts w:eastAsia="Times New Roman" w:cs="Times New Roman"/>
          <w:szCs w:val="24"/>
          <w:lang w:eastAsia="en-GB"/>
        </w:rPr>
        <w:t xml:space="preserve">Ratner, B. D., Burnley, C., Mugisha, S., </w:t>
      </w:r>
      <w:proofErr w:type="spellStart"/>
      <w:r w:rsidRPr="00A7438D">
        <w:rPr>
          <w:rFonts w:eastAsia="Times New Roman" w:cs="Times New Roman"/>
          <w:szCs w:val="24"/>
          <w:lang w:eastAsia="en-GB"/>
        </w:rPr>
        <w:t>Madzudzo</w:t>
      </w:r>
      <w:proofErr w:type="spellEnd"/>
      <w:r w:rsidRPr="00A7438D">
        <w:rPr>
          <w:rFonts w:eastAsia="Times New Roman" w:cs="Times New Roman"/>
          <w:szCs w:val="24"/>
          <w:lang w:eastAsia="en-GB"/>
        </w:rPr>
        <w:t xml:space="preserve">, E., Oeur, I., Mam, K., ... &amp; </w:t>
      </w:r>
      <w:proofErr w:type="spellStart"/>
      <w:r w:rsidRPr="00A7438D">
        <w:rPr>
          <w:rFonts w:eastAsia="Times New Roman" w:cs="Times New Roman"/>
          <w:szCs w:val="24"/>
          <w:lang w:eastAsia="en-GB"/>
        </w:rPr>
        <w:t>Adriázola</w:t>
      </w:r>
      <w:proofErr w:type="spellEnd"/>
      <w:r w:rsidRPr="00A7438D">
        <w:rPr>
          <w:rFonts w:eastAsia="Times New Roman" w:cs="Times New Roman"/>
          <w:szCs w:val="24"/>
          <w:lang w:eastAsia="en-GB"/>
        </w:rPr>
        <w:t xml:space="preserve">, P. (2017). Facilitating multistakeholder dialogue to manage natural resource competition: a synthesis of lessons from Uganda, Zambia, and Cambodia. </w:t>
      </w:r>
      <w:r w:rsidRPr="00A7438D">
        <w:rPr>
          <w:rFonts w:eastAsia="Times New Roman" w:cs="Times New Roman"/>
          <w:i/>
          <w:iCs/>
          <w:szCs w:val="24"/>
          <w:lang w:eastAsia="en-GB"/>
        </w:rPr>
        <w:t>International Journal of the Commons</w:t>
      </w:r>
      <w:r w:rsidRPr="00A7438D">
        <w:rPr>
          <w:rFonts w:eastAsia="Times New Roman" w:cs="Times New Roman"/>
          <w:szCs w:val="24"/>
          <w:lang w:eastAsia="en-GB"/>
        </w:rPr>
        <w:t xml:space="preserve">, </w:t>
      </w:r>
      <w:r w:rsidRPr="00A7438D">
        <w:rPr>
          <w:rFonts w:eastAsia="Times New Roman" w:cs="Times New Roman"/>
          <w:i/>
          <w:iCs/>
          <w:szCs w:val="24"/>
          <w:lang w:eastAsia="en-GB"/>
        </w:rPr>
        <w:t>11</w:t>
      </w:r>
      <w:r w:rsidRPr="00A7438D">
        <w:rPr>
          <w:rFonts w:eastAsia="Times New Roman" w:cs="Times New Roman"/>
          <w:szCs w:val="24"/>
          <w:lang w:eastAsia="en-GB"/>
        </w:rPr>
        <w:t>(2), 733-753.</w:t>
      </w:r>
    </w:p>
    <w:p w14:paraId="08BE6BAD" w14:textId="77777777" w:rsidR="001E3E97" w:rsidRDefault="001E3E97" w:rsidP="000D7C39">
      <w:pPr>
        <w:spacing w:after="0"/>
        <w:ind w:left="720" w:hanging="720"/>
      </w:pPr>
      <w:r>
        <w:t>Redmond, M. V. (2015). Social exchange theory.</w:t>
      </w:r>
    </w:p>
    <w:p w14:paraId="40CAB313" w14:textId="77777777" w:rsidR="00D27874" w:rsidRPr="003C0EB6" w:rsidRDefault="00D27874" w:rsidP="000D7C39">
      <w:pPr>
        <w:pStyle w:val="BodyText"/>
        <w:spacing w:after="0"/>
        <w:ind w:left="720" w:hanging="720"/>
        <w:rPr>
          <w:rFonts w:cs="Times New Roman"/>
          <w:szCs w:val="24"/>
        </w:rPr>
      </w:pPr>
      <w:r w:rsidRPr="003C0EB6">
        <w:rPr>
          <w:rFonts w:cs="Times New Roman"/>
          <w:szCs w:val="24"/>
        </w:rPr>
        <w:t xml:space="preserve">Reed, M. S. (2008). Stakeholder Participation for Environmental Management: A Literature Review. </w:t>
      </w:r>
      <w:r w:rsidRPr="003C0EB6">
        <w:rPr>
          <w:rFonts w:cs="Times New Roman"/>
          <w:i/>
          <w:iCs/>
          <w:szCs w:val="24"/>
        </w:rPr>
        <w:t>Biological Conservation</w:t>
      </w:r>
      <w:r w:rsidRPr="003C0EB6">
        <w:rPr>
          <w:rFonts w:cs="Times New Roman"/>
          <w:szCs w:val="24"/>
        </w:rPr>
        <w:t>, 141, 2417-2431.</w:t>
      </w:r>
    </w:p>
    <w:p w14:paraId="6B408797" w14:textId="4DA1322C" w:rsidR="003C0EB6" w:rsidRPr="007B3371" w:rsidRDefault="003C0EB6" w:rsidP="000D7C39">
      <w:pPr>
        <w:spacing w:after="0"/>
        <w:ind w:left="720" w:hanging="720"/>
        <w:rPr>
          <w:rFonts w:eastAsia="Times New Roman" w:cs="Times New Roman"/>
          <w:i/>
          <w:iCs/>
          <w:szCs w:val="24"/>
          <w:lang w:eastAsia="en-GB"/>
        </w:rPr>
      </w:pPr>
      <w:r w:rsidRPr="003C0EB6">
        <w:rPr>
          <w:rFonts w:eastAsia="Times New Roman" w:cs="Times New Roman"/>
          <w:szCs w:val="24"/>
          <w:lang w:eastAsia="en-GB"/>
        </w:rPr>
        <w:t>Reed, B. (2007). Shifting from ‘</w:t>
      </w:r>
      <w:proofErr w:type="spellStart"/>
      <w:r w:rsidRPr="003C0EB6">
        <w:rPr>
          <w:rFonts w:eastAsia="Times New Roman" w:cs="Times New Roman"/>
          <w:szCs w:val="24"/>
          <w:lang w:eastAsia="en-GB"/>
        </w:rPr>
        <w:t>sustainability’to</w:t>
      </w:r>
      <w:proofErr w:type="spellEnd"/>
      <w:r w:rsidRPr="003C0EB6">
        <w:rPr>
          <w:rFonts w:eastAsia="Times New Roman" w:cs="Times New Roman"/>
          <w:szCs w:val="24"/>
          <w:lang w:eastAsia="en-GB"/>
        </w:rPr>
        <w:t xml:space="preserve"> regeneration. </w:t>
      </w:r>
      <w:r w:rsidRPr="003C0EB6">
        <w:rPr>
          <w:rFonts w:eastAsia="Times New Roman" w:cs="Times New Roman"/>
          <w:i/>
          <w:iCs/>
          <w:szCs w:val="24"/>
          <w:lang w:eastAsia="en-GB"/>
        </w:rPr>
        <w:t>Building Research &amp; Information</w:t>
      </w:r>
      <w:r w:rsidRPr="003C0EB6">
        <w:rPr>
          <w:rFonts w:eastAsia="Times New Roman" w:cs="Times New Roman"/>
          <w:szCs w:val="24"/>
          <w:lang w:eastAsia="en-GB"/>
        </w:rPr>
        <w:t xml:space="preserve">, </w:t>
      </w:r>
      <w:r w:rsidRPr="003C0EB6">
        <w:rPr>
          <w:rFonts w:eastAsia="Times New Roman" w:cs="Times New Roman"/>
          <w:i/>
          <w:iCs/>
          <w:szCs w:val="24"/>
          <w:lang w:eastAsia="en-GB"/>
        </w:rPr>
        <w:t>35</w:t>
      </w:r>
      <w:r w:rsidRPr="003C0EB6">
        <w:rPr>
          <w:rFonts w:eastAsia="Times New Roman" w:cs="Times New Roman"/>
          <w:szCs w:val="24"/>
          <w:lang w:eastAsia="en-GB"/>
        </w:rPr>
        <w:t>(6), 674-680.</w:t>
      </w:r>
    </w:p>
    <w:p w14:paraId="31119FAD" w14:textId="1A53FE9B" w:rsidR="00D454F6" w:rsidRDefault="00D454F6" w:rsidP="000D7C39">
      <w:pPr>
        <w:spacing w:after="0"/>
        <w:ind w:left="720" w:hanging="720"/>
        <w:rPr>
          <w:rFonts w:cs="Times New Roman"/>
        </w:rPr>
      </w:pPr>
      <w:bookmarkStart w:id="522" w:name="_Hlk195388356"/>
      <w:r w:rsidRPr="00711E39">
        <w:rPr>
          <w:rFonts w:cs="Times New Roman"/>
        </w:rPr>
        <w:t>Revised Guidelines for Social Responsibility Agreement</w:t>
      </w:r>
      <w:r w:rsidR="007B3371">
        <w:rPr>
          <w:rFonts w:cs="Times New Roman"/>
        </w:rPr>
        <w:t xml:space="preserve"> (2016). </w:t>
      </w:r>
      <w:hyperlink r:id="rId49" w:history="1">
        <w:r w:rsidR="00A756B0" w:rsidRPr="00EA33C9">
          <w:rPr>
            <w:rStyle w:val="Hyperlink"/>
            <w:rFonts w:cs="Times New Roman"/>
          </w:rPr>
          <w:t>https://fcghana.org/wp-content/uploads/2021/08/Revised-SRA-guidelines.pdf</w:t>
        </w:r>
      </w:hyperlink>
    </w:p>
    <w:bookmarkEnd w:id="522"/>
    <w:p w14:paraId="5F135B65" w14:textId="3ACB4AAD" w:rsidR="00A756B0" w:rsidRPr="00A17D73" w:rsidRDefault="00A756B0" w:rsidP="000D7C39">
      <w:pPr>
        <w:spacing w:after="0"/>
        <w:ind w:left="720" w:hanging="720"/>
        <w:rPr>
          <w:rFonts w:eastAsia="Times New Roman" w:cs="Times New Roman"/>
          <w:szCs w:val="24"/>
          <w:lang w:val="fr-FR" w:eastAsia="en-GB"/>
        </w:rPr>
      </w:pPr>
      <w:r w:rsidRPr="00A756B0">
        <w:rPr>
          <w:rFonts w:eastAsia="Times New Roman" w:cs="Times New Roman"/>
          <w:szCs w:val="24"/>
          <w:lang w:eastAsia="en-GB"/>
        </w:rPr>
        <w:lastRenderedPageBreak/>
        <w:t>Ribeiro,</w:t>
      </w:r>
      <w:r>
        <w:rPr>
          <w:rFonts w:eastAsia="Times New Roman" w:cs="Times New Roman"/>
          <w:szCs w:val="24"/>
          <w:lang w:eastAsia="en-GB"/>
        </w:rPr>
        <w:t xml:space="preserve"> </w:t>
      </w:r>
      <w:r w:rsidRPr="00A756B0">
        <w:rPr>
          <w:rFonts w:eastAsia="Times New Roman" w:cs="Times New Roman"/>
          <w:szCs w:val="24"/>
          <w:lang w:eastAsia="en-GB"/>
        </w:rPr>
        <w:t>P</w:t>
      </w:r>
      <w:r>
        <w:rPr>
          <w:rFonts w:eastAsia="Times New Roman" w:cs="Times New Roman"/>
          <w:szCs w:val="24"/>
          <w:lang w:eastAsia="en-GB"/>
        </w:rPr>
        <w:t>.</w:t>
      </w:r>
      <w:r w:rsidRPr="00A756B0">
        <w:rPr>
          <w:rFonts w:eastAsia="Times New Roman" w:cs="Times New Roman"/>
          <w:szCs w:val="24"/>
          <w:lang w:eastAsia="en-GB"/>
        </w:rPr>
        <w:t xml:space="preserve"> A., Harmsen, R., Feola, G., Rosales </w:t>
      </w:r>
      <w:proofErr w:type="spellStart"/>
      <w:r w:rsidRPr="00A756B0">
        <w:rPr>
          <w:rFonts w:eastAsia="Times New Roman" w:cs="Times New Roman"/>
          <w:szCs w:val="24"/>
          <w:lang w:eastAsia="en-GB"/>
        </w:rPr>
        <w:t>Carréon</w:t>
      </w:r>
      <w:proofErr w:type="spellEnd"/>
      <w:r w:rsidRPr="00A756B0">
        <w:rPr>
          <w:rFonts w:eastAsia="Times New Roman" w:cs="Times New Roman"/>
          <w:szCs w:val="24"/>
          <w:lang w:eastAsia="en-GB"/>
        </w:rPr>
        <w:t xml:space="preserve">, J., &amp; Worrell, E. (2021). Organising alternative food networks (AFNs): Challenges and facilitating conditions of different AFN types in three EU countries. </w:t>
      </w:r>
      <w:proofErr w:type="spellStart"/>
      <w:r w:rsidRPr="00A17D73">
        <w:rPr>
          <w:rFonts w:eastAsia="Times New Roman" w:cs="Times New Roman"/>
          <w:i/>
          <w:iCs/>
          <w:szCs w:val="24"/>
          <w:lang w:val="fr-FR" w:eastAsia="en-GB"/>
        </w:rPr>
        <w:t>Sociologia</w:t>
      </w:r>
      <w:proofErr w:type="spellEnd"/>
      <w:r w:rsidRPr="00A17D73">
        <w:rPr>
          <w:rFonts w:eastAsia="Times New Roman" w:cs="Times New Roman"/>
          <w:i/>
          <w:iCs/>
          <w:szCs w:val="24"/>
          <w:lang w:val="fr-FR" w:eastAsia="en-GB"/>
        </w:rPr>
        <w:t xml:space="preserve"> </w:t>
      </w:r>
      <w:proofErr w:type="spellStart"/>
      <w:r w:rsidR="00E02AA6" w:rsidRPr="00A17D73">
        <w:rPr>
          <w:rFonts w:eastAsia="Times New Roman" w:cs="Times New Roman"/>
          <w:i/>
          <w:iCs/>
          <w:szCs w:val="24"/>
          <w:lang w:val="fr-FR" w:eastAsia="en-GB"/>
        </w:rPr>
        <w:t>R</w:t>
      </w:r>
      <w:r w:rsidRPr="00A17D73">
        <w:rPr>
          <w:rFonts w:eastAsia="Times New Roman" w:cs="Times New Roman"/>
          <w:i/>
          <w:iCs/>
          <w:szCs w:val="24"/>
          <w:lang w:val="fr-FR" w:eastAsia="en-GB"/>
        </w:rPr>
        <w:t>uralis</w:t>
      </w:r>
      <w:proofErr w:type="spellEnd"/>
      <w:r w:rsidRPr="00A17D73">
        <w:rPr>
          <w:rFonts w:eastAsia="Times New Roman" w:cs="Times New Roman"/>
          <w:szCs w:val="24"/>
          <w:lang w:val="fr-FR" w:eastAsia="en-GB"/>
        </w:rPr>
        <w:t xml:space="preserve">, </w:t>
      </w:r>
      <w:r w:rsidRPr="00A17D73">
        <w:rPr>
          <w:rFonts w:eastAsia="Times New Roman" w:cs="Times New Roman"/>
          <w:i/>
          <w:iCs/>
          <w:szCs w:val="24"/>
          <w:lang w:val="fr-FR" w:eastAsia="en-GB"/>
        </w:rPr>
        <w:t>61</w:t>
      </w:r>
      <w:r w:rsidRPr="00A17D73">
        <w:rPr>
          <w:rFonts w:eastAsia="Times New Roman" w:cs="Times New Roman"/>
          <w:szCs w:val="24"/>
          <w:lang w:val="fr-FR" w:eastAsia="en-GB"/>
        </w:rPr>
        <w:t>(2), 491-517.</w:t>
      </w:r>
    </w:p>
    <w:p w14:paraId="3B44BB3E" w14:textId="77777777" w:rsidR="00D849C0" w:rsidRDefault="00D27874" w:rsidP="000D7C39">
      <w:pPr>
        <w:spacing w:after="0"/>
        <w:ind w:left="720" w:hanging="720"/>
        <w:rPr>
          <w:rFonts w:eastAsia="Times New Roman" w:cs="Times New Roman"/>
          <w:szCs w:val="24"/>
          <w:lang w:eastAsia="en-GB"/>
        </w:rPr>
      </w:pPr>
      <w:bookmarkStart w:id="523" w:name="_Hlk165491692"/>
      <w:proofErr w:type="spellStart"/>
      <w:r w:rsidRPr="00A17D73">
        <w:rPr>
          <w:rFonts w:eastAsia="Times New Roman" w:cs="Times New Roman"/>
          <w:szCs w:val="24"/>
          <w:lang w:val="fr-FR" w:eastAsia="en-GB"/>
        </w:rPr>
        <w:t>Rijal</w:t>
      </w:r>
      <w:proofErr w:type="spellEnd"/>
      <w:r w:rsidRPr="00A17D73">
        <w:rPr>
          <w:rFonts w:eastAsia="Times New Roman" w:cs="Times New Roman"/>
          <w:szCs w:val="24"/>
          <w:lang w:val="fr-FR" w:eastAsia="en-GB"/>
        </w:rPr>
        <w:t xml:space="preserve">, S., </w:t>
      </w:r>
      <w:proofErr w:type="spellStart"/>
      <w:r w:rsidRPr="00A17D73">
        <w:rPr>
          <w:rFonts w:eastAsia="Times New Roman" w:cs="Times New Roman"/>
          <w:szCs w:val="24"/>
          <w:lang w:val="fr-FR" w:eastAsia="en-GB"/>
        </w:rPr>
        <w:t>Subedi</w:t>
      </w:r>
      <w:proofErr w:type="spellEnd"/>
      <w:r w:rsidRPr="00A17D73">
        <w:rPr>
          <w:rFonts w:eastAsia="Times New Roman" w:cs="Times New Roman"/>
          <w:szCs w:val="24"/>
          <w:lang w:val="fr-FR" w:eastAsia="en-GB"/>
        </w:rPr>
        <w:t xml:space="preserve">, M., </w:t>
      </w:r>
      <w:proofErr w:type="spellStart"/>
      <w:r w:rsidRPr="00A17D73">
        <w:rPr>
          <w:rFonts w:eastAsia="Times New Roman" w:cs="Times New Roman"/>
          <w:szCs w:val="24"/>
          <w:lang w:val="fr-FR" w:eastAsia="en-GB"/>
        </w:rPr>
        <w:t>Chhetri</w:t>
      </w:r>
      <w:proofErr w:type="spellEnd"/>
      <w:r w:rsidRPr="00A17D73">
        <w:rPr>
          <w:rFonts w:eastAsia="Times New Roman" w:cs="Times New Roman"/>
          <w:szCs w:val="24"/>
          <w:lang w:val="fr-FR" w:eastAsia="en-GB"/>
        </w:rPr>
        <w:t xml:space="preserve">, R., &amp; Joshi, R. (2021). </w:t>
      </w:r>
      <w:r w:rsidRPr="00752990">
        <w:rPr>
          <w:rFonts w:eastAsia="Times New Roman" w:cs="Times New Roman"/>
          <w:szCs w:val="24"/>
          <w:lang w:eastAsia="en-GB"/>
        </w:rPr>
        <w:t xml:space="preserve">Good Governance </w:t>
      </w:r>
    </w:p>
    <w:p w14:paraId="042DEEDF" w14:textId="0567C1B8" w:rsidR="00BB6EA5" w:rsidRPr="007A7013" w:rsidRDefault="00BB6EA5"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752990">
        <w:rPr>
          <w:rFonts w:eastAsia="Times New Roman" w:cs="Times New Roman"/>
          <w:szCs w:val="24"/>
          <w:lang w:eastAsia="en-GB"/>
        </w:rPr>
        <w:t>Assessment in Community Forest of Nepal</w:t>
      </w:r>
      <w:r w:rsidR="00D27874" w:rsidRPr="00AD4F30">
        <w:rPr>
          <w:rFonts w:eastAsia="Times New Roman" w:cs="Times New Roman"/>
          <w:i/>
          <w:iCs/>
          <w:szCs w:val="24"/>
          <w:lang w:eastAsia="en-GB"/>
        </w:rPr>
        <w:t>. Journal of Forest and Environmental Science</w:t>
      </w:r>
      <w:r w:rsidR="00A94F1B">
        <w:rPr>
          <w:rFonts w:eastAsia="Times New Roman" w:cs="Times New Roman"/>
          <w:szCs w:val="24"/>
          <w:lang w:eastAsia="en-GB"/>
        </w:rPr>
        <w:t>,</w:t>
      </w:r>
      <w:r w:rsidR="00D27874" w:rsidRPr="00752990">
        <w:rPr>
          <w:rFonts w:eastAsia="Times New Roman" w:cs="Times New Roman"/>
          <w:szCs w:val="24"/>
          <w:lang w:eastAsia="en-GB"/>
        </w:rPr>
        <w:t xml:space="preserve"> 37(3), </w:t>
      </w:r>
      <w:r w:rsidR="00E02AA6">
        <w:rPr>
          <w:rFonts w:eastAsia="Times New Roman" w:cs="Times New Roman"/>
          <w:szCs w:val="24"/>
          <w:lang w:eastAsia="en-GB"/>
        </w:rPr>
        <w:t>251-259.</w:t>
      </w:r>
    </w:p>
    <w:bookmarkEnd w:id="523"/>
    <w:p w14:paraId="7131905D" w14:textId="77777777" w:rsidR="00D849C0" w:rsidRDefault="00D27874" w:rsidP="000D7C39">
      <w:pPr>
        <w:spacing w:after="0"/>
        <w:ind w:left="720" w:hanging="720"/>
      </w:pPr>
      <w:r>
        <w:t xml:space="preserve">Roe, D., Nelson, F., &amp; Sandbrook, C.  (2009). Community Management of </w:t>
      </w:r>
    </w:p>
    <w:p w14:paraId="157C3833" w14:textId="77777777" w:rsidR="00D27874" w:rsidRDefault="00BB6EA5" w:rsidP="000D7C39">
      <w:pPr>
        <w:spacing w:after="0"/>
        <w:ind w:left="720" w:hanging="720"/>
      </w:pPr>
      <w:r>
        <w:tab/>
      </w:r>
      <w:r w:rsidR="00D27874">
        <w:t xml:space="preserve">Natural Resources in Africa: Impacts, Experiences and Future Directions. </w:t>
      </w:r>
      <w:r w:rsidR="00D27874" w:rsidRPr="00F110C6">
        <w:rPr>
          <w:i/>
          <w:iCs/>
        </w:rPr>
        <w:t>Natural Resource Issues</w:t>
      </w:r>
      <w:r w:rsidR="00D27874">
        <w:rPr>
          <w:i/>
          <w:iCs/>
        </w:rPr>
        <w:t>,</w:t>
      </w:r>
      <w:r w:rsidR="00D27874">
        <w:t xml:space="preserve"> 18. International Institute for Environment and Development, London, UK.</w:t>
      </w:r>
    </w:p>
    <w:p w14:paraId="7BD02E2E" w14:textId="31659981" w:rsidR="000D7C39" w:rsidRPr="0081629E" w:rsidRDefault="00D27874" w:rsidP="0081629E">
      <w:pPr>
        <w:spacing w:after="0"/>
        <w:ind w:left="720" w:hanging="720"/>
        <w:rPr>
          <w:i/>
          <w:iCs/>
        </w:rPr>
      </w:pPr>
      <w:bookmarkStart w:id="524" w:name="_Hlk166106151"/>
      <w:r w:rsidRPr="006401A0">
        <w:t>Safari</w:t>
      </w:r>
      <w:r>
        <w:t>,</w:t>
      </w:r>
      <w:r w:rsidRPr="006401A0">
        <w:t xml:space="preserve"> O</w:t>
      </w:r>
      <w:r>
        <w:t>.,</w:t>
      </w:r>
      <w:r w:rsidRPr="006401A0">
        <w:t xml:space="preserve"> G</w:t>
      </w:r>
      <w:r>
        <w:t xml:space="preserve">. (2022). </w:t>
      </w:r>
      <w:r w:rsidRPr="00A94F1B">
        <w:rPr>
          <w:i/>
          <w:iCs/>
        </w:rPr>
        <w:t xml:space="preserve">Collaborative governance in protected area management at Forest Park Ir. H. </w:t>
      </w:r>
      <w:proofErr w:type="spellStart"/>
      <w:r w:rsidRPr="00A94F1B">
        <w:rPr>
          <w:i/>
          <w:iCs/>
        </w:rPr>
        <w:t>Djuanda</w:t>
      </w:r>
      <w:proofErr w:type="spellEnd"/>
      <w:r w:rsidRPr="00A94F1B">
        <w:rPr>
          <w:i/>
          <w:iCs/>
        </w:rPr>
        <w:t>, West Java, Indonesia</w:t>
      </w:r>
      <w:r>
        <w:t>. Master’s Thesis.</w:t>
      </w:r>
      <w:bookmarkStart w:id="525" w:name="_Hlk166853541"/>
      <w:bookmarkEnd w:id="524"/>
    </w:p>
    <w:p w14:paraId="30982914" w14:textId="77777777" w:rsidR="00D849C0" w:rsidRDefault="00D27874" w:rsidP="000D7C39">
      <w:pPr>
        <w:spacing w:after="0"/>
        <w:ind w:left="720" w:hanging="720"/>
        <w:rPr>
          <w:rFonts w:eastAsia="Times New Roman" w:cs="Times New Roman"/>
          <w:szCs w:val="24"/>
          <w:lang w:eastAsia="en-GB"/>
        </w:rPr>
      </w:pPr>
      <w:r w:rsidRPr="00DC3C6D">
        <w:rPr>
          <w:rFonts w:eastAsia="Times New Roman" w:cs="Times New Roman"/>
          <w:szCs w:val="24"/>
          <w:lang w:eastAsia="en-GB"/>
        </w:rPr>
        <w:t xml:space="preserve">Sahoo, G., Wani, A.M., Sharma, A. </w:t>
      </w:r>
      <w:r>
        <w:rPr>
          <w:rFonts w:eastAsia="Times New Roman" w:cs="Times New Roman"/>
          <w:szCs w:val="24"/>
          <w:lang w:eastAsia="en-GB"/>
        </w:rPr>
        <w:t>&amp;</w:t>
      </w:r>
      <w:r w:rsidRPr="00DC3C6D">
        <w:rPr>
          <w:rFonts w:eastAsia="Times New Roman" w:cs="Times New Roman"/>
          <w:szCs w:val="24"/>
          <w:lang w:eastAsia="en-GB"/>
        </w:rPr>
        <w:t xml:space="preserve"> Rout, S. (2020)</w:t>
      </w:r>
      <w:r>
        <w:rPr>
          <w:rFonts w:eastAsia="Times New Roman" w:cs="Times New Roman"/>
          <w:szCs w:val="24"/>
          <w:lang w:eastAsia="en-GB"/>
        </w:rPr>
        <w:t xml:space="preserve">. </w:t>
      </w:r>
      <w:r w:rsidRPr="00DC3C6D">
        <w:rPr>
          <w:rFonts w:eastAsia="Times New Roman" w:cs="Times New Roman"/>
          <w:szCs w:val="24"/>
          <w:lang w:eastAsia="en-GB"/>
        </w:rPr>
        <w:t xml:space="preserve">Agroforestry for forest </w:t>
      </w:r>
    </w:p>
    <w:p w14:paraId="586CA753" w14:textId="60C30FA8" w:rsidR="00D27874" w:rsidRPr="00DC3C6D" w:rsidRDefault="00BB6EA5"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DC3C6D">
        <w:rPr>
          <w:rFonts w:eastAsia="Times New Roman" w:cs="Times New Roman"/>
          <w:szCs w:val="24"/>
          <w:lang w:eastAsia="en-GB"/>
        </w:rPr>
        <w:t>and landscape</w:t>
      </w:r>
      <w:r w:rsidR="00D27874">
        <w:rPr>
          <w:rFonts w:eastAsia="Times New Roman" w:cs="Times New Roman"/>
          <w:szCs w:val="24"/>
          <w:lang w:eastAsia="en-GB"/>
        </w:rPr>
        <w:t xml:space="preserve"> </w:t>
      </w:r>
      <w:r w:rsidR="00D27874" w:rsidRPr="00DC3C6D">
        <w:rPr>
          <w:rFonts w:eastAsia="Times New Roman" w:cs="Times New Roman"/>
          <w:szCs w:val="24"/>
          <w:lang w:eastAsia="en-GB"/>
        </w:rPr>
        <w:t>restoration</w:t>
      </w:r>
      <w:r w:rsidR="00D27874">
        <w:rPr>
          <w:rFonts w:eastAsia="Times New Roman" w:cs="Times New Roman"/>
          <w:szCs w:val="24"/>
          <w:lang w:eastAsia="en-GB"/>
        </w:rPr>
        <w:t xml:space="preserve">. </w:t>
      </w:r>
      <w:r w:rsidR="00D27874" w:rsidRPr="00C80FE9">
        <w:rPr>
          <w:rFonts w:eastAsia="Times New Roman" w:cs="Times New Roman"/>
          <w:i/>
          <w:iCs/>
          <w:szCs w:val="24"/>
          <w:lang w:eastAsia="en-GB"/>
        </w:rPr>
        <w:t>International Journal of Advance Study and Research Work</w:t>
      </w:r>
      <w:r w:rsidR="00D27874" w:rsidRPr="00DC3C6D">
        <w:rPr>
          <w:rFonts w:eastAsia="Times New Roman" w:cs="Times New Roman"/>
          <w:szCs w:val="24"/>
          <w:lang w:eastAsia="en-GB"/>
        </w:rPr>
        <w:t xml:space="preserve">, </w:t>
      </w:r>
      <w:r w:rsidR="005B4275">
        <w:rPr>
          <w:rFonts w:eastAsia="Times New Roman" w:cs="Times New Roman"/>
          <w:szCs w:val="24"/>
          <w:lang w:eastAsia="en-GB"/>
        </w:rPr>
        <w:t xml:space="preserve">9, </w:t>
      </w:r>
      <w:r w:rsidR="00D27874" w:rsidRPr="00DC3C6D">
        <w:rPr>
          <w:rFonts w:eastAsia="Times New Roman" w:cs="Times New Roman"/>
          <w:szCs w:val="24"/>
          <w:lang w:eastAsia="en-GB"/>
        </w:rPr>
        <w:t>536-542.</w:t>
      </w:r>
    </w:p>
    <w:bookmarkEnd w:id="525"/>
    <w:p w14:paraId="4D1D418E" w14:textId="6C89C1EA" w:rsidR="00B97BC1" w:rsidRDefault="00B97BC1" w:rsidP="000D7C39">
      <w:pPr>
        <w:pStyle w:val="BodyText"/>
        <w:spacing w:after="0"/>
        <w:ind w:left="720" w:hanging="720"/>
        <w:rPr>
          <w:rFonts w:cs="Times New Roman"/>
          <w:szCs w:val="24"/>
        </w:rPr>
      </w:pPr>
      <w:r>
        <w:t>Sasu, D. D. (2023). Demographics of Nigeria—Statistics and Facts. Statista.</w:t>
      </w:r>
    </w:p>
    <w:p w14:paraId="33CAA072" w14:textId="7C888209" w:rsidR="00F9704C" w:rsidRPr="00664FD1" w:rsidRDefault="00F9704C" w:rsidP="000D7C39">
      <w:pPr>
        <w:spacing w:after="0"/>
        <w:ind w:left="720" w:hanging="720"/>
        <w:rPr>
          <w:rFonts w:eastAsia="Times New Roman" w:cs="Times New Roman"/>
          <w:szCs w:val="24"/>
          <w:lang w:eastAsia="en-GB"/>
        </w:rPr>
      </w:pPr>
      <w:r w:rsidRPr="00664FD1">
        <w:rPr>
          <w:rFonts w:eastAsia="Times New Roman" w:cs="Times New Roman"/>
          <w:szCs w:val="24"/>
          <w:lang w:eastAsia="en-GB"/>
        </w:rPr>
        <w:t xml:space="preserve">Sasu, O. (2004). Decentralization of federal systems in forests and National Forestry Programme: The case of Ghana. In </w:t>
      </w:r>
      <w:r w:rsidRPr="00664FD1">
        <w:rPr>
          <w:rFonts w:eastAsia="Times New Roman" w:cs="Times New Roman"/>
          <w:i/>
          <w:iCs/>
          <w:szCs w:val="24"/>
          <w:lang w:eastAsia="en-GB"/>
        </w:rPr>
        <w:t>Interlaken Workshop on Decentralization in Forestry, Interlaken, Switzerland</w:t>
      </w:r>
      <w:r>
        <w:rPr>
          <w:rFonts w:eastAsia="Times New Roman" w:cs="Times New Roman"/>
          <w:szCs w:val="24"/>
          <w:lang w:eastAsia="en-GB"/>
        </w:rPr>
        <w:t>,</w:t>
      </w:r>
      <w:r w:rsidRPr="00664FD1">
        <w:rPr>
          <w:rFonts w:eastAsia="Times New Roman" w:cs="Times New Roman"/>
          <w:szCs w:val="24"/>
          <w:lang w:eastAsia="en-GB"/>
        </w:rPr>
        <w:t xml:space="preserve"> 27, 31.</w:t>
      </w:r>
    </w:p>
    <w:p w14:paraId="3DB335EA" w14:textId="1BF17FB1" w:rsidR="00171DAC" w:rsidRPr="00171DAC" w:rsidRDefault="00171DAC" w:rsidP="000D7C39">
      <w:pPr>
        <w:spacing w:after="0"/>
        <w:ind w:left="720" w:hanging="720"/>
        <w:rPr>
          <w:rFonts w:eastAsia="Times New Roman" w:cs="Times New Roman"/>
          <w:szCs w:val="24"/>
          <w:lang w:eastAsia="en-GB"/>
        </w:rPr>
      </w:pPr>
      <w:proofErr w:type="spellStart"/>
      <w:r w:rsidRPr="00171DAC">
        <w:rPr>
          <w:rFonts w:eastAsia="Times New Roman" w:cs="Times New Roman"/>
          <w:szCs w:val="24"/>
          <w:lang w:eastAsia="en-GB"/>
        </w:rPr>
        <w:t>Savari</w:t>
      </w:r>
      <w:proofErr w:type="spellEnd"/>
      <w:r w:rsidRPr="00171DAC">
        <w:rPr>
          <w:rFonts w:eastAsia="Times New Roman" w:cs="Times New Roman"/>
          <w:szCs w:val="24"/>
          <w:lang w:eastAsia="en-GB"/>
        </w:rPr>
        <w:t xml:space="preserve">, M., Eskandari </w:t>
      </w:r>
      <w:proofErr w:type="spellStart"/>
      <w:r w:rsidRPr="00171DAC">
        <w:rPr>
          <w:rFonts w:eastAsia="Times New Roman" w:cs="Times New Roman"/>
          <w:szCs w:val="24"/>
          <w:lang w:eastAsia="en-GB"/>
        </w:rPr>
        <w:t>Damaneh</w:t>
      </w:r>
      <w:proofErr w:type="spellEnd"/>
      <w:r w:rsidRPr="00171DAC">
        <w:rPr>
          <w:rFonts w:eastAsia="Times New Roman" w:cs="Times New Roman"/>
          <w:szCs w:val="24"/>
          <w:lang w:eastAsia="en-GB"/>
        </w:rPr>
        <w:t xml:space="preserve">, H., &amp; Eskandari </w:t>
      </w:r>
      <w:proofErr w:type="spellStart"/>
      <w:r w:rsidRPr="00171DAC">
        <w:rPr>
          <w:rFonts w:eastAsia="Times New Roman" w:cs="Times New Roman"/>
          <w:szCs w:val="24"/>
          <w:lang w:eastAsia="en-GB"/>
        </w:rPr>
        <w:t>Damaneh</w:t>
      </w:r>
      <w:proofErr w:type="spellEnd"/>
      <w:r w:rsidRPr="00171DAC">
        <w:rPr>
          <w:rFonts w:eastAsia="Times New Roman" w:cs="Times New Roman"/>
          <w:szCs w:val="24"/>
          <w:lang w:eastAsia="en-GB"/>
        </w:rPr>
        <w:t xml:space="preserve">, H. (2020). Factors influencing local people’s participation in sustainable forest management. </w:t>
      </w:r>
      <w:r w:rsidRPr="00171DAC">
        <w:rPr>
          <w:rFonts w:eastAsia="Times New Roman" w:cs="Times New Roman"/>
          <w:i/>
          <w:iCs/>
          <w:szCs w:val="24"/>
          <w:lang w:eastAsia="en-GB"/>
        </w:rPr>
        <w:t>Arabian Journal of Geosciences</w:t>
      </w:r>
      <w:r w:rsidRPr="00171DAC">
        <w:rPr>
          <w:rFonts w:eastAsia="Times New Roman" w:cs="Times New Roman"/>
          <w:szCs w:val="24"/>
          <w:lang w:eastAsia="en-GB"/>
        </w:rPr>
        <w:t xml:space="preserve">, </w:t>
      </w:r>
      <w:r w:rsidRPr="00171DAC">
        <w:rPr>
          <w:rFonts w:eastAsia="Times New Roman" w:cs="Times New Roman"/>
          <w:i/>
          <w:iCs/>
          <w:szCs w:val="24"/>
          <w:lang w:eastAsia="en-GB"/>
        </w:rPr>
        <w:t>13</w:t>
      </w:r>
      <w:r w:rsidRPr="00171DAC">
        <w:rPr>
          <w:rFonts w:eastAsia="Times New Roman" w:cs="Times New Roman"/>
          <w:szCs w:val="24"/>
          <w:lang w:eastAsia="en-GB"/>
        </w:rPr>
        <w:t>(13), 513.</w:t>
      </w:r>
    </w:p>
    <w:p w14:paraId="58D550F3" w14:textId="1ABC7CD9" w:rsidR="00FB58AB" w:rsidRPr="00664FD1" w:rsidRDefault="00FB58AB" w:rsidP="000D7C39">
      <w:pPr>
        <w:spacing w:after="0"/>
        <w:ind w:left="720" w:hanging="720"/>
        <w:rPr>
          <w:rFonts w:eastAsia="Times New Roman" w:cs="Times New Roman"/>
          <w:szCs w:val="24"/>
          <w:lang w:eastAsia="en-GB"/>
        </w:rPr>
      </w:pPr>
      <w:proofErr w:type="spellStart"/>
      <w:r w:rsidRPr="00664FD1">
        <w:rPr>
          <w:rFonts w:eastAsia="Times New Roman" w:cs="Times New Roman"/>
          <w:szCs w:val="24"/>
          <w:lang w:eastAsia="en-GB"/>
        </w:rPr>
        <w:t>Schreckenberg</w:t>
      </w:r>
      <w:proofErr w:type="spellEnd"/>
      <w:r w:rsidRPr="00664FD1">
        <w:rPr>
          <w:rFonts w:eastAsia="Times New Roman" w:cs="Times New Roman"/>
          <w:szCs w:val="24"/>
          <w:lang w:eastAsia="en-GB"/>
        </w:rPr>
        <w:t xml:space="preserve">, K., Franks, P., Martin, A., &amp; Lang, B. (2016). Unpacking equity for protected area conservation. </w:t>
      </w:r>
      <w:r w:rsidRPr="00664FD1">
        <w:rPr>
          <w:rFonts w:eastAsia="Times New Roman" w:cs="Times New Roman"/>
          <w:i/>
          <w:iCs/>
          <w:szCs w:val="24"/>
          <w:lang w:eastAsia="en-GB"/>
        </w:rPr>
        <w:t>Parks</w:t>
      </w:r>
      <w:r w:rsidRPr="00664FD1">
        <w:rPr>
          <w:rFonts w:eastAsia="Times New Roman" w:cs="Times New Roman"/>
          <w:szCs w:val="24"/>
          <w:lang w:eastAsia="en-GB"/>
        </w:rPr>
        <w:t xml:space="preserve">, </w:t>
      </w:r>
      <w:r w:rsidRPr="00664FD1">
        <w:rPr>
          <w:rFonts w:eastAsia="Times New Roman" w:cs="Times New Roman"/>
          <w:i/>
          <w:iCs/>
          <w:szCs w:val="24"/>
          <w:lang w:eastAsia="en-GB"/>
        </w:rPr>
        <w:t>22</w:t>
      </w:r>
      <w:r w:rsidRPr="00664FD1">
        <w:rPr>
          <w:rFonts w:eastAsia="Times New Roman" w:cs="Times New Roman"/>
          <w:szCs w:val="24"/>
          <w:lang w:eastAsia="en-GB"/>
        </w:rPr>
        <w:t>(2), 11-26.</w:t>
      </w:r>
    </w:p>
    <w:p w14:paraId="197D5F56" w14:textId="4C0E589D" w:rsidR="00640D1C" w:rsidRPr="000D7C39" w:rsidRDefault="00640D1C" w:rsidP="000D7C39">
      <w:pPr>
        <w:spacing w:after="0"/>
        <w:ind w:left="720" w:hanging="720"/>
        <w:rPr>
          <w:i/>
          <w:iCs/>
          <w:lang w:eastAsia="en-GB"/>
        </w:rPr>
      </w:pPr>
      <w:r w:rsidRPr="0014662E">
        <w:rPr>
          <w:lang w:eastAsia="en-GB"/>
        </w:rPr>
        <w:lastRenderedPageBreak/>
        <w:t>Scott, A. D. (1955)</w:t>
      </w:r>
      <w:r>
        <w:rPr>
          <w:lang w:eastAsia="en-GB"/>
        </w:rPr>
        <w:t>.</w:t>
      </w:r>
      <w:r w:rsidRPr="0014662E">
        <w:rPr>
          <w:lang w:eastAsia="en-GB"/>
        </w:rPr>
        <w:t xml:space="preserve"> The Fishery: The Objectives of Sole Ownership</w:t>
      </w:r>
      <w:r>
        <w:rPr>
          <w:lang w:eastAsia="en-GB"/>
        </w:rPr>
        <w:t>.</w:t>
      </w:r>
      <w:r w:rsidRPr="0014662E">
        <w:rPr>
          <w:lang w:eastAsia="en-GB"/>
        </w:rPr>
        <w:t xml:space="preserve"> </w:t>
      </w:r>
      <w:r w:rsidRPr="009A27FF">
        <w:rPr>
          <w:i/>
          <w:iCs/>
          <w:lang w:eastAsia="en-GB"/>
        </w:rPr>
        <w:t>Journal of Political</w:t>
      </w:r>
      <w:r>
        <w:rPr>
          <w:i/>
          <w:iCs/>
          <w:lang w:eastAsia="en-GB"/>
        </w:rPr>
        <w:t xml:space="preserve"> </w:t>
      </w:r>
      <w:r w:rsidRPr="009A27FF">
        <w:rPr>
          <w:i/>
          <w:iCs/>
          <w:lang w:eastAsia="en-GB"/>
        </w:rPr>
        <w:t>Economy</w:t>
      </w:r>
      <w:r w:rsidRPr="0014662E">
        <w:rPr>
          <w:lang w:eastAsia="en-GB"/>
        </w:rPr>
        <w:t>, 63(2): 116–124.</w:t>
      </w:r>
    </w:p>
    <w:p w14:paraId="48C6291F" w14:textId="77777777" w:rsidR="001B1941" w:rsidRDefault="001B1941" w:rsidP="000D7C39">
      <w:pPr>
        <w:spacing w:after="0"/>
        <w:ind w:left="720" w:hanging="720"/>
      </w:pPr>
      <w:r>
        <w:t>Scott, W. R. (2001) Institutions and Organizations. Sage Publications.</w:t>
      </w:r>
    </w:p>
    <w:p w14:paraId="2C74E39D" w14:textId="5D6A5953" w:rsidR="00C40AF6" w:rsidRPr="000D7C39" w:rsidRDefault="00C40AF6" w:rsidP="000D7C39">
      <w:pPr>
        <w:spacing w:after="0"/>
        <w:ind w:left="720" w:hanging="720"/>
        <w:rPr>
          <w:rFonts w:eastAsia="Times New Roman" w:cs="Times New Roman"/>
          <w:i/>
          <w:iCs/>
          <w:szCs w:val="24"/>
          <w:lang w:eastAsia="en-GB"/>
        </w:rPr>
      </w:pPr>
      <w:r w:rsidRPr="00457FA9">
        <w:rPr>
          <w:rFonts w:eastAsia="Times New Roman" w:cs="Times New Roman"/>
          <w:szCs w:val="24"/>
          <w:lang w:eastAsia="en-GB"/>
        </w:rPr>
        <w:t xml:space="preserve">Scott, J. (2014). </w:t>
      </w:r>
      <w:r w:rsidRPr="00457FA9">
        <w:rPr>
          <w:rFonts w:eastAsia="Times New Roman" w:cs="Times New Roman"/>
          <w:i/>
          <w:iCs/>
          <w:szCs w:val="24"/>
          <w:lang w:eastAsia="en-GB"/>
        </w:rPr>
        <w:t>Stratification and power: Structures of class, status and command</w:t>
      </w:r>
      <w:r w:rsidRPr="00457FA9">
        <w:rPr>
          <w:rFonts w:eastAsia="Times New Roman" w:cs="Times New Roman"/>
          <w:szCs w:val="24"/>
          <w:lang w:eastAsia="en-GB"/>
        </w:rPr>
        <w:t>. John Wiley &amp; Sons.</w:t>
      </w:r>
    </w:p>
    <w:p w14:paraId="712B09FB" w14:textId="53F19A45" w:rsidR="00171DAC" w:rsidRPr="00171DAC" w:rsidRDefault="00171DAC" w:rsidP="000D7C39">
      <w:pPr>
        <w:spacing w:after="0"/>
        <w:ind w:left="720" w:hanging="720"/>
        <w:rPr>
          <w:rFonts w:eastAsia="Times New Roman" w:cs="Times New Roman"/>
          <w:szCs w:val="24"/>
          <w:lang w:eastAsia="en-GB"/>
        </w:rPr>
      </w:pPr>
      <w:proofErr w:type="spellStart"/>
      <w:r w:rsidRPr="00171DAC">
        <w:rPr>
          <w:rFonts w:eastAsia="Times New Roman" w:cs="Times New Roman"/>
          <w:szCs w:val="24"/>
          <w:lang w:eastAsia="en-GB"/>
        </w:rPr>
        <w:t>Siyambango</w:t>
      </w:r>
      <w:proofErr w:type="spellEnd"/>
      <w:r w:rsidRPr="00171DAC">
        <w:rPr>
          <w:rFonts w:eastAsia="Times New Roman" w:cs="Times New Roman"/>
          <w:szCs w:val="24"/>
          <w:lang w:eastAsia="en-GB"/>
        </w:rPr>
        <w:t xml:space="preserve">, N., &amp; </w:t>
      </w:r>
      <w:proofErr w:type="spellStart"/>
      <w:r w:rsidRPr="00171DAC">
        <w:rPr>
          <w:rFonts w:eastAsia="Times New Roman" w:cs="Times New Roman"/>
          <w:szCs w:val="24"/>
          <w:lang w:eastAsia="en-GB"/>
        </w:rPr>
        <w:t>Enkono</w:t>
      </w:r>
      <w:proofErr w:type="spellEnd"/>
      <w:r w:rsidRPr="00171DAC">
        <w:rPr>
          <w:rFonts w:eastAsia="Times New Roman" w:cs="Times New Roman"/>
          <w:szCs w:val="24"/>
          <w:lang w:eastAsia="en-GB"/>
        </w:rPr>
        <w:t xml:space="preserve">, A. N. (2022). The Role of local communities in resource management: A case of Okongo Community Forest and Conservancy, Namibia. </w:t>
      </w:r>
      <w:r w:rsidRPr="00171DAC">
        <w:rPr>
          <w:rFonts w:eastAsia="Times New Roman" w:cs="Times New Roman"/>
          <w:i/>
          <w:iCs/>
          <w:szCs w:val="24"/>
          <w:lang w:eastAsia="en-GB"/>
        </w:rPr>
        <w:t>Journal for Studies in Humanities and Social Sciences</w:t>
      </w:r>
      <w:r w:rsidRPr="00171DAC">
        <w:rPr>
          <w:rFonts w:eastAsia="Times New Roman" w:cs="Times New Roman"/>
          <w:szCs w:val="24"/>
          <w:lang w:eastAsia="en-GB"/>
        </w:rPr>
        <w:t xml:space="preserve">, </w:t>
      </w:r>
      <w:r w:rsidRPr="00171DAC">
        <w:rPr>
          <w:rFonts w:eastAsia="Times New Roman" w:cs="Times New Roman"/>
          <w:i/>
          <w:iCs/>
          <w:szCs w:val="24"/>
          <w:lang w:eastAsia="en-GB"/>
        </w:rPr>
        <w:t>11</w:t>
      </w:r>
      <w:r w:rsidRPr="00171DAC">
        <w:rPr>
          <w:rFonts w:eastAsia="Times New Roman" w:cs="Times New Roman"/>
          <w:szCs w:val="24"/>
          <w:lang w:eastAsia="en-GB"/>
        </w:rPr>
        <w:t>(1&amp;2), 136-160.</w:t>
      </w:r>
    </w:p>
    <w:p w14:paraId="79BF330A" w14:textId="77777777" w:rsidR="00D849C0" w:rsidRDefault="00D27874" w:rsidP="000D7C39">
      <w:pPr>
        <w:spacing w:after="0"/>
        <w:ind w:left="720" w:hanging="720"/>
        <w:rPr>
          <w:rFonts w:eastAsia="Times New Roman" w:cs="Times New Roman"/>
          <w:szCs w:val="24"/>
          <w:lang w:eastAsia="en-GB"/>
        </w:rPr>
      </w:pPr>
      <w:bookmarkStart w:id="526" w:name="_Hlk165537904"/>
      <w:r w:rsidRPr="00F10934">
        <w:rPr>
          <w:rFonts w:eastAsia="Times New Roman" w:cs="Times New Roman"/>
          <w:szCs w:val="24"/>
          <w:lang w:eastAsia="en-GB"/>
        </w:rPr>
        <w:t xml:space="preserve">Secco, L., Da Re, R., </w:t>
      </w:r>
      <w:proofErr w:type="spellStart"/>
      <w:r w:rsidRPr="00F10934">
        <w:rPr>
          <w:rFonts w:eastAsia="Times New Roman" w:cs="Times New Roman"/>
          <w:szCs w:val="24"/>
          <w:lang w:eastAsia="en-GB"/>
        </w:rPr>
        <w:t>Pettenella</w:t>
      </w:r>
      <w:proofErr w:type="spellEnd"/>
      <w:r w:rsidRPr="00F10934">
        <w:rPr>
          <w:rFonts w:eastAsia="Times New Roman" w:cs="Times New Roman"/>
          <w:szCs w:val="24"/>
          <w:lang w:eastAsia="en-GB"/>
        </w:rPr>
        <w:t>, D.</w:t>
      </w:r>
      <w:r>
        <w:rPr>
          <w:rFonts w:eastAsia="Times New Roman" w:cs="Times New Roman"/>
          <w:szCs w:val="24"/>
          <w:lang w:eastAsia="en-GB"/>
        </w:rPr>
        <w:t xml:space="preserve"> </w:t>
      </w:r>
      <w:r w:rsidRPr="00F10934">
        <w:rPr>
          <w:rFonts w:eastAsia="Times New Roman" w:cs="Times New Roman"/>
          <w:szCs w:val="24"/>
          <w:lang w:eastAsia="en-GB"/>
        </w:rPr>
        <w:t xml:space="preserve">M., Gatto, P. </w:t>
      </w:r>
      <w:r>
        <w:rPr>
          <w:rFonts w:eastAsia="Times New Roman" w:cs="Times New Roman"/>
          <w:szCs w:val="24"/>
          <w:lang w:eastAsia="en-GB"/>
        </w:rPr>
        <w:t>(</w:t>
      </w:r>
      <w:r w:rsidRPr="00F10934">
        <w:rPr>
          <w:rFonts w:eastAsia="Times New Roman" w:cs="Times New Roman"/>
          <w:szCs w:val="24"/>
          <w:lang w:eastAsia="en-GB"/>
        </w:rPr>
        <w:t>2014</w:t>
      </w:r>
      <w:r>
        <w:rPr>
          <w:rFonts w:eastAsia="Times New Roman" w:cs="Times New Roman"/>
          <w:szCs w:val="24"/>
          <w:lang w:eastAsia="en-GB"/>
        </w:rPr>
        <w:t>)</w:t>
      </w:r>
      <w:r w:rsidRPr="00F10934">
        <w:rPr>
          <w:rFonts w:eastAsia="Times New Roman" w:cs="Times New Roman"/>
          <w:szCs w:val="24"/>
          <w:lang w:eastAsia="en-GB"/>
        </w:rPr>
        <w:t xml:space="preserve">. Why and how to </w:t>
      </w:r>
    </w:p>
    <w:p w14:paraId="37160DCE" w14:textId="77777777" w:rsidR="00D27874" w:rsidRDefault="00BB6EA5" w:rsidP="000D7C39">
      <w:pPr>
        <w:spacing w:after="0"/>
        <w:ind w:left="720" w:hanging="720"/>
        <w:rPr>
          <w:rFonts w:eastAsia="Times New Roman" w:cs="Times New Roman"/>
          <w:szCs w:val="24"/>
          <w:lang w:eastAsia="en-GB"/>
        </w:rPr>
      </w:pPr>
      <w:r>
        <w:rPr>
          <w:rFonts w:eastAsia="Times New Roman" w:cs="Times New Roman"/>
          <w:szCs w:val="24"/>
          <w:lang w:eastAsia="en-GB"/>
        </w:rPr>
        <w:tab/>
      </w:r>
      <w:r w:rsidR="00D27874" w:rsidRPr="00F10934">
        <w:rPr>
          <w:rFonts w:eastAsia="Times New Roman" w:cs="Times New Roman"/>
          <w:szCs w:val="24"/>
          <w:lang w:eastAsia="en-GB"/>
        </w:rPr>
        <w:t>measure forest</w:t>
      </w:r>
      <w:r w:rsidR="00D27874">
        <w:rPr>
          <w:rFonts w:eastAsia="Times New Roman" w:cs="Times New Roman"/>
          <w:szCs w:val="24"/>
          <w:lang w:eastAsia="en-GB"/>
        </w:rPr>
        <w:t xml:space="preserve"> </w:t>
      </w:r>
      <w:r w:rsidR="00D27874" w:rsidRPr="00F10934">
        <w:rPr>
          <w:rFonts w:eastAsia="Times New Roman" w:cs="Times New Roman"/>
          <w:szCs w:val="24"/>
          <w:lang w:eastAsia="en-GB"/>
        </w:rPr>
        <w:t xml:space="preserve">governance at local level: a set of indicators. </w:t>
      </w:r>
      <w:r w:rsidR="00D27874" w:rsidRPr="007A038A">
        <w:rPr>
          <w:rFonts w:eastAsia="Times New Roman" w:cs="Times New Roman"/>
          <w:i/>
          <w:iCs/>
          <w:szCs w:val="24"/>
          <w:lang w:eastAsia="en-GB"/>
        </w:rPr>
        <w:t>Forest Policy Econ</w:t>
      </w:r>
      <w:r w:rsidR="00D27874" w:rsidRPr="00F10934">
        <w:rPr>
          <w:rFonts w:eastAsia="Times New Roman" w:cs="Times New Roman"/>
          <w:szCs w:val="24"/>
          <w:lang w:eastAsia="en-GB"/>
        </w:rPr>
        <w:t>.</w:t>
      </w:r>
      <w:r w:rsidR="00A5034C">
        <w:rPr>
          <w:rFonts w:eastAsia="Times New Roman" w:cs="Times New Roman"/>
          <w:szCs w:val="24"/>
          <w:lang w:eastAsia="en-GB"/>
        </w:rPr>
        <w:t>,</w:t>
      </w:r>
      <w:r w:rsidR="00D27874" w:rsidRPr="00F10934">
        <w:rPr>
          <w:rFonts w:eastAsia="Times New Roman" w:cs="Times New Roman"/>
          <w:szCs w:val="24"/>
          <w:lang w:eastAsia="en-GB"/>
        </w:rPr>
        <w:t xml:space="preserve"> 49, 57–71.</w:t>
      </w:r>
    </w:p>
    <w:p w14:paraId="240BEC62" w14:textId="76B83017" w:rsidR="005A38DB" w:rsidRDefault="005A38DB" w:rsidP="000D7C39">
      <w:pPr>
        <w:spacing w:after="0"/>
        <w:ind w:left="720" w:hanging="720"/>
      </w:pPr>
      <w:proofErr w:type="spellStart"/>
      <w:r>
        <w:t>Schreckenberg</w:t>
      </w:r>
      <w:proofErr w:type="spellEnd"/>
      <w:r>
        <w:t xml:space="preserve">, K., Awono, A., Degrande, A., </w:t>
      </w:r>
      <w:proofErr w:type="spellStart"/>
      <w:r>
        <w:t>Mbosso</w:t>
      </w:r>
      <w:proofErr w:type="spellEnd"/>
      <w:r>
        <w:t xml:space="preserve">, C., Ndoye, O., &amp; </w:t>
      </w:r>
      <w:proofErr w:type="spellStart"/>
      <w:r>
        <w:t>Tchoundjeu</w:t>
      </w:r>
      <w:proofErr w:type="spellEnd"/>
      <w:r>
        <w:t xml:space="preserve">, Z. (2016). Linking governance, equity and the sustainability of livelihoods through global value chains. </w:t>
      </w:r>
      <w:r w:rsidRPr="005A38DB">
        <w:rPr>
          <w:i/>
          <w:iCs/>
        </w:rPr>
        <w:t>Forest Policy and Economics</w:t>
      </w:r>
      <w:r>
        <w:t>, 73, 175-185.</w:t>
      </w:r>
    </w:p>
    <w:p w14:paraId="49C4D1F8" w14:textId="1319D932" w:rsidR="001B1941" w:rsidRDefault="001B1941" w:rsidP="000D7C39">
      <w:pPr>
        <w:spacing w:after="0"/>
        <w:ind w:left="720" w:hanging="720"/>
        <w:rPr>
          <w:rFonts w:eastAsia="Times New Roman" w:cs="Times New Roman"/>
          <w:szCs w:val="24"/>
          <w:lang w:eastAsia="en-GB"/>
        </w:rPr>
      </w:pPr>
      <w:proofErr w:type="spellStart"/>
      <w:r w:rsidRPr="00C6759F">
        <w:rPr>
          <w:rFonts w:eastAsia="Times New Roman" w:cs="Times New Roman"/>
          <w:szCs w:val="24"/>
          <w:lang w:eastAsia="en-GB"/>
        </w:rPr>
        <w:t>Shepsle</w:t>
      </w:r>
      <w:proofErr w:type="spellEnd"/>
      <w:r w:rsidRPr="00C6759F">
        <w:rPr>
          <w:rFonts w:eastAsia="Times New Roman" w:cs="Times New Roman"/>
          <w:szCs w:val="24"/>
          <w:lang w:eastAsia="en-GB"/>
        </w:rPr>
        <w:t xml:space="preserve">, K. A. (1989). Studying institutions: Some lessons from the rational choice approach. </w:t>
      </w:r>
      <w:r w:rsidRPr="00C6759F">
        <w:rPr>
          <w:rFonts w:eastAsia="Times New Roman" w:cs="Times New Roman"/>
          <w:i/>
          <w:iCs/>
          <w:szCs w:val="24"/>
          <w:lang w:eastAsia="en-GB"/>
        </w:rPr>
        <w:t xml:space="preserve">Journal of </w:t>
      </w:r>
      <w:r w:rsidR="005B4275">
        <w:rPr>
          <w:rFonts w:eastAsia="Times New Roman" w:cs="Times New Roman"/>
          <w:i/>
          <w:iCs/>
          <w:szCs w:val="24"/>
          <w:lang w:eastAsia="en-GB"/>
        </w:rPr>
        <w:t>T</w:t>
      </w:r>
      <w:r w:rsidRPr="00C6759F">
        <w:rPr>
          <w:rFonts w:eastAsia="Times New Roman" w:cs="Times New Roman"/>
          <w:i/>
          <w:iCs/>
          <w:szCs w:val="24"/>
          <w:lang w:eastAsia="en-GB"/>
        </w:rPr>
        <w:t xml:space="preserve">heoretical </w:t>
      </w:r>
      <w:r w:rsidR="005B4275">
        <w:rPr>
          <w:rFonts w:eastAsia="Times New Roman" w:cs="Times New Roman"/>
          <w:i/>
          <w:iCs/>
          <w:szCs w:val="24"/>
          <w:lang w:eastAsia="en-GB"/>
        </w:rPr>
        <w:t>P</w:t>
      </w:r>
      <w:r w:rsidRPr="00C6759F">
        <w:rPr>
          <w:rFonts w:eastAsia="Times New Roman" w:cs="Times New Roman"/>
          <w:i/>
          <w:iCs/>
          <w:szCs w:val="24"/>
          <w:lang w:eastAsia="en-GB"/>
        </w:rPr>
        <w:t>olitics</w:t>
      </w:r>
      <w:r w:rsidRPr="00C6759F">
        <w:rPr>
          <w:rFonts w:eastAsia="Times New Roman" w:cs="Times New Roman"/>
          <w:szCs w:val="24"/>
          <w:lang w:eastAsia="en-GB"/>
        </w:rPr>
        <w:t xml:space="preserve">, </w:t>
      </w:r>
      <w:r w:rsidRPr="00C6759F">
        <w:rPr>
          <w:rFonts w:eastAsia="Times New Roman" w:cs="Times New Roman"/>
          <w:i/>
          <w:iCs/>
          <w:szCs w:val="24"/>
          <w:lang w:eastAsia="en-GB"/>
        </w:rPr>
        <w:t>1</w:t>
      </w:r>
      <w:r w:rsidRPr="00C6759F">
        <w:rPr>
          <w:rFonts w:eastAsia="Times New Roman" w:cs="Times New Roman"/>
          <w:szCs w:val="24"/>
          <w:lang w:eastAsia="en-GB"/>
        </w:rPr>
        <w:t>(2), 131-147.</w:t>
      </w:r>
    </w:p>
    <w:p w14:paraId="6BF40E94" w14:textId="6CC00D8F" w:rsidR="006A6EF6" w:rsidRPr="000D7C39" w:rsidRDefault="006A6EF6" w:rsidP="000D7C39">
      <w:pPr>
        <w:spacing w:after="0"/>
        <w:ind w:left="720" w:hanging="720"/>
        <w:rPr>
          <w:rFonts w:cs="Times New Roman"/>
          <w:i/>
          <w:iCs/>
        </w:rPr>
      </w:pPr>
      <w:r w:rsidRPr="006A6EF6">
        <w:rPr>
          <w:rStyle w:val="markedcontent"/>
          <w:rFonts w:cs="Times New Roman"/>
        </w:rPr>
        <w:t xml:space="preserve">Shyamsundar, P., </w:t>
      </w:r>
      <w:proofErr w:type="spellStart"/>
      <w:r w:rsidRPr="006A6EF6">
        <w:rPr>
          <w:rStyle w:val="markedcontent"/>
          <w:rFonts w:cs="Times New Roman"/>
        </w:rPr>
        <w:t>Araral</w:t>
      </w:r>
      <w:proofErr w:type="spellEnd"/>
      <w:r w:rsidRPr="006A6EF6">
        <w:rPr>
          <w:rStyle w:val="markedcontent"/>
          <w:rFonts w:cs="Times New Roman"/>
        </w:rPr>
        <w:t xml:space="preserve">, E. </w:t>
      </w:r>
      <w:r>
        <w:rPr>
          <w:rStyle w:val="markedcontent"/>
          <w:rFonts w:cs="Times New Roman"/>
        </w:rPr>
        <w:t>&amp;</w:t>
      </w:r>
      <w:r w:rsidRPr="006A6EF6">
        <w:rPr>
          <w:rStyle w:val="markedcontent"/>
          <w:rFonts w:cs="Times New Roman"/>
        </w:rPr>
        <w:t xml:space="preserve"> Weeraratne, S. </w:t>
      </w:r>
      <w:r>
        <w:rPr>
          <w:rStyle w:val="markedcontent"/>
          <w:rFonts w:cs="Times New Roman"/>
        </w:rPr>
        <w:t>(</w:t>
      </w:r>
      <w:r w:rsidRPr="006A6EF6">
        <w:rPr>
          <w:rStyle w:val="markedcontent"/>
          <w:rFonts w:cs="Times New Roman"/>
        </w:rPr>
        <w:t>2005</w:t>
      </w:r>
      <w:r>
        <w:rPr>
          <w:rStyle w:val="markedcontent"/>
          <w:rFonts w:cs="Times New Roman"/>
        </w:rPr>
        <w:t>)</w:t>
      </w:r>
      <w:r w:rsidRPr="006A6EF6">
        <w:rPr>
          <w:rStyle w:val="markedcontent"/>
          <w:rFonts w:cs="Times New Roman"/>
        </w:rPr>
        <w:t xml:space="preserve">. </w:t>
      </w:r>
      <w:r w:rsidR="000D7C39">
        <w:rPr>
          <w:rStyle w:val="markedcontent"/>
          <w:rFonts w:cs="Times New Roman"/>
          <w:i/>
          <w:iCs/>
        </w:rPr>
        <w:t xml:space="preserve">Devolution of resource </w:t>
      </w:r>
      <w:r w:rsidRPr="006A6EF6">
        <w:rPr>
          <w:rStyle w:val="markedcontent"/>
          <w:rFonts w:cs="Times New Roman"/>
          <w:i/>
          <w:iCs/>
        </w:rPr>
        <w:t>rights, poverty and natural resource management: A review.</w:t>
      </w:r>
      <w:r w:rsidRPr="006A6EF6">
        <w:rPr>
          <w:rStyle w:val="markedcontent"/>
          <w:rFonts w:cs="Times New Roman"/>
        </w:rPr>
        <w:t xml:space="preserve"> Environmental Economics Series. Paper No. 104.</w:t>
      </w:r>
      <w:r>
        <w:rPr>
          <w:rStyle w:val="markedcontent"/>
          <w:rFonts w:cs="Times New Roman"/>
        </w:rPr>
        <w:t xml:space="preserve"> </w:t>
      </w:r>
      <w:r w:rsidRPr="006A6EF6">
        <w:rPr>
          <w:rStyle w:val="markedcontent"/>
          <w:rFonts w:cs="Times New Roman"/>
        </w:rPr>
        <w:t>World Bank Publisher, Washington DC</w:t>
      </w:r>
      <w:r>
        <w:rPr>
          <w:rStyle w:val="markedcontent"/>
          <w:rFonts w:cs="Times New Roman"/>
        </w:rPr>
        <w:t>.</w:t>
      </w:r>
    </w:p>
    <w:bookmarkEnd w:id="526"/>
    <w:p w14:paraId="7C0DB0A2" w14:textId="77777777" w:rsidR="00A5034C" w:rsidRDefault="00D27874" w:rsidP="000D7C39">
      <w:pPr>
        <w:spacing w:after="0"/>
        <w:ind w:left="720" w:hanging="720"/>
        <w:rPr>
          <w:i/>
          <w:iCs/>
        </w:rPr>
      </w:pPr>
      <w:r>
        <w:t xml:space="preserve">Simon, H. (2008). </w:t>
      </w:r>
      <w:proofErr w:type="spellStart"/>
      <w:r w:rsidRPr="00A5034C">
        <w:rPr>
          <w:i/>
          <w:iCs/>
        </w:rPr>
        <w:t>Pengelolaan</w:t>
      </w:r>
      <w:proofErr w:type="spellEnd"/>
      <w:r w:rsidRPr="00A5034C">
        <w:rPr>
          <w:i/>
          <w:iCs/>
        </w:rPr>
        <w:t xml:space="preserve"> Hutan Bersama Masyarakat (Cooperative </w:t>
      </w:r>
    </w:p>
    <w:p w14:paraId="343E3ABA" w14:textId="77777777" w:rsidR="00D27874" w:rsidRDefault="00BB6EA5" w:rsidP="000D7C39">
      <w:pPr>
        <w:spacing w:after="0"/>
        <w:ind w:left="720" w:hanging="720"/>
      </w:pPr>
      <w:r>
        <w:rPr>
          <w:i/>
          <w:iCs/>
        </w:rPr>
        <w:tab/>
      </w:r>
      <w:r w:rsidR="00D27874" w:rsidRPr="00A17D73">
        <w:rPr>
          <w:i/>
          <w:iCs/>
          <w:lang w:val="fr-FR"/>
        </w:rPr>
        <w:t>Forest Management</w:t>
      </w:r>
      <w:proofErr w:type="gramStart"/>
      <w:r w:rsidR="00D27874" w:rsidRPr="00A17D73">
        <w:rPr>
          <w:i/>
          <w:iCs/>
          <w:lang w:val="fr-FR"/>
        </w:rPr>
        <w:t>):</w:t>
      </w:r>
      <w:proofErr w:type="gramEnd"/>
      <w:r w:rsidR="00D27874" w:rsidRPr="00A17D73">
        <w:rPr>
          <w:i/>
          <w:iCs/>
          <w:lang w:val="fr-FR"/>
        </w:rPr>
        <w:t xml:space="preserve"> </w:t>
      </w:r>
      <w:proofErr w:type="spellStart"/>
      <w:r w:rsidR="00D27874" w:rsidRPr="00A17D73">
        <w:rPr>
          <w:i/>
          <w:iCs/>
          <w:lang w:val="fr-FR"/>
        </w:rPr>
        <w:t>Teori</w:t>
      </w:r>
      <w:proofErr w:type="spellEnd"/>
      <w:r w:rsidR="00D27874" w:rsidRPr="00A17D73">
        <w:rPr>
          <w:i/>
          <w:iCs/>
          <w:lang w:val="fr-FR"/>
        </w:rPr>
        <w:t xml:space="preserve"> dan </w:t>
      </w:r>
      <w:proofErr w:type="spellStart"/>
      <w:r w:rsidR="00D27874" w:rsidRPr="00A17D73">
        <w:rPr>
          <w:i/>
          <w:iCs/>
          <w:lang w:val="fr-FR"/>
        </w:rPr>
        <w:t>Aplikasi</w:t>
      </w:r>
      <w:proofErr w:type="spellEnd"/>
      <w:r w:rsidR="00D27874" w:rsidRPr="00A17D73">
        <w:rPr>
          <w:i/>
          <w:iCs/>
          <w:lang w:val="fr-FR"/>
        </w:rPr>
        <w:t xml:space="preserve"> </w:t>
      </w:r>
      <w:proofErr w:type="spellStart"/>
      <w:r w:rsidR="00D27874" w:rsidRPr="00A17D73">
        <w:rPr>
          <w:i/>
          <w:iCs/>
          <w:lang w:val="fr-FR"/>
        </w:rPr>
        <w:t>pada</w:t>
      </w:r>
      <w:proofErr w:type="spellEnd"/>
      <w:r w:rsidR="00D27874" w:rsidRPr="00A17D73">
        <w:rPr>
          <w:i/>
          <w:iCs/>
          <w:lang w:val="fr-FR"/>
        </w:rPr>
        <w:t xml:space="preserve"> </w:t>
      </w:r>
      <w:proofErr w:type="spellStart"/>
      <w:r w:rsidR="00D27874" w:rsidRPr="00A17D73">
        <w:rPr>
          <w:i/>
          <w:iCs/>
          <w:lang w:val="fr-FR"/>
        </w:rPr>
        <w:t>Hutan</w:t>
      </w:r>
      <w:proofErr w:type="spellEnd"/>
      <w:r w:rsidR="00D27874" w:rsidRPr="00A17D73">
        <w:rPr>
          <w:i/>
          <w:iCs/>
          <w:lang w:val="fr-FR"/>
        </w:rPr>
        <w:t xml:space="preserve"> </w:t>
      </w:r>
      <w:proofErr w:type="spellStart"/>
      <w:r w:rsidR="00D27874" w:rsidRPr="00A17D73">
        <w:rPr>
          <w:i/>
          <w:iCs/>
          <w:lang w:val="fr-FR"/>
        </w:rPr>
        <w:t>Jati</w:t>
      </w:r>
      <w:proofErr w:type="spellEnd"/>
      <w:r w:rsidR="00D27874" w:rsidRPr="00A17D73">
        <w:rPr>
          <w:i/>
          <w:iCs/>
          <w:lang w:val="fr-FR"/>
        </w:rPr>
        <w:t xml:space="preserve"> di Jawa</w:t>
      </w:r>
      <w:r w:rsidR="00D27874" w:rsidRPr="00A17D73">
        <w:rPr>
          <w:lang w:val="fr-FR"/>
        </w:rPr>
        <w:t xml:space="preserve">. </w:t>
      </w:r>
      <w:r w:rsidR="00D27874">
        <w:t xml:space="preserve">Yogyakarta: Pustaka </w:t>
      </w:r>
      <w:proofErr w:type="spellStart"/>
      <w:r w:rsidR="00D27874">
        <w:t>Pelajar</w:t>
      </w:r>
      <w:proofErr w:type="spellEnd"/>
      <w:r w:rsidR="00D27874">
        <w:t>.</w:t>
      </w:r>
    </w:p>
    <w:p w14:paraId="786B0293" w14:textId="1FAA749C" w:rsidR="000E5135" w:rsidRPr="000D7C39" w:rsidRDefault="000E5135" w:rsidP="000D7C39">
      <w:pPr>
        <w:spacing w:after="0"/>
        <w:ind w:left="720" w:hanging="720"/>
        <w:rPr>
          <w:rFonts w:eastAsia="Times New Roman" w:cs="Times New Roman"/>
          <w:i/>
          <w:iCs/>
          <w:szCs w:val="24"/>
          <w:lang w:eastAsia="en-GB"/>
        </w:rPr>
      </w:pPr>
      <w:r w:rsidRPr="000E5135">
        <w:rPr>
          <w:rFonts w:eastAsia="Times New Roman" w:cs="Times New Roman"/>
          <w:szCs w:val="24"/>
          <w:lang w:eastAsia="en-GB"/>
        </w:rPr>
        <w:lastRenderedPageBreak/>
        <w:t xml:space="preserve">Singleton, S. G. (1998). </w:t>
      </w:r>
      <w:r w:rsidRPr="000E5135">
        <w:rPr>
          <w:rFonts w:eastAsia="Times New Roman" w:cs="Times New Roman"/>
          <w:i/>
          <w:iCs/>
          <w:szCs w:val="24"/>
          <w:lang w:eastAsia="en-GB"/>
        </w:rPr>
        <w:t xml:space="preserve">Constructing cooperation: the evolution of institutions of </w:t>
      </w:r>
      <w:proofErr w:type="spellStart"/>
      <w:r w:rsidRPr="000E5135">
        <w:rPr>
          <w:rFonts w:eastAsia="Times New Roman" w:cs="Times New Roman"/>
          <w:i/>
          <w:iCs/>
          <w:szCs w:val="24"/>
          <w:lang w:eastAsia="en-GB"/>
        </w:rPr>
        <w:t>comanagement</w:t>
      </w:r>
      <w:proofErr w:type="spellEnd"/>
      <w:r w:rsidRPr="000E5135">
        <w:rPr>
          <w:rFonts w:eastAsia="Times New Roman" w:cs="Times New Roman"/>
          <w:szCs w:val="24"/>
          <w:lang w:eastAsia="en-GB"/>
        </w:rPr>
        <w:t>. University of Michigan press.</w:t>
      </w:r>
    </w:p>
    <w:p w14:paraId="525FBF6C" w14:textId="77777777" w:rsidR="00D849C0" w:rsidRDefault="00D27874" w:rsidP="000D7C39">
      <w:pPr>
        <w:spacing w:after="0"/>
        <w:ind w:left="720" w:hanging="720"/>
      </w:pPr>
      <w:proofErr w:type="spellStart"/>
      <w:r>
        <w:t>Siyambango</w:t>
      </w:r>
      <w:proofErr w:type="spellEnd"/>
      <w:r>
        <w:t xml:space="preserve">, N., &amp; </w:t>
      </w:r>
      <w:proofErr w:type="spellStart"/>
      <w:r>
        <w:t>Enkono</w:t>
      </w:r>
      <w:proofErr w:type="spellEnd"/>
      <w:r>
        <w:t xml:space="preserve">, A. N.  (2022). The Role of local communities in </w:t>
      </w:r>
    </w:p>
    <w:p w14:paraId="3E3F6182" w14:textId="77777777" w:rsidR="00D27874" w:rsidRDefault="00BB6EA5" w:rsidP="000D7C39">
      <w:pPr>
        <w:spacing w:after="0"/>
        <w:ind w:left="720" w:hanging="720"/>
      </w:pPr>
      <w:r>
        <w:tab/>
      </w:r>
      <w:r w:rsidR="00D27874">
        <w:t xml:space="preserve">resource management: A case of Okongo Community Forest and Conservancy, Namibia. </w:t>
      </w:r>
      <w:r w:rsidR="00D27874">
        <w:rPr>
          <w:i/>
          <w:iCs/>
        </w:rPr>
        <w:t>Journal for Studies in Humanities and Social Sciences</w:t>
      </w:r>
      <w:r w:rsidR="00D27874">
        <w:t xml:space="preserve">, 11,136–160. </w:t>
      </w:r>
    </w:p>
    <w:p w14:paraId="71531813" w14:textId="69484542" w:rsidR="00FC2B9E" w:rsidRPr="00FC2B9E" w:rsidRDefault="00FC2B9E" w:rsidP="000D7C39">
      <w:pPr>
        <w:spacing w:after="0"/>
        <w:ind w:left="720" w:hanging="720"/>
        <w:rPr>
          <w:rFonts w:eastAsia="Times New Roman" w:cs="Times New Roman"/>
          <w:szCs w:val="24"/>
          <w:lang w:eastAsia="en-GB"/>
        </w:rPr>
      </w:pPr>
      <w:bookmarkStart w:id="527" w:name="_Hlk195388420"/>
      <w:r w:rsidRPr="00FC2B9E">
        <w:rPr>
          <w:rFonts w:eastAsia="Times New Roman" w:cs="Times New Roman"/>
          <w:szCs w:val="24"/>
          <w:lang w:eastAsia="en-GB"/>
        </w:rPr>
        <w:t xml:space="preserve">Skole, D. L., Samek, J. H., Mbow, C., Chirwa, M., </w:t>
      </w:r>
      <w:proofErr w:type="spellStart"/>
      <w:r w:rsidRPr="00FC2B9E">
        <w:rPr>
          <w:rFonts w:eastAsia="Times New Roman" w:cs="Times New Roman"/>
          <w:szCs w:val="24"/>
          <w:lang w:eastAsia="en-GB"/>
        </w:rPr>
        <w:t>Ndalowa</w:t>
      </w:r>
      <w:proofErr w:type="spellEnd"/>
      <w:r w:rsidRPr="00FC2B9E">
        <w:rPr>
          <w:rFonts w:eastAsia="Times New Roman" w:cs="Times New Roman"/>
          <w:szCs w:val="24"/>
          <w:lang w:eastAsia="en-GB"/>
        </w:rPr>
        <w:t xml:space="preserve">, D., </w:t>
      </w:r>
      <w:proofErr w:type="spellStart"/>
      <w:r w:rsidRPr="00FC2B9E">
        <w:rPr>
          <w:rFonts w:eastAsia="Times New Roman" w:cs="Times New Roman"/>
          <w:szCs w:val="24"/>
          <w:lang w:eastAsia="en-GB"/>
        </w:rPr>
        <w:t>Tumeo</w:t>
      </w:r>
      <w:proofErr w:type="spellEnd"/>
      <w:r w:rsidRPr="00FC2B9E">
        <w:rPr>
          <w:rFonts w:eastAsia="Times New Roman" w:cs="Times New Roman"/>
          <w:szCs w:val="24"/>
          <w:lang w:eastAsia="en-GB"/>
        </w:rPr>
        <w:t xml:space="preserve">, T., ... &amp; </w:t>
      </w:r>
      <w:proofErr w:type="spellStart"/>
      <w:r w:rsidRPr="00FC2B9E">
        <w:rPr>
          <w:rFonts w:eastAsia="Times New Roman" w:cs="Times New Roman"/>
          <w:szCs w:val="24"/>
          <w:lang w:eastAsia="en-GB"/>
        </w:rPr>
        <w:t>Kamangadazi</w:t>
      </w:r>
      <w:proofErr w:type="spellEnd"/>
      <w:r w:rsidRPr="00FC2B9E">
        <w:rPr>
          <w:rFonts w:eastAsia="Times New Roman" w:cs="Times New Roman"/>
          <w:szCs w:val="24"/>
          <w:lang w:eastAsia="en-GB"/>
        </w:rPr>
        <w:t xml:space="preserve">, F. (2021). Direct measurement of forest degradation rates in Malawi: toward a national forest monitoring system to support REDD+. </w:t>
      </w:r>
      <w:r w:rsidRPr="00FC2B9E">
        <w:rPr>
          <w:rFonts w:eastAsia="Times New Roman" w:cs="Times New Roman"/>
          <w:i/>
          <w:iCs/>
          <w:szCs w:val="24"/>
          <w:lang w:eastAsia="en-GB"/>
        </w:rPr>
        <w:t>Forests</w:t>
      </w:r>
      <w:r w:rsidRPr="00FC2B9E">
        <w:rPr>
          <w:rFonts w:eastAsia="Times New Roman" w:cs="Times New Roman"/>
          <w:szCs w:val="24"/>
          <w:lang w:eastAsia="en-GB"/>
        </w:rPr>
        <w:t xml:space="preserve">, </w:t>
      </w:r>
      <w:r w:rsidRPr="00FC2B9E">
        <w:rPr>
          <w:rFonts w:eastAsia="Times New Roman" w:cs="Times New Roman"/>
          <w:i/>
          <w:iCs/>
          <w:szCs w:val="24"/>
          <w:lang w:eastAsia="en-GB"/>
        </w:rPr>
        <w:t>12</w:t>
      </w:r>
      <w:r w:rsidRPr="00FC2B9E">
        <w:rPr>
          <w:rFonts w:eastAsia="Times New Roman" w:cs="Times New Roman"/>
          <w:szCs w:val="24"/>
          <w:lang w:eastAsia="en-GB"/>
        </w:rPr>
        <w:t>(4), 426.</w:t>
      </w:r>
    </w:p>
    <w:bookmarkEnd w:id="527"/>
    <w:p w14:paraId="208C98D0" w14:textId="77777777" w:rsidR="00F82B12" w:rsidRDefault="00F82B12" w:rsidP="000D7C39">
      <w:pPr>
        <w:pStyle w:val="NormalWeb"/>
        <w:spacing w:before="0" w:beforeAutospacing="0" w:after="0" w:afterAutospacing="0" w:line="480" w:lineRule="auto"/>
        <w:ind w:left="720" w:hanging="720"/>
        <w:jc w:val="both"/>
        <w:rPr>
          <w:i/>
          <w:iCs/>
        </w:rPr>
      </w:pPr>
      <w:r>
        <w:t xml:space="preserve">Soja, E. (1996). </w:t>
      </w:r>
      <w:r w:rsidRPr="00A74384">
        <w:rPr>
          <w:i/>
          <w:iCs/>
        </w:rPr>
        <w:t xml:space="preserve">Third Space: Journeys to Los Angeles and Other Imagined </w:t>
      </w:r>
    </w:p>
    <w:p w14:paraId="4CCF1C35" w14:textId="77777777" w:rsidR="00F82B12" w:rsidRDefault="00BB6EA5" w:rsidP="000D7C39">
      <w:pPr>
        <w:pStyle w:val="NormalWeb"/>
        <w:spacing w:before="0" w:beforeAutospacing="0" w:after="0" w:afterAutospacing="0" w:line="480" w:lineRule="auto"/>
        <w:ind w:left="720" w:hanging="720"/>
        <w:jc w:val="both"/>
      </w:pPr>
      <w:r>
        <w:rPr>
          <w:i/>
          <w:iCs/>
        </w:rPr>
        <w:tab/>
      </w:r>
      <w:r w:rsidR="00F82B12" w:rsidRPr="00A74384">
        <w:rPr>
          <w:i/>
          <w:iCs/>
        </w:rPr>
        <w:t>Places</w:t>
      </w:r>
      <w:r w:rsidR="00F82B12">
        <w:t xml:space="preserve">. </w:t>
      </w:r>
      <w:proofErr w:type="spellStart"/>
      <w:proofErr w:type="gramStart"/>
      <w:r w:rsidR="00F82B12">
        <w:t>Cambridge,MA</w:t>
      </w:r>
      <w:proofErr w:type="spellEnd"/>
      <w:proofErr w:type="gramEnd"/>
      <w:r w:rsidR="00F82B12">
        <w:t>: Blackwell.</w:t>
      </w:r>
    </w:p>
    <w:p w14:paraId="407A0362" w14:textId="77777777" w:rsidR="00D849C0" w:rsidRPr="00A5034C" w:rsidRDefault="00D27874" w:rsidP="000D7C39">
      <w:pPr>
        <w:spacing w:after="0"/>
        <w:ind w:left="720" w:hanging="720"/>
        <w:rPr>
          <w:i/>
          <w:iCs/>
        </w:rPr>
      </w:pPr>
      <w:r w:rsidRPr="00756BC8">
        <w:t>Stevens, J. (1996</w:t>
      </w:r>
      <w:r w:rsidRPr="00A5034C">
        <w:rPr>
          <w:i/>
          <w:iCs/>
        </w:rPr>
        <w:t xml:space="preserve">). Applied multivariate statistics for the social sciences </w:t>
      </w:r>
    </w:p>
    <w:p w14:paraId="7B6E18E9" w14:textId="77777777" w:rsidR="001B1941" w:rsidRDefault="00BB6EA5" w:rsidP="000D7C39">
      <w:pPr>
        <w:spacing w:after="0"/>
        <w:ind w:left="720" w:hanging="720"/>
      </w:pPr>
      <w:r>
        <w:rPr>
          <w:i/>
          <w:iCs/>
        </w:rPr>
        <w:tab/>
      </w:r>
      <w:r w:rsidR="00D27874" w:rsidRPr="00A5034C">
        <w:rPr>
          <w:i/>
          <w:iCs/>
        </w:rPr>
        <w:t>(3</w:t>
      </w:r>
      <w:r w:rsidR="00D27874" w:rsidRPr="00A5034C">
        <w:rPr>
          <w:i/>
          <w:iCs/>
          <w:vertAlign w:val="superscript"/>
        </w:rPr>
        <w:t>rd</w:t>
      </w:r>
      <w:r w:rsidR="00A5034C" w:rsidRPr="00A5034C">
        <w:rPr>
          <w:i/>
          <w:iCs/>
        </w:rPr>
        <w:t xml:space="preserve"> </w:t>
      </w:r>
      <w:r w:rsidR="00D27874" w:rsidRPr="00A5034C">
        <w:rPr>
          <w:i/>
          <w:iCs/>
        </w:rPr>
        <w:t>e</w:t>
      </w:r>
      <w:r w:rsidR="00A5034C" w:rsidRPr="00A5034C">
        <w:rPr>
          <w:i/>
          <w:iCs/>
        </w:rPr>
        <w:t>d</w:t>
      </w:r>
      <w:r w:rsidR="00D27874" w:rsidRPr="00A5034C">
        <w:rPr>
          <w:i/>
          <w:iCs/>
        </w:rPr>
        <w:t>)</w:t>
      </w:r>
      <w:r w:rsidR="00D27874" w:rsidRPr="00756BC8">
        <w:t>. Mahwah, NJ: Lawrence Erlbaum.</w:t>
      </w:r>
    </w:p>
    <w:p w14:paraId="568805B8" w14:textId="20F0D7D4" w:rsidR="000E5135" w:rsidRPr="000D7C39" w:rsidRDefault="000E5135" w:rsidP="000D7C39">
      <w:pPr>
        <w:spacing w:after="0"/>
        <w:ind w:left="720" w:hanging="720"/>
        <w:rPr>
          <w:rFonts w:eastAsia="Times New Roman" w:cs="Times New Roman"/>
          <w:i/>
          <w:iCs/>
          <w:szCs w:val="24"/>
          <w:lang w:eastAsia="en-GB"/>
        </w:rPr>
      </w:pPr>
      <w:r w:rsidRPr="000E5135">
        <w:rPr>
          <w:rFonts w:eastAsia="Times New Roman" w:cs="Times New Roman"/>
          <w:szCs w:val="24"/>
          <w:lang w:eastAsia="en-GB"/>
        </w:rPr>
        <w:t xml:space="preserve">Stöhr, A. (2013). </w:t>
      </w:r>
      <w:r w:rsidRPr="000E5135">
        <w:rPr>
          <w:rFonts w:eastAsia="Times New Roman" w:cs="Times New Roman"/>
          <w:i/>
          <w:iCs/>
          <w:szCs w:val="24"/>
          <w:lang w:eastAsia="en-GB"/>
        </w:rPr>
        <w:t>Air design as a success factor in retail: model-based assessment of success and strategic recommendations</w:t>
      </w:r>
      <w:r w:rsidRPr="000E5135">
        <w:rPr>
          <w:rFonts w:eastAsia="Times New Roman" w:cs="Times New Roman"/>
          <w:szCs w:val="24"/>
          <w:lang w:eastAsia="en-GB"/>
        </w:rPr>
        <w:t>. Springer publishing house.</w:t>
      </w:r>
    </w:p>
    <w:p w14:paraId="258F0C97" w14:textId="2C2F94D0" w:rsidR="009D11BB" w:rsidRPr="009D11BB" w:rsidRDefault="009D11BB" w:rsidP="000D7C39">
      <w:pPr>
        <w:pStyle w:val="BodyText"/>
        <w:spacing w:after="0"/>
        <w:ind w:left="720" w:hanging="720"/>
      </w:pPr>
      <w:proofErr w:type="spellStart"/>
      <w:r>
        <w:t>Stürck</w:t>
      </w:r>
      <w:proofErr w:type="spellEnd"/>
      <w:r>
        <w:t>, J., Schulze, K., Volk, M., Seppelt, R., &amp;</w:t>
      </w:r>
      <w:r w:rsidR="000D7C39">
        <w:t xml:space="preserve"> Verburg, P. H. (2021). Global </w:t>
      </w:r>
      <w:r>
        <w:t xml:space="preserve">patterns and changes in historical cropland and pasture: An analysis of 40 years of satellite data. </w:t>
      </w:r>
      <w:r w:rsidRPr="009D11BB">
        <w:rPr>
          <w:i/>
          <w:iCs/>
        </w:rPr>
        <w:t>Global Change Biology</w:t>
      </w:r>
      <w:r>
        <w:t>, 27(12), 2919-2934.</w:t>
      </w:r>
    </w:p>
    <w:p w14:paraId="2BE2AE4B" w14:textId="386CBEFD" w:rsidR="001B1941" w:rsidRPr="00C6759F" w:rsidRDefault="001B1941" w:rsidP="000D7C39">
      <w:pPr>
        <w:spacing w:after="0"/>
        <w:ind w:left="720" w:hanging="720"/>
        <w:rPr>
          <w:rFonts w:eastAsia="Times New Roman" w:cs="Times New Roman"/>
          <w:szCs w:val="24"/>
          <w:lang w:eastAsia="en-GB"/>
        </w:rPr>
      </w:pPr>
      <w:r w:rsidRPr="00C6759F">
        <w:rPr>
          <w:rFonts w:eastAsia="Times New Roman" w:cs="Times New Roman"/>
          <w:szCs w:val="24"/>
          <w:lang w:eastAsia="en-GB"/>
        </w:rPr>
        <w:t xml:space="preserve">Suchman, M. C. (1995). Managing legitimacy: Strategic and institutional approaches. </w:t>
      </w:r>
      <w:r w:rsidRPr="00C6759F">
        <w:rPr>
          <w:rFonts w:eastAsia="Times New Roman" w:cs="Times New Roman"/>
          <w:i/>
          <w:iCs/>
          <w:szCs w:val="24"/>
          <w:lang w:eastAsia="en-GB"/>
        </w:rPr>
        <w:t xml:space="preserve">Academy of </w:t>
      </w:r>
      <w:r w:rsidR="005B71DD">
        <w:rPr>
          <w:rFonts w:eastAsia="Times New Roman" w:cs="Times New Roman"/>
          <w:i/>
          <w:iCs/>
          <w:szCs w:val="24"/>
          <w:lang w:eastAsia="en-GB"/>
        </w:rPr>
        <w:t>M</w:t>
      </w:r>
      <w:r w:rsidRPr="00C6759F">
        <w:rPr>
          <w:rFonts w:eastAsia="Times New Roman" w:cs="Times New Roman"/>
          <w:i/>
          <w:iCs/>
          <w:szCs w:val="24"/>
          <w:lang w:eastAsia="en-GB"/>
        </w:rPr>
        <w:t xml:space="preserve">anagement </w:t>
      </w:r>
      <w:r w:rsidR="005B71DD">
        <w:rPr>
          <w:rFonts w:eastAsia="Times New Roman" w:cs="Times New Roman"/>
          <w:i/>
          <w:iCs/>
          <w:szCs w:val="24"/>
          <w:lang w:eastAsia="en-GB"/>
        </w:rPr>
        <w:t>R</w:t>
      </w:r>
      <w:r w:rsidRPr="00C6759F">
        <w:rPr>
          <w:rFonts w:eastAsia="Times New Roman" w:cs="Times New Roman"/>
          <w:i/>
          <w:iCs/>
          <w:szCs w:val="24"/>
          <w:lang w:eastAsia="en-GB"/>
        </w:rPr>
        <w:t>eview</w:t>
      </w:r>
      <w:r w:rsidRPr="00C6759F">
        <w:rPr>
          <w:rFonts w:eastAsia="Times New Roman" w:cs="Times New Roman"/>
          <w:szCs w:val="24"/>
          <w:lang w:eastAsia="en-GB"/>
        </w:rPr>
        <w:t xml:space="preserve">, </w:t>
      </w:r>
      <w:r w:rsidRPr="00C6759F">
        <w:rPr>
          <w:rFonts w:eastAsia="Times New Roman" w:cs="Times New Roman"/>
          <w:i/>
          <w:iCs/>
          <w:szCs w:val="24"/>
          <w:lang w:eastAsia="en-GB"/>
        </w:rPr>
        <w:t>20</w:t>
      </w:r>
      <w:r w:rsidRPr="00C6759F">
        <w:rPr>
          <w:rFonts w:eastAsia="Times New Roman" w:cs="Times New Roman"/>
          <w:szCs w:val="24"/>
          <w:lang w:eastAsia="en-GB"/>
        </w:rPr>
        <w:t>(3), 571-610.</w:t>
      </w:r>
    </w:p>
    <w:p w14:paraId="333C6E43" w14:textId="3EE7B811" w:rsidR="0030592F" w:rsidRPr="0030592F" w:rsidRDefault="0030592F" w:rsidP="000D7C39">
      <w:pPr>
        <w:spacing w:after="0"/>
        <w:ind w:left="720" w:hanging="720"/>
        <w:rPr>
          <w:rFonts w:eastAsia="Times New Roman" w:cs="Times New Roman"/>
          <w:szCs w:val="24"/>
          <w:lang w:eastAsia="en-GB"/>
        </w:rPr>
      </w:pPr>
      <w:r w:rsidRPr="0030592F">
        <w:rPr>
          <w:rFonts w:eastAsia="Times New Roman" w:cs="Times New Roman"/>
          <w:szCs w:val="24"/>
          <w:lang w:eastAsia="en-GB"/>
        </w:rPr>
        <w:t xml:space="preserve">Sunderlin, W. D., Angelsen, A., Belcher, B., Burgers, P., Nasi, R., Santoso, L., &amp; Wunder, S. (2005). Livelihoods, forests, and conservation in </w:t>
      </w:r>
      <w:r w:rsidRPr="0030592F">
        <w:rPr>
          <w:rFonts w:eastAsia="Times New Roman" w:cs="Times New Roman"/>
          <w:szCs w:val="24"/>
          <w:lang w:eastAsia="en-GB"/>
        </w:rPr>
        <w:lastRenderedPageBreak/>
        <w:t xml:space="preserve">developing countries: an overview. </w:t>
      </w:r>
      <w:r w:rsidRPr="0030592F">
        <w:rPr>
          <w:rFonts w:eastAsia="Times New Roman" w:cs="Times New Roman"/>
          <w:i/>
          <w:iCs/>
          <w:szCs w:val="24"/>
          <w:lang w:eastAsia="en-GB"/>
        </w:rPr>
        <w:t xml:space="preserve">World </w:t>
      </w:r>
      <w:r w:rsidR="005B71DD">
        <w:rPr>
          <w:rFonts w:eastAsia="Times New Roman" w:cs="Times New Roman"/>
          <w:i/>
          <w:iCs/>
          <w:szCs w:val="24"/>
          <w:lang w:eastAsia="en-GB"/>
        </w:rPr>
        <w:t>D</w:t>
      </w:r>
      <w:r w:rsidRPr="0030592F">
        <w:rPr>
          <w:rFonts w:eastAsia="Times New Roman" w:cs="Times New Roman"/>
          <w:i/>
          <w:iCs/>
          <w:szCs w:val="24"/>
          <w:lang w:eastAsia="en-GB"/>
        </w:rPr>
        <w:t>evelopment</w:t>
      </w:r>
      <w:r w:rsidRPr="0030592F">
        <w:rPr>
          <w:rFonts w:eastAsia="Times New Roman" w:cs="Times New Roman"/>
          <w:szCs w:val="24"/>
          <w:lang w:eastAsia="en-GB"/>
        </w:rPr>
        <w:t xml:space="preserve">, </w:t>
      </w:r>
      <w:r w:rsidRPr="0030592F">
        <w:rPr>
          <w:rFonts w:eastAsia="Times New Roman" w:cs="Times New Roman"/>
          <w:i/>
          <w:iCs/>
          <w:szCs w:val="24"/>
          <w:lang w:eastAsia="en-GB"/>
        </w:rPr>
        <w:t>33</w:t>
      </w:r>
      <w:r w:rsidRPr="0030592F">
        <w:rPr>
          <w:rFonts w:eastAsia="Times New Roman" w:cs="Times New Roman"/>
          <w:szCs w:val="24"/>
          <w:lang w:eastAsia="en-GB"/>
        </w:rPr>
        <w:t>(9), 1383-1402.</w:t>
      </w:r>
    </w:p>
    <w:p w14:paraId="57D0807D" w14:textId="5A8D3AF1" w:rsidR="00500A0A" w:rsidRPr="0015598A" w:rsidRDefault="00500A0A" w:rsidP="000D7C39">
      <w:pPr>
        <w:spacing w:after="0"/>
        <w:ind w:left="720" w:hanging="720"/>
        <w:rPr>
          <w:rFonts w:eastAsia="Times New Roman" w:cs="Times New Roman"/>
          <w:szCs w:val="24"/>
          <w:lang w:eastAsia="en-GB"/>
        </w:rPr>
      </w:pPr>
      <w:r w:rsidRPr="0015598A">
        <w:rPr>
          <w:rFonts w:eastAsia="Times New Roman" w:cs="Times New Roman"/>
          <w:szCs w:val="24"/>
          <w:lang w:eastAsia="en-GB"/>
        </w:rPr>
        <w:t>Sylviani, A</w:t>
      </w:r>
      <w:r>
        <w:rPr>
          <w:rFonts w:eastAsia="Times New Roman" w:cs="Times New Roman"/>
          <w:szCs w:val="24"/>
          <w:lang w:eastAsia="en-GB"/>
        </w:rPr>
        <w:t>.</w:t>
      </w:r>
      <w:r w:rsidRPr="0015598A">
        <w:rPr>
          <w:rFonts w:eastAsia="Times New Roman" w:cs="Times New Roman"/>
          <w:szCs w:val="24"/>
          <w:lang w:eastAsia="en-GB"/>
        </w:rPr>
        <w:t xml:space="preserve"> W</w:t>
      </w:r>
      <w:r>
        <w:t xml:space="preserve">., </w:t>
      </w:r>
      <w:proofErr w:type="spellStart"/>
      <w:r>
        <w:t>Sumirat</w:t>
      </w:r>
      <w:proofErr w:type="spellEnd"/>
      <w:r>
        <w:t xml:space="preserve">, B. K., </w:t>
      </w:r>
      <w:proofErr w:type="spellStart"/>
      <w:r>
        <w:t>Ekawati</w:t>
      </w:r>
      <w:proofErr w:type="spellEnd"/>
      <w:r>
        <w:t xml:space="preserve">, S., Hidayat, D. C., &amp; </w:t>
      </w:r>
      <w:proofErr w:type="spellStart"/>
      <w:r>
        <w:t>Nurlia</w:t>
      </w:r>
      <w:proofErr w:type="spellEnd"/>
      <w:r>
        <w:t>, A.</w:t>
      </w:r>
      <w:r w:rsidRPr="0015598A">
        <w:rPr>
          <w:rFonts w:eastAsia="Times New Roman" w:cs="Times New Roman"/>
          <w:szCs w:val="24"/>
          <w:lang w:eastAsia="en-GB"/>
        </w:rPr>
        <w:t xml:space="preserve"> (2023). Revealing The Significant Role </w:t>
      </w:r>
      <w:proofErr w:type="gramStart"/>
      <w:r w:rsidRPr="0015598A">
        <w:rPr>
          <w:rFonts w:eastAsia="Times New Roman" w:cs="Times New Roman"/>
          <w:szCs w:val="24"/>
          <w:lang w:eastAsia="en-GB"/>
        </w:rPr>
        <w:t>Of</w:t>
      </w:r>
      <w:proofErr w:type="gramEnd"/>
      <w:r w:rsidRPr="0015598A">
        <w:rPr>
          <w:rFonts w:eastAsia="Times New Roman" w:cs="Times New Roman"/>
          <w:szCs w:val="24"/>
          <w:lang w:eastAsia="en-GB"/>
        </w:rPr>
        <w:t xml:space="preserve"> Stakeholders Post-Determination Customary Forest Management </w:t>
      </w:r>
      <w:proofErr w:type="gramStart"/>
      <w:r w:rsidRPr="0015598A">
        <w:rPr>
          <w:rFonts w:eastAsia="Times New Roman" w:cs="Times New Roman"/>
          <w:szCs w:val="24"/>
          <w:lang w:eastAsia="en-GB"/>
        </w:rPr>
        <w:t>In</w:t>
      </w:r>
      <w:proofErr w:type="gramEnd"/>
      <w:r w:rsidRPr="0015598A">
        <w:rPr>
          <w:rFonts w:eastAsia="Times New Roman" w:cs="Times New Roman"/>
          <w:szCs w:val="24"/>
          <w:lang w:eastAsia="en-GB"/>
        </w:rPr>
        <w:t xml:space="preserve"> </w:t>
      </w:r>
      <w:proofErr w:type="gramStart"/>
      <w:r w:rsidRPr="0015598A">
        <w:rPr>
          <w:rFonts w:eastAsia="Times New Roman" w:cs="Times New Roman"/>
          <w:szCs w:val="24"/>
          <w:lang w:eastAsia="en-GB"/>
        </w:rPr>
        <w:t>The</w:t>
      </w:r>
      <w:proofErr w:type="gramEnd"/>
      <w:r w:rsidRPr="0015598A">
        <w:rPr>
          <w:rFonts w:eastAsia="Times New Roman" w:cs="Times New Roman"/>
          <w:szCs w:val="24"/>
          <w:lang w:eastAsia="en-GB"/>
        </w:rPr>
        <w:t xml:space="preserve"> </w:t>
      </w:r>
      <w:proofErr w:type="spellStart"/>
      <w:r w:rsidRPr="0015598A">
        <w:rPr>
          <w:rFonts w:eastAsia="Times New Roman" w:cs="Times New Roman"/>
          <w:szCs w:val="24"/>
          <w:lang w:eastAsia="en-GB"/>
        </w:rPr>
        <w:t>Serampas</w:t>
      </w:r>
      <w:proofErr w:type="spellEnd"/>
      <w:r w:rsidRPr="0015598A">
        <w:rPr>
          <w:rFonts w:eastAsia="Times New Roman" w:cs="Times New Roman"/>
          <w:szCs w:val="24"/>
          <w:lang w:eastAsia="en-GB"/>
        </w:rPr>
        <w:t xml:space="preserve"> Customary Law Community, Indonesia. </w:t>
      </w:r>
      <w:r w:rsidRPr="0015598A">
        <w:rPr>
          <w:rFonts w:eastAsia="Times New Roman" w:cs="Times New Roman"/>
          <w:i/>
          <w:iCs/>
          <w:szCs w:val="24"/>
          <w:lang w:eastAsia="en-GB"/>
        </w:rPr>
        <w:t>Journal of Namibian Studies: History Politics Culture</w:t>
      </w:r>
      <w:r w:rsidRPr="0015598A">
        <w:rPr>
          <w:rFonts w:eastAsia="Times New Roman" w:cs="Times New Roman"/>
          <w:szCs w:val="24"/>
          <w:lang w:eastAsia="en-GB"/>
        </w:rPr>
        <w:t xml:space="preserve">, </w:t>
      </w:r>
      <w:r w:rsidRPr="0015598A">
        <w:rPr>
          <w:rFonts w:eastAsia="Times New Roman" w:cs="Times New Roman"/>
          <w:i/>
          <w:iCs/>
          <w:szCs w:val="24"/>
          <w:lang w:eastAsia="en-GB"/>
        </w:rPr>
        <w:t>39</w:t>
      </w:r>
      <w:r w:rsidRPr="0015598A">
        <w:rPr>
          <w:rFonts w:eastAsia="Times New Roman" w:cs="Times New Roman"/>
          <w:szCs w:val="24"/>
          <w:lang w:eastAsia="en-GB"/>
        </w:rPr>
        <w:t>, 123-146.</w:t>
      </w:r>
    </w:p>
    <w:p w14:paraId="4C697009" w14:textId="771B166D" w:rsidR="006553C2" w:rsidRPr="000D7C39" w:rsidRDefault="006553C2" w:rsidP="000D7C39">
      <w:pPr>
        <w:spacing w:after="0"/>
        <w:ind w:left="720" w:hanging="720"/>
        <w:rPr>
          <w:rFonts w:eastAsia="Times New Roman" w:cs="Times New Roman"/>
          <w:i/>
          <w:iCs/>
          <w:szCs w:val="24"/>
          <w:lang w:eastAsia="en-GB"/>
        </w:rPr>
      </w:pPr>
      <w:proofErr w:type="spellStart"/>
      <w:r w:rsidRPr="006553C2">
        <w:rPr>
          <w:rFonts w:eastAsia="Times New Roman" w:cs="Times New Roman"/>
          <w:szCs w:val="24"/>
          <w:lang w:eastAsia="en-GB"/>
        </w:rPr>
        <w:t>Tashakkori</w:t>
      </w:r>
      <w:proofErr w:type="spellEnd"/>
      <w:r w:rsidRPr="006553C2">
        <w:rPr>
          <w:rFonts w:eastAsia="Times New Roman" w:cs="Times New Roman"/>
          <w:szCs w:val="24"/>
          <w:lang w:eastAsia="en-GB"/>
        </w:rPr>
        <w:t xml:space="preserve">, A., &amp; Teddlie, C. (1998). </w:t>
      </w:r>
      <w:r w:rsidRPr="006553C2">
        <w:rPr>
          <w:rFonts w:eastAsia="Times New Roman" w:cs="Times New Roman"/>
          <w:i/>
          <w:iCs/>
          <w:szCs w:val="24"/>
          <w:lang w:eastAsia="en-GB"/>
        </w:rPr>
        <w:t>Mixed methodology: Combining qualitative and quantitative approaches</w:t>
      </w:r>
      <w:r>
        <w:rPr>
          <w:rFonts w:eastAsia="Times New Roman" w:cs="Times New Roman"/>
          <w:szCs w:val="24"/>
          <w:lang w:eastAsia="en-GB"/>
        </w:rPr>
        <w:t xml:space="preserve">, </w:t>
      </w:r>
      <w:r w:rsidRPr="006553C2">
        <w:rPr>
          <w:rFonts w:eastAsia="Times New Roman" w:cs="Times New Roman"/>
          <w:szCs w:val="24"/>
          <w:lang w:eastAsia="en-GB"/>
        </w:rPr>
        <w:t>46. sage.</w:t>
      </w:r>
    </w:p>
    <w:p w14:paraId="0B8E32E2" w14:textId="77777777" w:rsidR="00043C6B" w:rsidRDefault="00043C6B" w:rsidP="000D7C39">
      <w:pPr>
        <w:pStyle w:val="NormalWeb"/>
        <w:spacing w:before="0" w:beforeAutospacing="0" w:after="0" w:afterAutospacing="0" w:line="480" w:lineRule="auto"/>
        <w:ind w:left="720" w:hanging="720"/>
        <w:jc w:val="both"/>
      </w:pPr>
      <w:r>
        <w:t xml:space="preserve">Tarrow, S. (2005). </w:t>
      </w:r>
      <w:r w:rsidRPr="00A74384">
        <w:rPr>
          <w:i/>
          <w:iCs/>
        </w:rPr>
        <w:t>The New Transnational Activism.</w:t>
      </w:r>
      <w:r>
        <w:t xml:space="preserve"> Cambridge: Cambridge </w:t>
      </w:r>
    </w:p>
    <w:p w14:paraId="6942C2EB" w14:textId="77777777" w:rsidR="00043C6B" w:rsidRDefault="00BB6EA5" w:rsidP="000D7C39">
      <w:pPr>
        <w:pStyle w:val="NormalWeb"/>
        <w:spacing w:before="0" w:beforeAutospacing="0" w:after="0" w:afterAutospacing="0" w:line="480" w:lineRule="auto"/>
        <w:ind w:left="720" w:hanging="720"/>
        <w:jc w:val="both"/>
      </w:pPr>
      <w:r>
        <w:tab/>
      </w:r>
      <w:r w:rsidR="00043C6B">
        <w:t>University Press.</w:t>
      </w:r>
    </w:p>
    <w:p w14:paraId="0C0CAE8F" w14:textId="65383C7F" w:rsidR="00FB5955" w:rsidRPr="000D7C39" w:rsidRDefault="00FB5955" w:rsidP="000D7C39">
      <w:pPr>
        <w:spacing w:after="0"/>
        <w:ind w:left="720" w:hanging="720"/>
        <w:rPr>
          <w:rFonts w:eastAsia="Times New Roman" w:cs="Times New Roman"/>
          <w:i/>
          <w:iCs/>
          <w:szCs w:val="24"/>
          <w:lang w:eastAsia="en-GB"/>
        </w:rPr>
      </w:pPr>
      <w:r w:rsidRPr="00FB5955">
        <w:rPr>
          <w:rFonts w:eastAsia="Times New Roman" w:cs="Times New Roman"/>
          <w:szCs w:val="24"/>
          <w:lang w:eastAsia="en-GB"/>
        </w:rPr>
        <w:t xml:space="preserve">Teddlie, C., &amp; </w:t>
      </w:r>
      <w:proofErr w:type="spellStart"/>
      <w:r w:rsidRPr="00FB5955">
        <w:rPr>
          <w:rFonts w:eastAsia="Times New Roman" w:cs="Times New Roman"/>
          <w:szCs w:val="24"/>
          <w:lang w:eastAsia="en-GB"/>
        </w:rPr>
        <w:t>Tashakkori</w:t>
      </w:r>
      <w:proofErr w:type="spellEnd"/>
      <w:r w:rsidRPr="00FB5955">
        <w:rPr>
          <w:rFonts w:eastAsia="Times New Roman" w:cs="Times New Roman"/>
          <w:szCs w:val="24"/>
          <w:lang w:eastAsia="en-GB"/>
        </w:rPr>
        <w:t xml:space="preserve">, A. (2009). </w:t>
      </w:r>
      <w:r w:rsidRPr="00FB5955">
        <w:rPr>
          <w:rFonts w:eastAsia="Times New Roman" w:cs="Times New Roman"/>
          <w:i/>
          <w:iCs/>
          <w:szCs w:val="24"/>
          <w:lang w:eastAsia="en-GB"/>
        </w:rPr>
        <w:t xml:space="preserve">Foundations of mixed methods research: Integrating quantitative and qualitative approaches in the social and </w:t>
      </w:r>
      <w:proofErr w:type="spellStart"/>
      <w:r w:rsidRPr="00FB5955">
        <w:rPr>
          <w:rFonts w:eastAsia="Times New Roman" w:cs="Times New Roman"/>
          <w:i/>
          <w:iCs/>
          <w:szCs w:val="24"/>
          <w:lang w:eastAsia="en-GB"/>
        </w:rPr>
        <w:t>behavioral</w:t>
      </w:r>
      <w:proofErr w:type="spellEnd"/>
      <w:r w:rsidRPr="00FB5955">
        <w:rPr>
          <w:rFonts w:eastAsia="Times New Roman" w:cs="Times New Roman"/>
          <w:i/>
          <w:iCs/>
          <w:szCs w:val="24"/>
          <w:lang w:eastAsia="en-GB"/>
        </w:rPr>
        <w:t xml:space="preserve"> sciences</w:t>
      </w:r>
      <w:r w:rsidRPr="00FB5955">
        <w:rPr>
          <w:rFonts w:eastAsia="Times New Roman" w:cs="Times New Roman"/>
          <w:szCs w:val="24"/>
          <w:lang w:eastAsia="en-GB"/>
        </w:rPr>
        <w:t>. Sage.</w:t>
      </w:r>
    </w:p>
    <w:p w14:paraId="1BA1E9DB" w14:textId="3975B95E" w:rsidR="00C56EAD" w:rsidRPr="003709A2" w:rsidRDefault="00C56EAD" w:rsidP="000D7C39">
      <w:pPr>
        <w:spacing w:after="0"/>
        <w:ind w:left="720" w:hanging="720"/>
        <w:rPr>
          <w:lang w:eastAsia="en-GB"/>
        </w:rPr>
      </w:pPr>
      <w:r w:rsidRPr="003709A2">
        <w:rPr>
          <w:lang w:eastAsia="en-GB"/>
        </w:rPr>
        <w:t xml:space="preserve">Thomson, J. T. (1992). A framework for analysing institutional incentives in community forestry. </w:t>
      </w:r>
      <w:r w:rsidRPr="003709A2">
        <w:rPr>
          <w:i/>
          <w:iCs/>
          <w:lang w:eastAsia="en-GB"/>
        </w:rPr>
        <w:t>A framework for analysing institutional incentives in community forestry</w:t>
      </w:r>
      <w:r w:rsidRPr="003709A2">
        <w:rPr>
          <w:lang w:eastAsia="en-GB"/>
        </w:rPr>
        <w:t>, (10).</w:t>
      </w:r>
    </w:p>
    <w:p w14:paraId="2D9528D6" w14:textId="77777777" w:rsidR="00AF7085" w:rsidRDefault="00D27874" w:rsidP="000D7C39">
      <w:pPr>
        <w:spacing w:after="0"/>
        <w:ind w:left="720" w:hanging="720"/>
      </w:pPr>
      <w:proofErr w:type="spellStart"/>
      <w:r w:rsidRPr="004C1DBC">
        <w:t>Thondhlana</w:t>
      </w:r>
      <w:proofErr w:type="spellEnd"/>
      <w:r w:rsidRPr="004C1DBC">
        <w:t>, G</w:t>
      </w:r>
      <w:r>
        <w:t>.,</w:t>
      </w:r>
      <w:r w:rsidRPr="004C1DBC">
        <w:t xml:space="preserve"> &amp; Hlatshwayo, T</w:t>
      </w:r>
      <w:r>
        <w:t>.</w:t>
      </w:r>
      <w:r w:rsidRPr="004C1DBC">
        <w:t xml:space="preserve"> (2018). Pro-Environmental Behaviour in </w:t>
      </w:r>
    </w:p>
    <w:p w14:paraId="4E4C6F03" w14:textId="0D42BA2B" w:rsidR="00D15027" w:rsidRPr="00D15027" w:rsidRDefault="00BB6EA5" w:rsidP="000D7C39">
      <w:pPr>
        <w:spacing w:after="0"/>
        <w:ind w:left="720" w:hanging="720"/>
      </w:pPr>
      <w:r>
        <w:tab/>
      </w:r>
      <w:r w:rsidR="00D27874" w:rsidRPr="004C1DBC">
        <w:t>Student</w:t>
      </w:r>
      <w:r w:rsidR="00D27874">
        <w:t xml:space="preserve"> </w:t>
      </w:r>
      <w:r w:rsidR="00D27874" w:rsidRPr="004C1DBC">
        <w:t xml:space="preserve">Residences at Rhodes University, South Africa. </w:t>
      </w:r>
      <w:r w:rsidR="00D27874" w:rsidRPr="005C243C">
        <w:rPr>
          <w:i/>
          <w:iCs/>
        </w:rPr>
        <w:t>Sustainability</w:t>
      </w:r>
      <w:r w:rsidR="005C243C">
        <w:t xml:space="preserve">, </w:t>
      </w:r>
      <w:r w:rsidR="00D27874" w:rsidRPr="004C1DBC">
        <w:t>10</w:t>
      </w:r>
      <w:r w:rsidR="005B71DD">
        <w:t>(8)</w:t>
      </w:r>
      <w:r w:rsidR="005C243C">
        <w:t>,</w:t>
      </w:r>
      <w:r w:rsidR="00D27874" w:rsidRPr="004C1DBC">
        <w:t xml:space="preserve"> </w:t>
      </w:r>
      <w:r w:rsidR="005B71DD">
        <w:t>1-19</w:t>
      </w:r>
      <w:r w:rsidR="00D27874" w:rsidRPr="004C1DBC">
        <w:t xml:space="preserve">. </w:t>
      </w:r>
    </w:p>
    <w:p w14:paraId="654B94B0" w14:textId="77777777" w:rsidR="00AF7085" w:rsidRDefault="00D27874" w:rsidP="000D7C39">
      <w:pPr>
        <w:spacing w:after="0"/>
        <w:ind w:left="720" w:hanging="720"/>
        <w:rPr>
          <w:rFonts w:eastAsia="Times New Roman" w:cs="Times New Roman"/>
          <w:szCs w:val="24"/>
          <w:lang w:eastAsia="en-GB"/>
        </w:rPr>
      </w:pPr>
      <w:bookmarkStart w:id="528" w:name="_Hlk166853734"/>
      <w:proofErr w:type="spellStart"/>
      <w:r w:rsidRPr="00DC3C6D">
        <w:rPr>
          <w:rFonts w:eastAsia="Times New Roman" w:cs="Times New Roman"/>
          <w:szCs w:val="24"/>
          <w:lang w:eastAsia="en-GB"/>
        </w:rPr>
        <w:t>Trouillier</w:t>
      </w:r>
      <w:proofErr w:type="spellEnd"/>
      <w:r w:rsidRPr="00DC3C6D">
        <w:rPr>
          <w:rFonts w:eastAsia="Times New Roman" w:cs="Times New Roman"/>
          <w:szCs w:val="24"/>
          <w:lang w:eastAsia="en-GB"/>
        </w:rPr>
        <w:t xml:space="preserve"> M,</w:t>
      </w:r>
      <w:r>
        <w:rPr>
          <w:rFonts w:eastAsia="Times New Roman" w:cs="Times New Roman"/>
          <w:szCs w:val="24"/>
          <w:lang w:eastAsia="en-GB"/>
        </w:rPr>
        <w:t xml:space="preserve"> </w:t>
      </w:r>
      <w:r w:rsidRPr="00DC3C6D">
        <w:rPr>
          <w:rFonts w:eastAsia="Times New Roman" w:cs="Times New Roman"/>
          <w:szCs w:val="24"/>
          <w:lang w:eastAsia="en-GB"/>
        </w:rPr>
        <w:t xml:space="preserve">van der </w:t>
      </w:r>
      <w:proofErr w:type="spellStart"/>
      <w:r w:rsidRPr="00DC3C6D">
        <w:rPr>
          <w:rFonts w:eastAsia="Times New Roman" w:cs="Times New Roman"/>
          <w:szCs w:val="24"/>
          <w:lang w:eastAsia="en-GB"/>
        </w:rPr>
        <w:t>Maaten</w:t>
      </w:r>
      <w:proofErr w:type="spellEnd"/>
      <w:r w:rsidRPr="00DC3C6D">
        <w:rPr>
          <w:rFonts w:eastAsia="Times New Roman" w:cs="Times New Roman"/>
          <w:szCs w:val="24"/>
          <w:lang w:eastAsia="en-GB"/>
        </w:rPr>
        <w:t>-Theunissen M,</w:t>
      </w:r>
      <w:r>
        <w:rPr>
          <w:rFonts w:eastAsia="Times New Roman" w:cs="Times New Roman"/>
          <w:szCs w:val="24"/>
          <w:lang w:eastAsia="en-GB"/>
        </w:rPr>
        <w:t xml:space="preserve"> </w:t>
      </w:r>
      <w:r w:rsidRPr="00DC3C6D">
        <w:rPr>
          <w:rFonts w:eastAsia="Times New Roman" w:cs="Times New Roman"/>
          <w:szCs w:val="24"/>
          <w:lang w:eastAsia="en-GB"/>
        </w:rPr>
        <w:t xml:space="preserve">Scharnweber T </w:t>
      </w:r>
      <w:r>
        <w:rPr>
          <w:rFonts w:eastAsia="Times New Roman" w:cs="Times New Roman"/>
          <w:szCs w:val="24"/>
          <w:lang w:eastAsia="en-GB"/>
        </w:rPr>
        <w:t>&amp;</w:t>
      </w:r>
      <w:r w:rsidRPr="00DC3C6D">
        <w:rPr>
          <w:rFonts w:eastAsia="Times New Roman" w:cs="Times New Roman"/>
          <w:szCs w:val="24"/>
          <w:lang w:eastAsia="en-GB"/>
        </w:rPr>
        <w:t xml:space="preserve"> </w:t>
      </w:r>
      <w:proofErr w:type="spellStart"/>
      <w:r w:rsidRPr="00DC3C6D">
        <w:rPr>
          <w:rFonts w:eastAsia="Times New Roman" w:cs="Times New Roman"/>
          <w:szCs w:val="24"/>
          <w:lang w:eastAsia="en-GB"/>
        </w:rPr>
        <w:t>Wilmking</w:t>
      </w:r>
      <w:proofErr w:type="spellEnd"/>
      <w:r w:rsidRPr="00DC3C6D">
        <w:rPr>
          <w:rFonts w:eastAsia="Times New Roman" w:cs="Times New Roman"/>
          <w:szCs w:val="24"/>
          <w:lang w:eastAsia="en-GB"/>
        </w:rPr>
        <w:t xml:space="preserve"> M</w:t>
      </w:r>
      <w:r>
        <w:rPr>
          <w:rFonts w:eastAsia="Times New Roman" w:cs="Times New Roman"/>
          <w:szCs w:val="24"/>
          <w:lang w:eastAsia="en-GB"/>
        </w:rPr>
        <w:t xml:space="preserve">. </w:t>
      </w:r>
    </w:p>
    <w:p w14:paraId="1F941289" w14:textId="4273A212" w:rsidR="00D27874" w:rsidRDefault="00BB6EA5" w:rsidP="000D7C39">
      <w:pPr>
        <w:spacing w:after="0"/>
        <w:ind w:left="720" w:hanging="720"/>
        <w:rPr>
          <w:rStyle w:val="Hyperlink"/>
        </w:rPr>
      </w:pPr>
      <w:r>
        <w:rPr>
          <w:rFonts w:eastAsia="Times New Roman" w:cs="Times New Roman"/>
          <w:szCs w:val="24"/>
          <w:lang w:eastAsia="en-GB"/>
        </w:rPr>
        <w:tab/>
      </w:r>
      <w:r w:rsidR="00D27874" w:rsidRPr="00DC3C6D">
        <w:rPr>
          <w:rFonts w:eastAsia="Times New Roman" w:cs="Times New Roman"/>
          <w:szCs w:val="24"/>
          <w:lang w:eastAsia="en-GB"/>
        </w:rPr>
        <w:t>(2020)</w:t>
      </w:r>
      <w:r w:rsidR="00D27874">
        <w:rPr>
          <w:rFonts w:eastAsia="Times New Roman" w:cs="Times New Roman"/>
          <w:szCs w:val="24"/>
          <w:lang w:eastAsia="en-GB"/>
        </w:rPr>
        <w:t>.</w:t>
      </w:r>
      <w:r w:rsidR="00D27874" w:rsidRPr="00DC3C6D">
        <w:rPr>
          <w:rFonts w:eastAsia="Times New Roman" w:cs="Times New Roman"/>
          <w:szCs w:val="24"/>
          <w:lang w:eastAsia="en-GB"/>
        </w:rPr>
        <w:t xml:space="preserve"> A Unifying Concept for Growth</w:t>
      </w:r>
      <w:r w:rsidR="00D27874">
        <w:rPr>
          <w:rFonts w:eastAsia="Times New Roman" w:cs="Times New Roman"/>
          <w:szCs w:val="24"/>
          <w:lang w:eastAsia="en-GB"/>
        </w:rPr>
        <w:t xml:space="preserve"> </w:t>
      </w:r>
      <w:r w:rsidR="00D27874" w:rsidRPr="00DC3C6D">
        <w:rPr>
          <w:rFonts w:eastAsia="Times New Roman" w:cs="Times New Roman"/>
          <w:szCs w:val="24"/>
          <w:lang w:eastAsia="en-GB"/>
        </w:rPr>
        <w:t>Trends of Trees and Forests –</w:t>
      </w:r>
      <w:r w:rsidR="00D27874">
        <w:rPr>
          <w:rFonts w:eastAsia="Times New Roman" w:cs="Times New Roman"/>
          <w:szCs w:val="24"/>
          <w:lang w:eastAsia="en-GB"/>
        </w:rPr>
        <w:t xml:space="preserve"> </w:t>
      </w:r>
      <w:r w:rsidR="00D27874" w:rsidRPr="00DC3C6D">
        <w:rPr>
          <w:rFonts w:eastAsia="Times New Roman" w:cs="Times New Roman"/>
          <w:szCs w:val="24"/>
          <w:lang w:eastAsia="en-GB"/>
        </w:rPr>
        <w:t>The “Potential Natural Forest”.</w:t>
      </w:r>
      <w:r w:rsidR="00D44E33">
        <w:rPr>
          <w:rFonts w:eastAsia="Times New Roman" w:cs="Times New Roman"/>
          <w:szCs w:val="24"/>
          <w:lang w:eastAsia="en-GB"/>
        </w:rPr>
        <w:t xml:space="preserve"> </w:t>
      </w:r>
      <w:r w:rsidR="00D44E33" w:rsidRPr="00D44E33">
        <w:rPr>
          <w:i/>
          <w:iCs/>
        </w:rPr>
        <w:t>Front. For. Glob. Change</w:t>
      </w:r>
      <w:r w:rsidR="00D44E33">
        <w:t xml:space="preserve">, 3. </w:t>
      </w:r>
      <w:hyperlink r:id="rId50" w:history="1">
        <w:r w:rsidR="00D44E33">
          <w:rPr>
            <w:rStyle w:val="Hyperlink"/>
          </w:rPr>
          <w:t>https://doi.org/10.3389/ffgc.2020.581334</w:t>
        </w:r>
      </w:hyperlink>
      <w:r w:rsidR="003C5F30">
        <w:rPr>
          <w:rStyle w:val="Hyperlink"/>
        </w:rPr>
        <w:t>.</w:t>
      </w:r>
    </w:p>
    <w:p w14:paraId="406A4890" w14:textId="7E00978A" w:rsidR="003C5F30" w:rsidRDefault="003C5F30" w:rsidP="000D7C39">
      <w:pPr>
        <w:spacing w:after="0"/>
        <w:ind w:left="720" w:hanging="720"/>
      </w:pPr>
      <w:r>
        <w:lastRenderedPageBreak/>
        <w:t>United Nations Environmental Prog</w:t>
      </w:r>
      <w:r w:rsidR="000D7C39">
        <w:t xml:space="preserve">ram (UNEP) (2015). Guidance on </w:t>
      </w:r>
      <w:r>
        <w:t>Organizational Life Cycle Assessment. Life-Cycle Initiative, United Nations Environment Programme and Society for Environmental Toxicology and Chemistry, Paris, France.</w:t>
      </w:r>
    </w:p>
    <w:p w14:paraId="0C6F0C4B" w14:textId="7E29ADD4" w:rsidR="00946933" w:rsidRPr="000D7C39" w:rsidRDefault="00946933" w:rsidP="000D7C39">
      <w:pPr>
        <w:spacing w:after="0"/>
        <w:ind w:left="720" w:hanging="720"/>
        <w:rPr>
          <w:i/>
          <w:iCs/>
        </w:rPr>
      </w:pPr>
      <w:r w:rsidRPr="006D306E">
        <w:t>United Nations Development Programme (2</w:t>
      </w:r>
      <w:r>
        <w:t>008</w:t>
      </w:r>
      <w:r w:rsidRPr="006D306E">
        <w:t>)</w:t>
      </w:r>
      <w:r>
        <w:t xml:space="preserve">. </w:t>
      </w:r>
      <w:r w:rsidR="000D7C39">
        <w:rPr>
          <w:i/>
          <w:iCs/>
        </w:rPr>
        <w:t xml:space="preserve">Supporting progress through </w:t>
      </w:r>
      <w:r w:rsidRPr="00B9312D">
        <w:rPr>
          <w:i/>
          <w:iCs/>
        </w:rPr>
        <w:t>equality</w:t>
      </w:r>
      <w:r>
        <w:t>. Nepal.</w:t>
      </w:r>
    </w:p>
    <w:p w14:paraId="0E97C925" w14:textId="77777777" w:rsidR="00AF7085" w:rsidRPr="00C44327" w:rsidRDefault="00D27874" w:rsidP="000D7C39">
      <w:pPr>
        <w:spacing w:after="0"/>
        <w:ind w:left="720" w:hanging="720"/>
        <w:rPr>
          <w:rFonts w:eastAsia="Times New Roman" w:cs="Times New Roman"/>
          <w:i/>
          <w:iCs/>
          <w:szCs w:val="24"/>
          <w:lang w:eastAsia="en-GB"/>
        </w:rPr>
      </w:pPr>
      <w:bookmarkStart w:id="529" w:name="_Hlk165492568"/>
      <w:bookmarkEnd w:id="528"/>
      <w:r w:rsidRPr="00A21180">
        <w:rPr>
          <w:rFonts w:eastAsia="Times New Roman" w:cs="Times New Roman"/>
          <w:szCs w:val="24"/>
          <w:lang w:eastAsia="en-GB"/>
        </w:rPr>
        <w:t>UNFCCC</w:t>
      </w:r>
      <w:r>
        <w:rPr>
          <w:rFonts w:eastAsia="Times New Roman" w:cs="Times New Roman"/>
          <w:szCs w:val="24"/>
          <w:lang w:eastAsia="en-GB"/>
        </w:rPr>
        <w:t xml:space="preserve"> (2007). </w:t>
      </w:r>
      <w:r w:rsidRPr="00C44327">
        <w:rPr>
          <w:rFonts w:eastAsia="Times New Roman" w:cs="Times New Roman"/>
          <w:i/>
          <w:iCs/>
          <w:szCs w:val="24"/>
          <w:lang w:eastAsia="en-GB"/>
        </w:rPr>
        <w:t xml:space="preserve">Reducing Emissions from Deforestation in Developing </w:t>
      </w:r>
    </w:p>
    <w:p w14:paraId="700C4CD5" w14:textId="77777777" w:rsidR="00D27874" w:rsidRDefault="00BB6EA5" w:rsidP="000D7C39">
      <w:pPr>
        <w:spacing w:after="0"/>
        <w:ind w:left="720" w:hanging="720"/>
      </w:pPr>
      <w:r>
        <w:rPr>
          <w:rFonts w:eastAsia="Times New Roman" w:cs="Times New Roman"/>
          <w:i/>
          <w:iCs/>
          <w:szCs w:val="24"/>
          <w:lang w:eastAsia="en-GB"/>
        </w:rPr>
        <w:tab/>
      </w:r>
      <w:r w:rsidR="00D27874" w:rsidRPr="00C44327">
        <w:rPr>
          <w:rFonts w:eastAsia="Times New Roman" w:cs="Times New Roman"/>
          <w:i/>
          <w:iCs/>
          <w:szCs w:val="24"/>
          <w:lang w:eastAsia="en-GB"/>
        </w:rPr>
        <w:t xml:space="preserve">Countries (REDD). </w:t>
      </w:r>
      <w:r w:rsidR="00D27874" w:rsidRPr="00767B39">
        <w:rPr>
          <w:rFonts w:eastAsia="Times New Roman" w:cs="Times New Roman"/>
          <w:szCs w:val="24"/>
          <w:lang w:eastAsia="en-GB"/>
        </w:rPr>
        <w:t>COM+ Media Training</w:t>
      </w:r>
      <w:r w:rsidR="00D27874">
        <w:rPr>
          <w:rFonts w:eastAsia="Times New Roman" w:cs="Times New Roman"/>
          <w:szCs w:val="24"/>
          <w:lang w:eastAsia="en-GB"/>
        </w:rPr>
        <w:t xml:space="preserve">, </w:t>
      </w:r>
      <w:r w:rsidR="00D27874" w:rsidRPr="00767B39">
        <w:rPr>
          <w:rFonts w:eastAsia="Times New Roman" w:cs="Times New Roman"/>
          <w:szCs w:val="24"/>
          <w:lang w:eastAsia="en-GB"/>
        </w:rPr>
        <w:t>Vienna</w:t>
      </w:r>
      <w:r w:rsidR="00D27874">
        <w:rPr>
          <w:rFonts w:eastAsia="Times New Roman" w:cs="Times New Roman"/>
          <w:szCs w:val="24"/>
          <w:lang w:eastAsia="en-GB"/>
        </w:rPr>
        <w:t xml:space="preserve">. </w:t>
      </w:r>
      <w:r w:rsidR="00D27874">
        <w:t>United Nation (2016) The Sustainable Development Goals Report 2016.</w:t>
      </w:r>
    </w:p>
    <w:p w14:paraId="657DFFE0" w14:textId="5584644A" w:rsidR="00C40AF6" w:rsidRDefault="00C40AF6" w:rsidP="000D7C39">
      <w:pPr>
        <w:spacing w:after="0"/>
        <w:ind w:left="720" w:hanging="720"/>
        <w:rPr>
          <w:rFonts w:eastAsia="Times New Roman" w:cs="Times New Roman"/>
          <w:szCs w:val="24"/>
          <w:lang w:eastAsia="en-GB"/>
        </w:rPr>
      </w:pPr>
      <w:r w:rsidRPr="00457FA9">
        <w:rPr>
          <w:rFonts w:eastAsia="Times New Roman" w:cs="Times New Roman"/>
          <w:szCs w:val="24"/>
          <w:lang w:eastAsia="en-GB"/>
        </w:rPr>
        <w:t xml:space="preserve">Veblen, T. (1899). Mr. Cummings's Strictures on" The Theory of the Leisure Class". </w:t>
      </w:r>
      <w:r w:rsidRPr="00457FA9">
        <w:rPr>
          <w:rFonts w:eastAsia="Times New Roman" w:cs="Times New Roman"/>
          <w:i/>
          <w:iCs/>
          <w:szCs w:val="24"/>
          <w:lang w:eastAsia="en-GB"/>
        </w:rPr>
        <w:t>Journal of Political Economy</w:t>
      </w:r>
      <w:r w:rsidRPr="00457FA9">
        <w:rPr>
          <w:rFonts w:eastAsia="Times New Roman" w:cs="Times New Roman"/>
          <w:szCs w:val="24"/>
          <w:lang w:eastAsia="en-GB"/>
        </w:rPr>
        <w:t xml:space="preserve">, </w:t>
      </w:r>
      <w:r w:rsidRPr="00457FA9">
        <w:rPr>
          <w:rFonts w:eastAsia="Times New Roman" w:cs="Times New Roman"/>
          <w:i/>
          <w:iCs/>
          <w:szCs w:val="24"/>
          <w:lang w:eastAsia="en-GB"/>
        </w:rPr>
        <w:t>8</w:t>
      </w:r>
      <w:r w:rsidRPr="00457FA9">
        <w:rPr>
          <w:rFonts w:eastAsia="Times New Roman" w:cs="Times New Roman"/>
          <w:szCs w:val="24"/>
          <w:lang w:eastAsia="en-GB"/>
        </w:rPr>
        <w:t>(1), 106-117.</w:t>
      </w:r>
    </w:p>
    <w:p w14:paraId="62652892" w14:textId="53084AB7" w:rsidR="009A5468" w:rsidRPr="00A17D73" w:rsidRDefault="009A5468" w:rsidP="000D7C39">
      <w:pPr>
        <w:spacing w:after="0"/>
        <w:ind w:left="720" w:hanging="720"/>
        <w:rPr>
          <w:rFonts w:eastAsia="Times New Roman" w:cs="Times New Roman"/>
          <w:szCs w:val="24"/>
          <w:lang w:val="fr-FR" w:eastAsia="en-GB"/>
        </w:rPr>
      </w:pPr>
      <w:r w:rsidRPr="009A5468">
        <w:rPr>
          <w:rFonts w:eastAsia="Times New Roman" w:cs="Times New Roman"/>
          <w:szCs w:val="24"/>
          <w:lang w:eastAsia="en-GB"/>
        </w:rPr>
        <w:t xml:space="preserve">VeneKlasen, L., &amp; Miller, V. (2002). Power and empowerment. </w:t>
      </w:r>
      <w:r w:rsidRPr="00A17D73">
        <w:rPr>
          <w:rFonts w:eastAsia="Times New Roman" w:cs="Times New Roman"/>
          <w:i/>
          <w:iCs/>
          <w:szCs w:val="24"/>
          <w:lang w:val="fr-FR" w:eastAsia="en-GB"/>
        </w:rPr>
        <w:t>PLA notes</w:t>
      </w:r>
      <w:r w:rsidRPr="00A17D73">
        <w:rPr>
          <w:rFonts w:eastAsia="Times New Roman" w:cs="Times New Roman"/>
          <w:szCs w:val="24"/>
          <w:lang w:val="fr-FR" w:eastAsia="en-GB"/>
        </w:rPr>
        <w:t xml:space="preserve">, </w:t>
      </w:r>
      <w:r w:rsidRPr="00A17D73">
        <w:rPr>
          <w:rFonts w:eastAsia="Times New Roman" w:cs="Times New Roman"/>
          <w:i/>
          <w:iCs/>
          <w:szCs w:val="24"/>
          <w:lang w:val="fr-FR" w:eastAsia="en-GB"/>
        </w:rPr>
        <w:t>43</w:t>
      </w:r>
      <w:r w:rsidRPr="00A17D73">
        <w:rPr>
          <w:rFonts w:eastAsia="Times New Roman" w:cs="Times New Roman"/>
          <w:szCs w:val="24"/>
          <w:lang w:val="fr-FR" w:eastAsia="en-GB"/>
        </w:rPr>
        <w:t>, 39-41.</w:t>
      </w:r>
    </w:p>
    <w:bookmarkEnd w:id="529"/>
    <w:p w14:paraId="22EC70A8" w14:textId="77777777" w:rsidR="00AF7085" w:rsidRPr="00A17D73" w:rsidRDefault="00D27874" w:rsidP="000D7C39">
      <w:pPr>
        <w:spacing w:after="0"/>
        <w:ind w:left="720" w:hanging="720"/>
        <w:rPr>
          <w:lang w:val="fr-FR"/>
        </w:rPr>
      </w:pPr>
      <w:r w:rsidRPr="00A17D73">
        <w:rPr>
          <w:lang w:val="fr-FR"/>
        </w:rPr>
        <w:t>Vicente-Molina M. A., Fernández-</w:t>
      </w:r>
      <w:proofErr w:type="spellStart"/>
      <w:r w:rsidRPr="00A17D73">
        <w:rPr>
          <w:lang w:val="fr-FR"/>
        </w:rPr>
        <w:t>Sáinz</w:t>
      </w:r>
      <w:proofErr w:type="spellEnd"/>
      <w:r w:rsidRPr="00A17D73">
        <w:rPr>
          <w:lang w:val="fr-FR"/>
        </w:rPr>
        <w:t xml:space="preserve">, A., &amp; </w:t>
      </w:r>
      <w:proofErr w:type="spellStart"/>
      <w:r w:rsidRPr="00A17D73">
        <w:rPr>
          <w:lang w:val="fr-FR"/>
        </w:rPr>
        <w:t>Izagirre-Olaizola</w:t>
      </w:r>
      <w:proofErr w:type="spellEnd"/>
      <w:r w:rsidRPr="00A17D73">
        <w:rPr>
          <w:lang w:val="fr-FR"/>
        </w:rPr>
        <w:t xml:space="preserve">, J. (2013). </w:t>
      </w:r>
    </w:p>
    <w:p w14:paraId="63AA9873" w14:textId="77777777" w:rsidR="00D27874" w:rsidRDefault="00BB6EA5" w:rsidP="000D7C39">
      <w:pPr>
        <w:spacing w:after="0"/>
        <w:ind w:left="720" w:hanging="720"/>
      </w:pPr>
      <w:r w:rsidRPr="00A17D73">
        <w:rPr>
          <w:lang w:val="fr-FR"/>
        </w:rPr>
        <w:tab/>
      </w:r>
      <w:r w:rsidR="00D27874">
        <w:t xml:space="preserve">Environmental knowledge and other variables affecting pro-environmental behaviour: comparison of university students from emerging and advanced countries. </w:t>
      </w:r>
      <w:r w:rsidR="00D27874" w:rsidRPr="00585023">
        <w:rPr>
          <w:i/>
          <w:iCs/>
        </w:rPr>
        <w:t>J Clean Prod</w:t>
      </w:r>
      <w:r w:rsidR="00D27874">
        <w:rPr>
          <w:i/>
          <w:iCs/>
        </w:rPr>
        <w:t>,</w:t>
      </w:r>
      <w:r w:rsidR="00D27874">
        <w:t xml:space="preserve"> 61,130–138.</w:t>
      </w:r>
    </w:p>
    <w:p w14:paraId="0ADFE155" w14:textId="435B2B70" w:rsidR="00FC2B9E" w:rsidRPr="00FC2B9E" w:rsidRDefault="00FC2B9E" w:rsidP="000D7C39">
      <w:pPr>
        <w:spacing w:after="0"/>
        <w:ind w:left="720" w:hanging="720"/>
        <w:rPr>
          <w:rFonts w:eastAsia="Times New Roman" w:cs="Times New Roman"/>
          <w:szCs w:val="24"/>
          <w:lang w:eastAsia="en-GB"/>
        </w:rPr>
      </w:pPr>
      <w:r w:rsidRPr="00FC2B9E">
        <w:rPr>
          <w:rFonts w:eastAsia="Times New Roman" w:cs="Times New Roman"/>
          <w:szCs w:val="24"/>
          <w:lang w:eastAsia="en-GB"/>
        </w:rPr>
        <w:t xml:space="preserve">Viszlai, I., Barredo, J. I., &amp; San-Miguel-Ayanz, J. (2016). Payments for forest ecosystem services. </w:t>
      </w:r>
      <w:r w:rsidRPr="00FC2B9E">
        <w:rPr>
          <w:rFonts w:eastAsia="Times New Roman" w:cs="Times New Roman"/>
          <w:i/>
          <w:iCs/>
          <w:szCs w:val="24"/>
          <w:lang w:eastAsia="en-GB"/>
        </w:rPr>
        <w:t>SWOT Analysis and Possibilities for Implementation. EUR</w:t>
      </w:r>
      <w:r w:rsidRPr="00FC2B9E">
        <w:rPr>
          <w:rFonts w:eastAsia="Times New Roman" w:cs="Times New Roman"/>
          <w:szCs w:val="24"/>
          <w:lang w:eastAsia="en-GB"/>
        </w:rPr>
        <w:t xml:space="preserve">, </w:t>
      </w:r>
      <w:r w:rsidRPr="00FC2B9E">
        <w:rPr>
          <w:rFonts w:eastAsia="Times New Roman" w:cs="Times New Roman"/>
          <w:i/>
          <w:iCs/>
          <w:szCs w:val="24"/>
          <w:lang w:eastAsia="en-GB"/>
        </w:rPr>
        <w:t>28128</w:t>
      </w:r>
      <w:r w:rsidRPr="00FC2B9E">
        <w:rPr>
          <w:rFonts w:eastAsia="Times New Roman" w:cs="Times New Roman"/>
          <w:szCs w:val="24"/>
          <w:lang w:eastAsia="en-GB"/>
        </w:rPr>
        <w:t>.</w:t>
      </w:r>
    </w:p>
    <w:p w14:paraId="22A74F31" w14:textId="77777777" w:rsidR="00AF7085" w:rsidRPr="00C44327" w:rsidRDefault="00D27874" w:rsidP="000D7C39">
      <w:pPr>
        <w:spacing w:after="0"/>
        <w:ind w:left="720" w:hanging="720"/>
        <w:rPr>
          <w:i/>
          <w:iCs/>
        </w:rPr>
      </w:pPr>
      <w:r w:rsidRPr="00D6631D">
        <w:t xml:space="preserve">Volpe, M. (2008). </w:t>
      </w:r>
      <w:r w:rsidRPr="00C44327">
        <w:rPr>
          <w:i/>
          <w:iCs/>
        </w:rPr>
        <w:t xml:space="preserve">Completing your qualitative dissertation: A roadmap from </w:t>
      </w:r>
    </w:p>
    <w:p w14:paraId="0795D55C" w14:textId="77777777" w:rsidR="00D27874" w:rsidRDefault="00BB6EA5" w:rsidP="000D7C39">
      <w:pPr>
        <w:spacing w:after="0"/>
        <w:ind w:left="720" w:hanging="720"/>
      </w:pPr>
      <w:r>
        <w:rPr>
          <w:i/>
          <w:iCs/>
        </w:rPr>
        <w:tab/>
      </w:r>
      <w:r w:rsidR="00D27874" w:rsidRPr="00C44327">
        <w:rPr>
          <w:i/>
          <w:iCs/>
        </w:rPr>
        <w:t>beginning to end</w:t>
      </w:r>
      <w:r w:rsidR="00D27874" w:rsidRPr="00D6631D">
        <w:t xml:space="preserve">. </w:t>
      </w:r>
      <w:r w:rsidR="00D27874" w:rsidRPr="00B9312D">
        <w:t>SAGE Publications</w:t>
      </w:r>
      <w:r w:rsidR="00D27874" w:rsidRPr="00D6631D">
        <w:t>, Inc.</w:t>
      </w:r>
    </w:p>
    <w:p w14:paraId="1A26D3A3" w14:textId="77777777" w:rsidR="00AF7085" w:rsidRDefault="00D27874" w:rsidP="000D7C39">
      <w:pPr>
        <w:spacing w:after="0"/>
        <w:ind w:left="720" w:hanging="720"/>
      </w:pPr>
      <w:r w:rsidRPr="00756BC8">
        <w:t xml:space="preserve">Wang, J., Ge, J., &amp; Lu, Q. (2012). </w:t>
      </w:r>
      <w:r w:rsidRPr="00C44327">
        <w:rPr>
          <w:i/>
          <w:iCs/>
        </w:rPr>
        <w:t>A Review of Stakeholder Analysis</w:t>
      </w:r>
      <w:r w:rsidRPr="00756BC8">
        <w:t>. The 3</w:t>
      </w:r>
      <w:r w:rsidRPr="00A638A2">
        <w:rPr>
          <w:vertAlign w:val="superscript"/>
        </w:rPr>
        <w:t>rd</w:t>
      </w:r>
      <w:r>
        <w:t xml:space="preserve"> </w:t>
      </w:r>
    </w:p>
    <w:p w14:paraId="5E91C3F1" w14:textId="77777777" w:rsidR="00D27874" w:rsidRDefault="00BB6EA5" w:rsidP="000D7C39">
      <w:pPr>
        <w:spacing w:after="0"/>
        <w:ind w:left="720" w:hanging="720"/>
      </w:pPr>
      <w:r>
        <w:tab/>
      </w:r>
      <w:r w:rsidR="00D27874" w:rsidRPr="00756BC8">
        <w:t>International Conference on System Science, Engineering Design and Manufacturing Informatization, 1–4.</w:t>
      </w:r>
    </w:p>
    <w:p w14:paraId="1916E971" w14:textId="77777777" w:rsidR="00853293" w:rsidRPr="00CF7673" w:rsidRDefault="00853293" w:rsidP="000D7C39">
      <w:pPr>
        <w:spacing w:after="0"/>
        <w:ind w:left="720" w:hanging="720"/>
        <w:rPr>
          <w:rFonts w:cs="Times New Roman"/>
          <w:szCs w:val="24"/>
        </w:rPr>
      </w:pPr>
      <w:r w:rsidRPr="00CF7673">
        <w:rPr>
          <w:rFonts w:cs="Times New Roman"/>
          <w:szCs w:val="24"/>
        </w:rPr>
        <w:lastRenderedPageBreak/>
        <w:t xml:space="preserve">Wang, S. &amp; Wilson, B. (2007). Pluralism in the economics of sustainable forest management. </w:t>
      </w:r>
      <w:r w:rsidRPr="002504D7">
        <w:rPr>
          <w:rFonts w:cs="Times New Roman"/>
          <w:i/>
          <w:iCs/>
          <w:szCs w:val="24"/>
        </w:rPr>
        <w:t>Forest Policy and Economics</w:t>
      </w:r>
      <w:r w:rsidRPr="00CF7673">
        <w:rPr>
          <w:rFonts w:cs="Times New Roman"/>
          <w:szCs w:val="24"/>
        </w:rPr>
        <w:t>, 9, 743-750.</w:t>
      </w:r>
    </w:p>
    <w:p w14:paraId="53A2A595" w14:textId="77777777" w:rsidR="001B1941" w:rsidRDefault="001B1941" w:rsidP="000D7C39">
      <w:pPr>
        <w:spacing w:after="0"/>
        <w:ind w:left="720" w:hanging="720"/>
      </w:pPr>
      <w:r>
        <w:t>Weber, M. (1904) The Methodology of Social Science. Free Press, New York.</w:t>
      </w:r>
    </w:p>
    <w:p w14:paraId="17E67CC1" w14:textId="77777777" w:rsidR="00AF7085" w:rsidRDefault="00D27874" w:rsidP="000D7C39">
      <w:pPr>
        <w:spacing w:after="0"/>
        <w:ind w:left="720" w:hanging="720"/>
        <w:rPr>
          <w:rFonts w:cs="Times New Roman"/>
          <w:szCs w:val="24"/>
        </w:rPr>
      </w:pPr>
      <w:bookmarkStart w:id="530" w:name="_Hlk165492597"/>
      <w:r w:rsidRPr="006D7A40">
        <w:rPr>
          <w:rFonts w:cs="Times New Roman"/>
          <w:szCs w:val="24"/>
        </w:rPr>
        <w:t>Weber, A.</w:t>
      </w:r>
      <w:r>
        <w:rPr>
          <w:rFonts w:cs="Times New Roman"/>
          <w:szCs w:val="24"/>
        </w:rPr>
        <w:t xml:space="preserve"> </w:t>
      </w:r>
      <w:r w:rsidRPr="006D7A40">
        <w:rPr>
          <w:rFonts w:cs="Times New Roman"/>
          <w:szCs w:val="24"/>
        </w:rPr>
        <w:t>K. (2018)</w:t>
      </w:r>
      <w:r>
        <w:rPr>
          <w:rFonts w:cs="Times New Roman"/>
          <w:szCs w:val="24"/>
        </w:rPr>
        <w:t xml:space="preserve">. </w:t>
      </w:r>
      <w:r w:rsidRPr="006D7A40">
        <w:rPr>
          <w:rFonts w:cs="Times New Roman"/>
          <w:szCs w:val="24"/>
        </w:rPr>
        <w:t>The Revival of the Honourable Merchant? Analysing</w:t>
      </w:r>
      <w:r>
        <w:rPr>
          <w:rFonts w:cs="Times New Roman"/>
          <w:szCs w:val="24"/>
        </w:rPr>
        <w:t xml:space="preserve"> </w:t>
      </w:r>
    </w:p>
    <w:p w14:paraId="004CBE8D" w14:textId="77777777" w:rsidR="00D27874" w:rsidRDefault="00BB6EA5" w:rsidP="000D7C39">
      <w:pPr>
        <w:spacing w:after="0"/>
        <w:ind w:left="720" w:hanging="720"/>
        <w:rPr>
          <w:rFonts w:cs="Times New Roman"/>
          <w:szCs w:val="24"/>
        </w:rPr>
      </w:pPr>
      <w:r>
        <w:rPr>
          <w:rFonts w:cs="Times New Roman"/>
          <w:szCs w:val="24"/>
        </w:rPr>
        <w:tab/>
      </w:r>
      <w:r w:rsidR="00D27874" w:rsidRPr="006D7A40">
        <w:rPr>
          <w:rFonts w:cs="Times New Roman"/>
          <w:szCs w:val="24"/>
        </w:rPr>
        <w:t>Private Forest Governance at Firm Level</w:t>
      </w:r>
      <w:r w:rsidR="00D27874">
        <w:rPr>
          <w:rFonts w:cs="Times New Roman"/>
          <w:szCs w:val="24"/>
        </w:rPr>
        <w:t xml:space="preserve">. </w:t>
      </w:r>
      <w:r w:rsidR="00D27874" w:rsidRPr="00982156">
        <w:rPr>
          <w:rFonts w:cs="Times New Roman"/>
          <w:i/>
          <w:iCs/>
          <w:szCs w:val="24"/>
        </w:rPr>
        <w:t>International Environmental Agreements: Politics, Law and Economics</w:t>
      </w:r>
      <w:r w:rsidR="00D27874" w:rsidRPr="006D7A40">
        <w:rPr>
          <w:rFonts w:cs="Times New Roman"/>
          <w:szCs w:val="24"/>
        </w:rPr>
        <w:t>, 18(4)</w:t>
      </w:r>
      <w:r w:rsidR="00D27874">
        <w:rPr>
          <w:rFonts w:cs="Times New Roman"/>
          <w:szCs w:val="24"/>
        </w:rPr>
        <w:t>,</w:t>
      </w:r>
      <w:r w:rsidR="00D27874" w:rsidRPr="006D7A40">
        <w:rPr>
          <w:rFonts w:cs="Times New Roman"/>
          <w:szCs w:val="24"/>
        </w:rPr>
        <w:t>619–634.</w:t>
      </w:r>
    </w:p>
    <w:bookmarkEnd w:id="530"/>
    <w:p w14:paraId="5BD8C72D" w14:textId="1B9E34A4" w:rsidR="00300682" w:rsidRPr="00300682" w:rsidRDefault="00300682" w:rsidP="000D7C39">
      <w:pPr>
        <w:spacing w:after="0"/>
        <w:ind w:left="720" w:hanging="720"/>
        <w:rPr>
          <w:rFonts w:eastAsia="Times New Roman" w:cs="Times New Roman"/>
          <w:szCs w:val="24"/>
          <w:lang w:eastAsia="en-GB"/>
        </w:rPr>
      </w:pPr>
      <w:r w:rsidRPr="00300682">
        <w:rPr>
          <w:rFonts w:eastAsia="Times New Roman" w:cs="Times New Roman"/>
          <w:szCs w:val="24"/>
          <w:lang w:eastAsia="en-GB"/>
        </w:rPr>
        <w:t xml:space="preserve">Webster, J., &amp; Watson, R. T. (2002). </w:t>
      </w:r>
      <w:proofErr w:type="spellStart"/>
      <w:r w:rsidRPr="00300682">
        <w:rPr>
          <w:rFonts w:eastAsia="Times New Roman" w:cs="Times New Roman"/>
          <w:szCs w:val="24"/>
          <w:lang w:eastAsia="en-GB"/>
        </w:rPr>
        <w:t>Analyzing</w:t>
      </w:r>
      <w:proofErr w:type="spellEnd"/>
      <w:r w:rsidRPr="00300682">
        <w:rPr>
          <w:rFonts w:eastAsia="Times New Roman" w:cs="Times New Roman"/>
          <w:szCs w:val="24"/>
          <w:lang w:eastAsia="en-GB"/>
        </w:rPr>
        <w:t xml:space="preserve"> the past to prepare for the future: Writing a literature review. </w:t>
      </w:r>
      <w:r w:rsidRPr="00300682">
        <w:rPr>
          <w:rFonts w:eastAsia="Times New Roman" w:cs="Times New Roman"/>
          <w:i/>
          <w:iCs/>
          <w:szCs w:val="24"/>
          <w:lang w:eastAsia="en-GB"/>
        </w:rPr>
        <w:t>MIS quarterly</w:t>
      </w:r>
      <w:r w:rsidRPr="00300682">
        <w:rPr>
          <w:rFonts w:eastAsia="Times New Roman" w:cs="Times New Roman"/>
          <w:szCs w:val="24"/>
          <w:lang w:eastAsia="en-GB"/>
        </w:rPr>
        <w:t>, xiii-xxiii.</w:t>
      </w:r>
    </w:p>
    <w:p w14:paraId="019ADF3D" w14:textId="77777777" w:rsidR="00AF7085" w:rsidRPr="002A0FF7" w:rsidRDefault="00D27874" w:rsidP="000D7C39">
      <w:pPr>
        <w:spacing w:after="0"/>
        <w:ind w:left="720" w:hanging="720"/>
        <w:rPr>
          <w:i/>
          <w:iCs/>
        </w:rPr>
      </w:pPr>
      <w:bookmarkStart w:id="531" w:name="_Hlk165315831"/>
      <w:r w:rsidRPr="00756BC8">
        <w:t xml:space="preserve">Wekesa, I. W. (2017). </w:t>
      </w:r>
      <w:r w:rsidRPr="002A0FF7">
        <w:rPr>
          <w:i/>
          <w:iCs/>
        </w:rPr>
        <w:t xml:space="preserve">Examining the role of community participation in forest </w:t>
      </w:r>
    </w:p>
    <w:p w14:paraId="2D72E581" w14:textId="77777777" w:rsidR="00D27874" w:rsidRDefault="00BB6EA5" w:rsidP="000D7C39">
      <w:pPr>
        <w:spacing w:after="0"/>
        <w:ind w:left="720" w:hanging="720"/>
      </w:pPr>
      <w:r>
        <w:rPr>
          <w:i/>
          <w:iCs/>
        </w:rPr>
        <w:tab/>
      </w:r>
      <w:r w:rsidR="00D27874" w:rsidRPr="002A0FF7">
        <w:rPr>
          <w:i/>
          <w:iCs/>
        </w:rPr>
        <w:t xml:space="preserve">management and conservation in </w:t>
      </w:r>
      <w:proofErr w:type="spellStart"/>
      <w:r w:rsidR="00D27874" w:rsidRPr="002A0FF7">
        <w:rPr>
          <w:i/>
          <w:iCs/>
        </w:rPr>
        <w:t>Kimoth</w:t>
      </w:r>
      <w:r>
        <w:rPr>
          <w:i/>
          <w:iCs/>
        </w:rPr>
        <w:t>on</w:t>
      </w:r>
      <w:proofErr w:type="spellEnd"/>
      <w:r>
        <w:rPr>
          <w:i/>
          <w:iCs/>
        </w:rPr>
        <w:t xml:space="preserve"> Forest, Trans </w:t>
      </w:r>
      <w:proofErr w:type="spellStart"/>
      <w:r>
        <w:rPr>
          <w:i/>
          <w:iCs/>
        </w:rPr>
        <w:t>Nzoia</w:t>
      </w:r>
      <w:proofErr w:type="spellEnd"/>
      <w:r>
        <w:rPr>
          <w:i/>
          <w:iCs/>
        </w:rPr>
        <w:t xml:space="preserve"> County, </w:t>
      </w:r>
      <w:r w:rsidR="00D27874" w:rsidRPr="002A0FF7">
        <w:rPr>
          <w:i/>
          <w:iCs/>
        </w:rPr>
        <w:t>Kenya.</w:t>
      </w:r>
      <w:r w:rsidR="00D27874">
        <w:t xml:space="preserve"> </w:t>
      </w:r>
      <w:proofErr w:type="spellStart"/>
      <w:proofErr w:type="gramStart"/>
      <w:r w:rsidR="00D27874" w:rsidRPr="00756BC8">
        <w:t>Master</w:t>
      </w:r>
      <w:r w:rsidR="00D27874">
        <w:t>s</w:t>
      </w:r>
      <w:proofErr w:type="spellEnd"/>
      <w:proofErr w:type="gramEnd"/>
      <w:r w:rsidR="00D27874">
        <w:t xml:space="preserve"> </w:t>
      </w:r>
      <w:r w:rsidR="00D27874" w:rsidRPr="00756BC8">
        <w:t>Thesis,</w:t>
      </w:r>
      <w:r w:rsidR="00D27874">
        <w:t xml:space="preserve"> </w:t>
      </w:r>
      <w:r w:rsidR="00D27874" w:rsidRPr="00756BC8">
        <w:t>Unpublished.</w:t>
      </w:r>
      <w:bookmarkEnd w:id="531"/>
      <w:r w:rsidR="00D27874" w:rsidRPr="00756BC8">
        <w:t xml:space="preserve">  </w:t>
      </w:r>
    </w:p>
    <w:p w14:paraId="6298FDDF" w14:textId="2B8B8927" w:rsidR="004C4BE1" w:rsidRDefault="004C4BE1" w:rsidP="004C4BE1">
      <w:pPr>
        <w:ind w:left="720" w:hanging="720"/>
      </w:pPr>
      <w:r>
        <w:t xml:space="preserve">Whaley, L. (2018) The critical institutional analysis and development (CIAD) framework. </w:t>
      </w:r>
      <w:r w:rsidRPr="004C4BE1">
        <w:rPr>
          <w:i/>
          <w:iCs/>
        </w:rPr>
        <w:t>International Journal of the Commons</w:t>
      </w:r>
      <w:r>
        <w:t>, 12 (2),137-161. ISSN 1875-0281.</w:t>
      </w:r>
    </w:p>
    <w:p w14:paraId="2BDB3E23" w14:textId="77777777" w:rsidR="00AF7085" w:rsidRDefault="00D27874" w:rsidP="000D7C39">
      <w:pPr>
        <w:spacing w:after="0"/>
        <w:ind w:left="720" w:hanging="720"/>
        <w:rPr>
          <w:rStyle w:val="markedcontent"/>
        </w:rPr>
      </w:pPr>
      <w:r w:rsidRPr="00756BC8">
        <w:rPr>
          <w:rStyle w:val="markedcontent"/>
        </w:rPr>
        <w:t>White, D. R. (2004). A student’s guide to statistics for analysis of</w:t>
      </w:r>
      <w:r>
        <w:rPr>
          <w:rStyle w:val="markedcontent"/>
        </w:rPr>
        <w:t xml:space="preserve"> </w:t>
      </w:r>
      <w:r w:rsidRPr="00756BC8">
        <w:rPr>
          <w:rStyle w:val="markedcontent"/>
        </w:rPr>
        <w:t>cross-</w:t>
      </w:r>
    </w:p>
    <w:p w14:paraId="14EB9381" w14:textId="77777777" w:rsidR="00D27874" w:rsidRDefault="00BB6EA5" w:rsidP="000D7C39">
      <w:pPr>
        <w:spacing w:after="0"/>
        <w:ind w:left="720" w:hanging="720"/>
        <w:rPr>
          <w:rStyle w:val="markedcontent"/>
        </w:rPr>
      </w:pPr>
      <w:r>
        <w:rPr>
          <w:rStyle w:val="markedcontent"/>
        </w:rPr>
        <w:tab/>
      </w:r>
      <w:r w:rsidR="00D27874" w:rsidRPr="00756BC8">
        <w:rPr>
          <w:rStyle w:val="markedcontent"/>
        </w:rPr>
        <w:t xml:space="preserve">tabulations. </w:t>
      </w:r>
      <w:r w:rsidR="00D27874" w:rsidRPr="00756BC8">
        <w:rPr>
          <w:rStyle w:val="markedcontent"/>
          <w:i/>
          <w:iCs/>
        </w:rPr>
        <w:t>World Cultures</w:t>
      </w:r>
      <w:r w:rsidR="002A0FF7">
        <w:rPr>
          <w:rStyle w:val="markedcontent"/>
          <w:i/>
          <w:iCs/>
        </w:rPr>
        <w:t>,</w:t>
      </w:r>
      <w:r w:rsidR="00D27874" w:rsidRPr="00756BC8">
        <w:rPr>
          <w:rStyle w:val="markedcontent"/>
        </w:rPr>
        <w:t xml:space="preserve"> 14(2)</w:t>
      </w:r>
      <w:r w:rsidR="002A0FF7">
        <w:rPr>
          <w:rStyle w:val="markedcontent"/>
        </w:rPr>
        <w:t xml:space="preserve">, </w:t>
      </w:r>
      <w:r w:rsidR="00D27874" w:rsidRPr="00756BC8">
        <w:rPr>
          <w:rStyle w:val="markedcontent"/>
        </w:rPr>
        <w:t>179-193</w:t>
      </w:r>
    </w:p>
    <w:p w14:paraId="2C868256" w14:textId="77777777" w:rsidR="00853293" w:rsidRDefault="00853293" w:rsidP="000D7C39">
      <w:pPr>
        <w:spacing w:after="0"/>
        <w:ind w:left="720" w:hanging="720"/>
        <w:rPr>
          <w:rFonts w:cs="Times New Roman"/>
          <w:szCs w:val="24"/>
        </w:rPr>
      </w:pPr>
      <w:r w:rsidRPr="00CF7673">
        <w:rPr>
          <w:rFonts w:cs="Times New Roman"/>
          <w:szCs w:val="24"/>
        </w:rPr>
        <w:t xml:space="preserve">Wiersum, K.F. (1995). 200 years of sustainability in forestry: lessons from </w:t>
      </w:r>
    </w:p>
    <w:p w14:paraId="3F42DD7E" w14:textId="77777777" w:rsidR="00853293" w:rsidRDefault="00BB6EA5" w:rsidP="000D7C39">
      <w:pPr>
        <w:spacing w:after="0"/>
        <w:ind w:left="720" w:hanging="720"/>
        <w:rPr>
          <w:rFonts w:cs="Times New Roman"/>
          <w:szCs w:val="24"/>
        </w:rPr>
      </w:pPr>
      <w:r>
        <w:rPr>
          <w:rFonts w:cs="Times New Roman"/>
          <w:szCs w:val="24"/>
        </w:rPr>
        <w:tab/>
      </w:r>
      <w:r w:rsidR="00853293" w:rsidRPr="00CF7673">
        <w:rPr>
          <w:rFonts w:cs="Times New Roman"/>
          <w:szCs w:val="24"/>
        </w:rPr>
        <w:t xml:space="preserve">history. </w:t>
      </w:r>
      <w:r w:rsidR="00853293" w:rsidRPr="002504D7">
        <w:rPr>
          <w:rFonts w:cs="Times New Roman"/>
          <w:i/>
          <w:iCs/>
          <w:szCs w:val="24"/>
        </w:rPr>
        <w:t>Environmental Management</w:t>
      </w:r>
      <w:r w:rsidR="00853293" w:rsidRPr="00CF7673">
        <w:rPr>
          <w:rFonts w:cs="Times New Roman"/>
          <w:szCs w:val="24"/>
        </w:rPr>
        <w:t>, 19</w:t>
      </w:r>
      <w:r w:rsidR="00853293">
        <w:rPr>
          <w:rFonts w:cs="Times New Roman"/>
          <w:szCs w:val="24"/>
        </w:rPr>
        <w:t>(</w:t>
      </w:r>
      <w:r w:rsidR="00853293" w:rsidRPr="00CF7673">
        <w:rPr>
          <w:rFonts w:cs="Times New Roman"/>
          <w:szCs w:val="24"/>
        </w:rPr>
        <w:t>4,</w:t>
      </w:r>
      <w:r w:rsidR="00853293">
        <w:rPr>
          <w:rFonts w:cs="Times New Roman"/>
          <w:szCs w:val="24"/>
        </w:rPr>
        <w:t>),</w:t>
      </w:r>
      <w:r w:rsidR="00853293" w:rsidRPr="00CF7673">
        <w:rPr>
          <w:rFonts w:cs="Times New Roman"/>
          <w:szCs w:val="24"/>
        </w:rPr>
        <w:t xml:space="preserve"> 321-329.</w:t>
      </w:r>
    </w:p>
    <w:p w14:paraId="03380E78" w14:textId="77777777" w:rsidR="00853293" w:rsidRDefault="00853293" w:rsidP="000D7C39">
      <w:pPr>
        <w:spacing w:after="0"/>
        <w:ind w:left="720" w:hanging="720"/>
        <w:rPr>
          <w:rFonts w:cs="Times New Roman"/>
          <w:szCs w:val="24"/>
        </w:rPr>
      </w:pPr>
      <w:r w:rsidRPr="00CF7673">
        <w:rPr>
          <w:rFonts w:cs="Times New Roman"/>
          <w:szCs w:val="24"/>
        </w:rPr>
        <w:t xml:space="preserve">Wijewardana, D. (2008). Criteria and indicators for sustainable forest </w:t>
      </w:r>
    </w:p>
    <w:p w14:paraId="188FCBBE" w14:textId="1A1833AC" w:rsidR="00853293" w:rsidRDefault="00BB6EA5" w:rsidP="000D7C39">
      <w:pPr>
        <w:spacing w:after="0"/>
        <w:ind w:left="720" w:hanging="720"/>
        <w:rPr>
          <w:rFonts w:cs="Times New Roman"/>
          <w:szCs w:val="24"/>
        </w:rPr>
      </w:pPr>
      <w:r>
        <w:rPr>
          <w:rFonts w:cs="Times New Roman"/>
          <w:szCs w:val="24"/>
        </w:rPr>
        <w:tab/>
      </w:r>
      <w:r w:rsidR="00853293" w:rsidRPr="00CF7673">
        <w:rPr>
          <w:rFonts w:cs="Times New Roman"/>
          <w:szCs w:val="24"/>
        </w:rPr>
        <w:t xml:space="preserve">management: The road travelled and the way ahead. </w:t>
      </w:r>
      <w:r w:rsidR="00853293" w:rsidRPr="00406DA8">
        <w:rPr>
          <w:rFonts w:cs="Times New Roman"/>
          <w:i/>
          <w:iCs/>
          <w:szCs w:val="24"/>
        </w:rPr>
        <w:t xml:space="preserve">Ecological </w:t>
      </w:r>
      <w:r w:rsidR="002E4DDA">
        <w:rPr>
          <w:rFonts w:cs="Times New Roman"/>
          <w:i/>
          <w:iCs/>
          <w:szCs w:val="24"/>
        </w:rPr>
        <w:t>I</w:t>
      </w:r>
      <w:r w:rsidR="00853293" w:rsidRPr="00406DA8">
        <w:rPr>
          <w:rFonts w:cs="Times New Roman"/>
          <w:i/>
          <w:iCs/>
          <w:szCs w:val="24"/>
        </w:rPr>
        <w:t>ndicators</w:t>
      </w:r>
      <w:r w:rsidR="00853293" w:rsidRPr="00CF7673">
        <w:rPr>
          <w:rFonts w:cs="Times New Roman"/>
          <w:szCs w:val="24"/>
        </w:rPr>
        <w:t>, 8,</w:t>
      </w:r>
      <w:r w:rsidR="00853293">
        <w:rPr>
          <w:rFonts w:cs="Times New Roman"/>
          <w:szCs w:val="24"/>
        </w:rPr>
        <w:t xml:space="preserve"> </w:t>
      </w:r>
      <w:r w:rsidR="00853293" w:rsidRPr="00CF7673">
        <w:rPr>
          <w:rFonts w:cs="Times New Roman"/>
          <w:szCs w:val="24"/>
        </w:rPr>
        <w:t>115-122.</w:t>
      </w:r>
    </w:p>
    <w:p w14:paraId="358882FF" w14:textId="1F563FF6" w:rsidR="00531D03" w:rsidRDefault="00531D03" w:rsidP="000D7C39">
      <w:pPr>
        <w:spacing w:after="0"/>
        <w:ind w:left="720" w:hanging="720"/>
        <w:rPr>
          <w:rFonts w:eastAsia="Times New Roman" w:cs="Times New Roman"/>
          <w:szCs w:val="24"/>
          <w:lang w:eastAsia="en-GB"/>
        </w:rPr>
      </w:pPr>
      <w:r w:rsidRPr="00C63A3F">
        <w:rPr>
          <w:rFonts w:eastAsia="Times New Roman" w:cs="Times New Roman"/>
          <w:szCs w:val="24"/>
          <w:lang w:eastAsia="en-GB"/>
        </w:rPr>
        <w:t xml:space="preserve">Wildavsky, A. (1992). " Political Implications of Budget Reform:" A Retrospective. </w:t>
      </w:r>
      <w:r w:rsidRPr="00C63A3F">
        <w:rPr>
          <w:rFonts w:eastAsia="Times New Roman" w:cs="Times New Roman"/>
          <w:i/>
          <w:iCs/>
          <w:szCs w:val="24"/>
          <w:lang w:eastAsia="en-GB"/>
        </w:rPr>
        <w:t xml:space="preserve">Public </w:t>
      </w:r>
      <w:r w:rsidR="002E4DDA">
        <w:rPr>
          <w:rFonts w:eastAsia="Times New Roman" w:cs="Times New Roman"/>
          <w:i/>
          <w:iCs/>
          <w:szCs w:val="24"/>
          <w:lang w:eastAsia="en-GB"/>
        </w:rPr>
        <w:t>A</w:t>
      </w:r>
      <w:r w:rsidRPr="00C63A3F">
        <w:rPr>
          <w:rFonts w:eastAsia="Times New Roman" w:cs="Times New Roman"/>
          <w:i/>
          <w:iCs/>
          <w:szCs w:val="24"/>
          <w:lang w:eastAsia="en-GB"/>
        </w:rPr>
        <w:t xml:space="preserve">dministration </w:t>
      </w:r>
      <w:r w:rsidR="002E4DDA">
        <w:rPr>
          <w:rFonts w:eastAsia="Times New Roman" w:cs="Times New Roman"/>
          <w:i/>
          <w:iCs/>
          <w:szCs w:val="24"/>
          <w:lang w:eastAsia="en-GB"/>
        </w:rPr>
        <w:t>R</w:t>
      </w:r>
      <w:r w:rsidRPr="00C63A3F">
        <w:rPr>
          <w:rFonts w:eastAsia="Times New Roman" w:cs="Times New Roman"/>
          <w:i/>
          <w:iCs/>
          <w:szCs w:val="24"/>
          <w:lang w:eastAsia="en-GB"/>
        </w:rPr>
        <w:t>eview</w:t>
      </w:r>
      <w:r w:rsidRPr="00C63A3F">
        <w:rPr>
          <w:rFonts w:eastAsia="Times New Roman" w:cs="Times New Roman"/>
          <w:szCs w:val="24"/>
          <w:lang w:eastAsia="en-GB"/>
        </w:rPr>
        <w:t xml:space="preserve">, </w:t>
      </w:r>
      <w:r>
        <w:rPr>
          <w:rFonts w:eastAsia="Times New Roman" w:cs="Times New Roman"/>
          <w:szCs w:val="24"/>
          <w:lang w:eastAsia="en-GB"/>
        </w:rPr>
        <w:t>52(6),</w:t>
      </w:r>
      <w:r w:rsidRPr="00C63A3F">
        <w:rPr>
          <w:rFonts w:eastAsia="Times New Roman" w:cs="Times New Roman"/>
          <w:szCs w:val="24"/>
          <w:lang w:eastAsia="en-GB"/>
        </w:rPr>
        <w:t>594-599.</w:t>
      </w:r>
    </w:p>
    <w:p w14:paraId="5CB3D112" w14:textId="4AE085AD" w:rsidR="00531D03" w:rsidRDefault="00531D03" w:rsidP="000D7C39">
      <w:pPr>
        <w:spacing w:after="0"/>
        <w:ind w:left="720" w:hanging="720"/>
        <w:rPr>
          <w:rFonts w:eastAsia="Times New Roman" w:cs="Times New Roman"/>
          <w:szCs w:val="24"/>
          <w:lang w:eastAsia="en-GB"/>
        </w:rPr>
      </w:pPr>
      <w:r w:rsidRPr="0042159E">
        <w:rPr>
          <w:rFonts w:eastAsia="Times New Roman" w:cs="Times New Roman"/>
          <w:szCs w:val="24"/>
          <w:lang w:eastAsia="en-GB"/>
        </w:rPr>
        <w:t xml:space="preserve">Williamson, O. E. (1975). Markets and hierarchies: analysis and antitrust implications: a study in the economics of internal organization. </w:t>
      </w:r>
      <w:r w:rsidRPr="0042159E">
        <w:rPr>
          <w:rFonts w:eastAsia="Times New Roman" w:cs="Times New Roman"/>
          <w:i/>
          <w:iCs/>
          <w:szCs w:val="24"/>
          <w:lang w:eastAsia="en-GB"/>
        </w:rPr>
        <w:lastRenderedPageBreak/>
        <w:t>University of Illinois at Urbana-Champaign's Academy for Entrepreneurial Leadership Historical Research Reference in Entrepreneurship</w:t>
      </w:r>
      <w:r w:rsidRPr="0042159E">
        <w:rPr>
          <w:rFonts w:eastAsia="Times New Roman" w:cs="Times New Roman"/>
          <w:szCs w:val="24"/>
          <w:lang w:eastAsia="en-GB"/>
        </w:rPr>
        <w:t>.</w:t>
      </w:r>
    </w:p>
    <w:p w14:paraId="085B2025" w14:textId="2275185D" w:rsidR="00FB58AB" w:rsidRPr="007006A1" w:rsidRDefault="00FB58AB" w:rsidP="000D7C39">
      <w:pPr>
        <w:spacing w:after="0"/>
        <w:ind w:left="720" w:hanging="720"/>
        <w:rPr>
          <w:rFonts w:eastAsia="Times New Roman" w:cs="Times New Roman"/>
          <w:szCs w:val="24"/>
          <w:lang w:eastAsia="en-GB"/>
        </w:rPr>
      </w:pPr>
      <w:r w:rsidRPr="007006A1">
        <w:rPr>
          <w:rFonts w:eastAsia="Times New Roman" w:cs="Times New Roman"/>
          <w:szCs w:val="24"/>
          <w:lang w:eastAsia="en-GB"/>
        </w:rPr>
        <w:t xml:space="preserve">Wollenberg, E., Richards, M., Smith, P., Havlík, P., </w:t>
      </w:r>
      <w:proofErr w:type="spellStart"/>
      <w:r w:rsidRPr="007006A1">
        <w:rPr>
          <w:rFonts w:eastAsia="Times New Roman" w:cs="Times New Roman"/>
          <w:szCs w:val="24"/>
          <w:lang w:eastAsia="en-GB"/>
        </w:rPr>
        <w:t>Obersteiner</w:t>
      </w:r>
      <w:proofErr w:type="spellEnd"/>
      <w:r w:rsidRPr="007006A1">
        <w:rPr>
          <w:rFonts w:eastAsia="Times New Roman" w:cs="Times New Roman"/>
          <w:szCs w:val="24"/>
          <w:lang w:eastAsia="en-GB"/>
        </w:rPr>
        <w:t xml:space="preserve">, M., </w:t>
      </w:r>
      <w:proofErr w:type="spellStart"/>
      <w:r w:rsidRPr="007006A1">
        <w:rPr>
          <w:rFonts w:eastAsia="Times New Roman" w:cs="Times New Roman"/>
          <w:szCs w:val="24"/>
          <w:lang w:eastAsia="en-GB"/>
        </w:rPr>
        <w:t>Tubiello</w:t>
      </w:r>
      <w:proofErr w:type="spellEnd"/>
      <w:r w:rsidRPr="007006A1">
        <w:rPr>
          <w:rFonts w:eastAsia="Times New Roman" w:cs="Times New Roman"/>
          <w:szCs w:val="24"/>
          <w:lang w:eastAsia="en-GB"/>
        </w:rPr>
        <w:t xml:space="preserve">, F. N., ... &amp; Campbell, B. M. (2016). Reducing emissions from agriculture to meet the 2 C target. </w:t>
      </w:r>
      <w:r w:rsidRPr="007006A1">
        <w:rPr>
          <w:rFonts w:eastAsia="Times New Roman" w:cs="Times New Roman"/>
          <w:i/>
          <w:iCs/>
          <w:szCs w:val="24"/>
          <w:lang w:eastAsia="en-GB"/>
        </w:rPr>
        <w:t xml:space="preserve">Global </w:t>
      </w:r>
      <w:r w:rsidR="002E4DDA">
        <w:rPr>
          <w:rFonts w:eastAsia="Times New Roman" w:cs="Times New Roman"/>
          <w:i/>
          <w:iCs/>
          <w:szCs w:val="24"/>
          <w:lang w:eastAsia="en-GB"/>
        </w:rPr>
        <w:t>C</w:t>
      </w:r>
      <w:r w:rsidRPr="007006A1">
        <w:rPr>
          <w:rFonts w:eastAsia="Times New Roman" w:cs="Times New Roman"/>
          <w:i/>
          <w:iCs/>
          <w:szCs w:val="24"/>
          <w:lang w:eastAsia="en-GB"/>
        </w:rPr>
        <w:t xml:space="preserve">hange </w:t>
      </w:r>
      <w:r w:rsidR="002E4DDA">
        <w:rPr>
          <w:rFonts w:eastAsia="Times New Roman" w:cs="Times New Roman"/>
          <w:i/>
          <w:iCs/>
          <w:szCs w:val="24"/>
          <w:lang w:eastAsia="en-GB"/>
        </w:rPr>
        <w:t>B</w:t>
      </w:r>
      <w:r w:rsidRPr="007006A1">
        <w:rPr>
          <w:rFonts w:eastAsia="Times New Roman" w:cs="Times New Roman"/>
          <w:i/>
          <w:iCs/>
          <w:szCs w:val="24"/>
          <w:lang w:eastAsia="en-GB"/>
        </w:rPr>
        <w:t>iology</w:t>
      </w:r>
      <w:r w:rsidRPr="007006A1">
        <w:rPr>
          <w:rFonts w:eastAsia="Times New Roman" w:cs="Times New Roman"/>
          <w:szCs w:val="24"/>
          <w:lang w:eastAsia="en-GB"/>
        </w:rPr>
        <w:t xml:space="preserve">, </w:t>
      </w:r>
      <w:r w:rsidRPr="007006A1">
        <w:rPr>
          <w:rFonts w:eastAsia="Times New Roman" w:cs="Times New Roman"/>
          <w:i/>
          <w:iCs/>
          <w:szCs w:val="24"/>
          <w:lang w:eastAsia="en-GB"/>
        </w:rPr>
        <w:t>22</w:t>
      </w:r>
      <w:r w:rsidRPr="007006A1">
        <w:rPr>
          <w:rFonts w:eastAsia="Times New Roman" w:cs="Times New Roman"/>
          <w:szCs w:val="24"/>
          <w:lang w:eastAsia="en-GB"/>
        </w:rPr>
        <w:t>(12), 3859-3864.</w:t>
      </w:r>
    </w:p>
    <w:p w14:paraId="22F11BF0" w14:textId="530ACF14" w:rsidR="006849A6" w:rsidRDefault="006849A6" w:rsidP="000D7C39">
      <w:pPr>
        <w:spacing w:after="0"/>
        <w:ind w:left="720" w:hanging="720"/>
      </w:pPr>
      <w:r>
        <w:rPr>
          <w:rStyle w:val="ng-star-inserted"/>
        </w:rPr>
        <w:t xml:space="preserve">World Bank. (1990). </w:t>
      </w:r>
      <w:r w:rsidRPr="002E4DDA">
        <w:rPr>
          <w:rStyle w:val="ng-star-inserted"/>
          <w:i/>
          <w:iCs/>
        </w:rPr>
        <w:t>World Development Report 1990: Poverty</w:t>
      </w:r>
      <w:r w:rsidR="000D7C39">
        <w:rPr>
          <w:rStyle w:val="ng-star-inserted"/>
        </w:rPr>
        <w:t xml:space="preserve">. New </w:t>
      </w:r>
      <w:r>
        <w:rPr>
          <w:rStyle w:val="ng-star-inserted"/>
        </w:rPr>
        <w:t>York: Oxford University Press.</w:t>
      </w:r>
    </w:p>
    <w:p w14:paraId="5F87E9B4" w14:textId="1A2CC284" w:rsidR="00D27874" w:rsidRPr="00D15027" w:rsidRDefault="00D27874" w:rsidP="000D7C39">
      <w:pPr>
        <w:pStyle w:val="BodyText"/>
        <w:spacing w:after="0"/>
        <w:ind w:left="720" w:hanging="720"/>
        <w:rPr>
          <w:rFonts w:cs="Times New Roman"/>
          <w:szCs w:val="24"/>
        </w:rPr>
      </w:pPr>
      <w:bookmarkStart w:id="532" w:name="_Hlk195388626"/>
      <w:r w:rsidRPr="00191A6B">
        <w:rPr>
          <w:rFonts w:cs="Times New Roman"/>
          <w:szCs w:val="24"/>
        </w:rPr>
        <w:t xml:space="preserve">World Bank (2020). </w:t>
      </w:r>
      <w:r w:rsidRPr="00191A6B">
        <w:rPr>
          <w:rFonts w:cs="Times New Roman"/>
          <w:i/>
          <w:iCs/>
          <w:szCs w:val="24"/>
        </w:rPr>
        <w:t>Ghana Country Environmental Analysis</w:t>
      </w:r>
      <w:r w:rsidRPr="00191A6B">
        <w:rPr>
          <w:rFonts w:cs="Times New Roman"/>
          <w:szCs w:val="24"/>
        </w:rPr>
        <w:t>. Washington D.C 20433</w:t>
      </w:r>
      <w:r>
        <w:rPr>
          <w:rFonts w:cs="Times New Roman"/>
          <w:szCs w:val="24"/>
        </w:rPr>
        <w:t xml:space="preserve">. </w:t>
      </w:r>
      <w:r>
        <w:rPr>
          <w:sz w:val="23"/>
          <w:szCs w:val="23"/>
        </w:rPr>
        <w:t xml:space="preserve">World Bank (1999). </w:t>
      </w:r>
      <w:r>
        <w:rPr>
          <w:i/>
          <w:iCs/>
          <w:sz w:val="23"/>
          <w:szCs w:val="23"/>
        </w:rPr>
        <w:t>Report from the International Workshop on Community-Based natural Resource management (CBNRM)</w:t>
      </w:r>
      <w:r>
        <w:rPr>
          <w:sz w:val="23"/>
          <w:szCs w:val="23"/>
        </w:rPr>
        <w:t xml:space="preserve">, Washington, DC, 10–14 May 1998. Retrieved May 4, </w:t>
      </w:r>
      <w:proofErr w:type="gramStart"/>
      <w:r>
        <w:rPr>
          <w:sz w:val="23"/>
          <w:szCs w:val="23"/>
        </w:rPr>
        <w:t>2017</w:t>
      </w:r>
      <w:proofErr w:type="gramEnd"/>
      <w:r>
        <w:rPr>
          <w:sz w:val="23"/>
          <w:szCs w:val="23"/>
        </w:rPr>
        <w:t xml:space="preserve"> from </w:t>
      </w:r>
      <w:hyperlink r:id="rId51" w:history="1">
        <w:r w:rsidRPr="005C3752">
          <w:rPr>
            <w:rStyle w:val="Hyperlink"/>
            <w:sz w:val="23"/>
            <w:szCs w:val="23"/>
          </w:rPr>
          <w:t>http://www.worldbank.org/wbi/conatrem/</w:t>
        </w:r>
      </w:hyperlink>
    </w:p>
    <w:bookmarkEnd w:id="532"/>
    <w:p w14:paraId="537C0F97" w14:textId="21BEBD56" w:rsidR="00D27874" w:rsidRDefault="009414F6" w:rsidP="000D7C39">
      <w:pPr>
        <w:spacing w:after="0"/>
        <w:ind w:left="720" w:hanging="720"/>
      </w:pPr>
      <w:r w:rsidRPr="008E2EFF">
        <w:rPr>
          <w:rFonts w:eastAsia="Times New Roman" w:cs="Times New Roman"/>
          <w:szCs w:val="24"/>
          <w:lang w:eastAsia="en-GB"/>
        </w:rPr>
        <w:t xml:space="preserve">Yani, A. A., Hidayat, A. R., Hans, A., Yunus, A. Y., </w:t>
      </w:r>
      <w:proofErr w:type="spellStart"/>
      <w:r w:rsidRPr="008E2EFF">
        <w:rPr>
          <w:rFonts w:eastAsia="Times New Roman" w:cs="Times New Roman"/>
          <w:szCs w:val="24"/>
          <w:lang w:eastAsia="en-GB"/>
        </w:rPr>
        <w:t>Tadjang</w:t>
      </w:r>
      <w:proofErr w:type="spellEnd"/>
      <w:r w:rsidRPr="008E2EFF">
        <w:rPr>
          <w:rFonts w:eastAsia="Times New Roman" w:cs="Times New Roman"/>
          <w:szCs w:val="24"/>
          <w:lang w:eastAsia="en-GB"/>
        </w:rPr>
        <w:t xml:space="preserve">, S., &amp; Agam, A. N. (2017). Measuring quality of citizens' participation in local development. </w:t>
      </w:r>
      <w:r w:rsidRPr="008E2EFF">
        <w:rPr>
          <w:rFonts w:eastAsia="Times New Roman" w:cs="Times New Roman"/>
          <w:i/>
          <w:iCs/>
          <w:szCs w:val="24"/>
          <w:lang w:eastAsia="en-GB"/>
        </w:rPr>
        <w:t>International Conference on Administrative Science</w:t>
      </w:r>
      <w:r>
        <w:rPr>
          <w:rFonts w:eastAsia="Times New Roman" w:cs="Times New Roman"/>
          <w:i/>
          <w:iCs/>
          <w:szCs w:val="24"/>
          <w:lang w:eastAsia="en-GB"/>
        </w:rPr>
        <w:t>,</w:t>
      </w:r>
      <w:r w:rsidRPr="008E2EFF">
        <w:rPr>
          <w:rFonts w:eastAsia="Times New Roman" w:cs="Times New Roman"/>
          <w:szCs w:val="24"/>
          <w:lang w:eastAsia="en-GB"/>
        </w:rPr>
        <w:t>24-</w:t>
      </w:r>
      <w:r w:rsidR="007840EF">
        <w:rPr>
          <w:rFonts w:eastAsia="Times New Roman" w:cs="Times New Roman"/>
          <w:szCs w:val="24"/>
          <w:lang w:eastAsia="en-GB"/>
        </w:rPr>
        <w:t>2</w:t>
      </w:r>
      <w:r w:rsidRPr="008E2EFF">
        <w:rPr>
          <w:rFonts w:eastAsia="Times New Roman" w:cs="Times New Roman"/>
          <w:szCs w:val="24"/>
          <w:lang w:eastAsia="en-GB"/>
        </w:rPr>
        <w:t>8.</w:t>
      </w:r>
      <w:r w:rsidR="00D27874">
        <w:t xml:space="preserve"> </w:t>
      </w:r>
    </w:p>
    <w:p w14:paraId="596EFB2E" w14:textId="77777777" w:rsidR="00AF7085" w:rsidRDefault="00D27874" w:rsidP="000D7C39">
      <w:pPr>
        <w:spacing w:after="0"/>
        <w:ind w:left="720" w:hanging="720"/>
        <w:rPr>
          <w:rFonts w:cs="Times New Roman"/>
          <w:szCs w:val="24"/>
        </w:rPr>
      </w:pPr>
      <w:bookmarkStart w:id="533" w:name="_Hlk166106408"/>
      <w:proofErr w:type="spellStart"/>
      <w:r w:rsidRPr="007A038A">
        <w:rPr>
          <w:rFonts w:cs="Times New Roman"/>
          <w:szCs w:val="24"/>
        </w:rPr>
        <w:t>Yuwono</w:t>
      </w:r>
      <w:proofErr w:type="spellEnd"/>
      <w:r w:rsidRPr="007A038A">
        <w:rPr>
          <w:rFonts w:cs="Times New Roman"/>
          <w:szCs w:val="24"/>
        </w:rPr>
        <w:t xml:space="preserve">, T. </w:t>
      </w:r>
      <w:r>
        <w:rPr>
          <w:rFonts w:cs="Times New Roman"/>
          <w:szCs w:val="24"/>
        </w:rPr>
        <w:t xml:space="preserve">&amp; </w:t>
      </w:r>
      <w:proofErr w:type="spellStart"/>
      <w:r w:rsidRPr="007A038A">
        <w:rPr>
          <w:rFonts w:cs="Times New Roman"/>
          <w:szCs w:val="24"/>
        </w:rPr>
        <w:t>Wiyono</w:t>
      </w:r>
      <w:proofErr w:type="spellEnd"/>
      <w:r>
        <w:rPr>
          <w:rFonts w:cs="Times New Roman"/>
          <w:szCs w:val="24"/>
        </w:rPr>
        <w:t>,</w:t>
      </w:r>
      <w:r w:rsidRPr="007A038A">
        <w:rPr>
          <w:rFonts w:cs="Times New Roman"/>
          <w:szCs w:val="24"/>
        </w:rPr>
        <w:t xml:space="preserve"> </w:t>
      </w:r>
      <w:r>
        <w:rPr>
          <w:rFonts w:cs="Times New Roman"/>
          <w:szCs w:val="24"/>
        </w:rPr>
        <w:t>D</w:t>
      </w:r>
      <w:r w:rsidRPr="007A038A">
        <w:rPr>
          <w:rFonts w:cs="Times New Roman"/>
          <w:szCs w:val="24"/>
        </w:rPr>
        <w:t xml:space="preserve">. </w:t>
      </w:r>
      <w:r>
        <w:rPr>
          <w:rFonts w:cs="Times New Roman"/>
          <w:szCs w:val="24"/>
        </w:rPr>
        <w:t>(</w:t>
      </w:r>
      <w:r w:rsidRPr="007A038A">
        <w:rPr>
          <w:rFonts w:cs="Times New Roman"/>
          <w:szCs w:val="24"/>
        </w:rPr>
        <w:t>2008</w:t>
      </w:r>
      <w:r>
        <w:rPr>
          <w:rFonts w:cs="Times New Roman"/>
          <w:szCs w:val="24"/>
        </w:rPr>
        <w:t>)</w:t>
      </w:r>
      <w:r w:rsidRPr="007A038A">
        <w:rPr>
          <w:rFonts w:cs="Times New Roman"/>
          <w:szCs w:val="24"/>
        </w:rPr>
        <w:t xml:space="preserve">. Cooperative Forest Management: </w:t>
      </w:r>
      <w:proofErr w:type="spellStart"/>
      <w:r w:rsidRPr="007A038A">
        <w:rPr>
          <w:rFonts w:cs="Times New Roman"/>
          <w:szCs w:val="24"/>
        </w:rPr>
        <w:t>Potret</w:t>
      </w:r>
      <w:proofErr w:type="spellEnd"/>
      <w:r w:rsidRPr="007A038A">
        <w:rPr>
          <w:rFonts w:cs="Times New Roman"/>
          <w:szCs w:val="24"/>
        </w:rPr>
        <w:t xml:space="preserve"> </w:t>
      </w:r>
    </w:p>
    <w:p w14:paraId="11A7000F" w14:textId="77777777" w:rsidR="00D27874" w:rsidRPr="007A038A" w:rsidRDefault="00BB6EA5" w:rsidP="000D7C39">
      <w:pPr>
        <w:spacing w:after="0"/>
        <w:ind w:left="720" w:hanging="720"/>
        <w:rPr>
          <w:rFonts w:cs="Times New Roman"/>
          <w:sz w:val="22"/>
          <w:szCs w:val="20"/>
        </w:rPr>
      </w:pPr>
      <w:r>
        <w:rPr>
          <w:rFonts w:cs="Times New Roman"/>
          <w:szCs w:val="24"/>
        </w:rPr>
        <w:tab/>
      </w:r>
      <w:proofErr w:type="spellStart"/>
      <w:r w:rsidR="00D27874" w:rsidRPr="007A038A">
        <w:rPr>
          <w:rFonts w:cs="Times New Roman"/>
          <w:szCs w:val="24"/>
        </w:rPr>
        <w:t>Pengelolaan</w:t>
      </w:r>
      <w:proofErr w:type="spellEnd"/>
      <w:r w:rsidR="00D27874" w:rsidRPr="007A038A">
        <w:rPr>
          <w:rFonts w:cs="Times New Roman"/>
          <w:szCs w:val="24"/>
        </w:rPr>
        <w:t xml:space="preserve"> Hutan </w:t>
      </w:r>
      <w:proofErr w:type="spellStart"/>
      <w:r w:rsidR="00D27874" w:rsidRPr="007A038A">
        <w:rPr>
          <w:rFonts w:cs="Times New Roman"/>
          <w:szCs w:val="24"/>
        </w:rPr>
        <w:t>Kabupaten</w:t>
      </w:r>
      <w:proofErr w:type="spellEnd"/>
      <w:r w:rsidR="00D27874" w:rsidRPr="007A038A">
        <w:rPr>
          <w:rFonts w:cs="Times New Roman"/>
          <w:szCs w:val="24"/>
        </w:rPr>
        <w:t xml:space="preserve"> </w:t>
      </w:r>
      <w:proofErr w:type="spellStart"/>
      <w:r w:rsidR="00D27874" w:rsidRPr="007A038A">
        <w:rPr>
          <w:rFonts w:cs="Times New Roman"/>
          <w:szCs w:val="24"/>
        </w:rPr>
        <w:t>Ngawi</w:t>
      </w:r>
      <w:proofErr w:type="spellEnd"/>
      <w:r w:rsidR="00D27874" w:rsidRPr="007A038A">
        <w:rPr>
          <w:rFonts w:cs="Times New Roman"/>
          <w:szCs w:val="24"/>
        </w:rPr>
        <w:t xml:space="preserve"> </w:t>
      </w:r>
      <w:proofErr w:type="gramStart"/>
      <w:r w:rsidR="00D27874" w:rsidRPr="007A038A">
        <w:rPr>
          <w:rFonts w:cs="Times New Roman"/>
          <w:szCs w:val="24"/>
        </w:rPr>
        <w:t>Di</w:t>
      </w:r>
      <w:proofErr w:type="gramEnd"/>
      <w:r w:rsidR="00D27874" w:rsidRPr="007A038A">
        <w:rPr>
          <w:rFonts w:cs="Times New Roman"/>
          <w:szCs w:val="24"/>
        </w:rPr>
        <w:t xml:space="preserve"> Era </w:t>
      </w:r>
      <w:proofErr w:type="spellStart"/>
      <w:r w:rsidR="00D27874" w:rsidRPr="007A038A">
        <w:rPr>
          <w:rFonts w:cs="Times New Roman"/>
          <w:szCs w:val="24"/>
        </w:rPr>
        <w:t>Otonomi</w:t>
      </w:r>
      <w:proofErr w:type="spellEnd"/>
      <w:r w:rsidR="00D27874" w:rsidRPr="007A038A">
        <w:rPr>
          <w:rFonts w:cs="Times New Roman"/>
          <w:szCs w:val="24"/>
        </w:rPr>
        <w:t xml:space="preserve"> </w:t>
      </w:r>
      <w:proofErr w:type="spellStart"/>
      <w:r w:rsidR="00D27874" w:rsidRPr="007A038A">
        <w:rPr>
          <w:rFonts w:cs="Times New Roman"/>
          <w:szCs w:val="24"/>
        </w:rPr>
        <w:t>Daerah.Yogyakarta</w:t>
      </w:r>
      <w:proofErr w:type="spellEnd"/>
      <w:r w:rsidR="00D27874" w:rsidRPr="007A038A">
        <w:rPr>
          <w:rFonts w:cs="Times New Roman"/>
          <w:szCs w:val="24"/>
        </w:rPr>
        <w:t xml:space="preserve">: </w:t>
      </w:r>
      <w:proofErr w:type="spellStart"/>
      <w:r w:rsidR="00D27874" w:rsidRPr="007A038A">
        <w:rPr>
          <w:rFonts w:cs="Times New Roman"/>
          <w:szCs w:val="24"/>
        </w:rPr>
        <w:t>Datamedia</w:t>
      </w:r>
      <w:proofErr w:type="spellEnd"/>
      <w:r w:rsidR="00D27874" w:rsidRPr="007A038A">
        <w:rPr>
          <w:rFonts w:cs="Times New Roman"/>
          <w:szCs w:val="24"/>
        </w:rPr>
        <w:t>.</w:t>
      </w:r>
    </w:p>
    <w:bookmarkEnd w:id="533"/>
    <w:p w14:paraId="4EBA0BF3" w14:textId="6D85B4F1" w:rsidR="00D27874" w:rsidRDefault="00D27874" w:rsidP="000D7C39">
      <w:pPr>
        <w:spacing w:after="0"/>
        <w:ind w:left="720" w:hanging="720"/>
      </w:pPr>
      <w:r w:rsidRPr="00654AB0">
        <w:t>Zhu, J</w:t>
      </w:r>
      <w:r>
        <w:t>.,</w:t>
      </w:r>
      <w:r w:rsidRPr="00654AB0">
        <w:t xml:space="preserve"> &amp; Cao, Y</w:t>
      </w:r>
      <w:r>
        <w:t>.,</w:t>
      </w:r>
      <w:r w:rsidRPr="00654AB0">
        <w:t xml:space="preserve"> He, W</w:t>
      </w:r>
      <w:r>
        <w:t>.,</w:t>
      </w:r>
      <w:r w:rsidRPr="00654AB0">
        <w:t xml:space="preserve"> Xu, Q</w:t>
      </w:r>
      <w:r>
        <w:t>.,</w:t>
      </w:r>
      <w:r w:rsidRPr="00654AB0">
        <w:t xml:space="preserve"> Xu, C</w:t>
      </w:r>
      <w:r>
        <w:t>.,</w:t>
      </w:r>
      <w:r w:rsidRPr="00654AB0">
        <w:t xml:space="preserve"> &amp; Zhang, X. (2021). Leaf functional traits differentiation in relation to covering materials of urban tree pits. </w:t>
      </w:r>
      <w:r w:rsidRPr="00731AC6">
        <w:rPr>
          <w:i/>
          <w:iCs/>
        </w:rPr>
        <w:t>BMC Plant Biology</w:t>
      </w:r>
      <w:r>
        <w:t>,</w:t>
      </w:r>
      <w:r w:rsidRPr="00654AB0">
        <w:t>21</w:t>
      </w:r>
      <w:r w:rsidR="002A0FF7">
        <w:t>(</w:t>
      </w:r>
      <w:r w:rsidRPr="00654AB0">
        <w:t>10</w:t>
      </w:r>
      <w:r w:rsidR="002A0FF7">
        <w:t xml:space="preserve">), </w:t>
      </w:r>
      <w:r w:rsidRPr="00654AB0">
        <w:t>1186/s12870-021-03316-8.</w:t>
      </w:r>
    </w:p>
    <w:p w14:paraId="52695493" w14:textId="77777777" w:rsidR="00D27874" w:rsidRPr="0044288F" w:rsidRDefault="00D27874" w:rsidP="00D15027">
      <w:pPr>
        <w:spacing w:after="0"/>
      </w:pPr>
    </w:p>
    <w:p w14:paraId="490023C3" w14:textId="34B1DED6" w:rsidR="001A4106" w:rsidRPr="00DC4827" w:rsidRDefault="00A127FB" w:rsidP="00DC4827">
      <w:pPr>
        <w:pStyle w:val="Heading1"/>
        <w:ind w:left="0"/>
      </w:pPr>
      <w:bookmarkStart w:id="534" w:name="_Toc202197705"/>
      <w:r w:rsidRPr="00DC4827">
        <w:lastRenderedPageBreak/>
        <w:t>A</w:t>
      </w:r>
      <w:r w:rsidR="001A4106" w:rsidRPr="00DC4827">
        <w:t>ppendi</w:t>
      </w:r>
      <w:r w:rsidR="00EE6D49" w:rsidRPr="00DC4827">
        <w:t>c</w:t>
      </w:r>
      <w:r w:rsidRPr="00DC4827">
        <w:t>es</w:t>
      </w:r>
      <w:bookmarkEnd w:id="534"/>
      <w:r w:rsidRPr="00DC4827">
        <w:t xml:space="preserve"> </w:t>
      </w:r>
    </w:p>
    <w:p w14:paraId="2568B8D2" w14:textId="77777777" w:rsidR="00A127FB" w:rsidRPr="00DC4827" w:rsidRDefault="00A127FB" w:rsidP="00DC4827">
      <w:pPr>
        <w:pStyle w:val="Heading1"/>
        <w:ind w:left="0"/>
      </w:pPr>
      <w:bookmarkStart w:id="535" w:name="_Toc202197706"/>
      <w:r w:rsidRPr="00DC4827">
        <w:t>Appendi</w:t>
      </w:r>
      <w:r w:rsidR="009B7B51">
        <w:t>X</w:t>
      </w:r>
      <w:r w:rsidRPr="00DC4827">
        <w:t xml:space="preserve"> A</w:t>
      </w:r>
      <w:bookmarkEnd w:id="535"/>
    </w:p>
    <w:p w14:paraId="3D8726FB" w14:textId="77777777" w:rsidR="00A127FB" w:rsidRDefault="00A127FB" w:rsidP="00772DAC">
      <w:pPr>
        <w:spacing w:after="0"/>
        <w:ind w:left="0" w:firstLine="0"/>
        <w:jc w:val="center"/>
        <w:rPr>
          <w:rFonts w:eastAsia="Times New Roman" w:cs="Times New Roman"/>
          <w:szCs w:val="24"/>
        </w:rPr>
      </w:pPr>
      <w:r>
        <w:rPr>
          <w:rFonts w:eastAsia="Times New Roman" w:cs="Times New Roman"/>
          <w:szCs w:val="24"/>
        </w:rPr>
        <w:t>UNIVERSITY OF CAPE COAST</w:t>
      </w:r>
    </w:p>
    <w:p w14:paraId="04EF4B19" w14:textId="77777777" w:rsidR="00A127FB" w:rsidRDefault="00A127FB" w:rsidP="00772DAC">
      <w:pPr>
        <w:spacing w:after="0"/>
        <w:ind w:left="0" w:firstLine="0"/>
        <w:jc w:val="center"/>
        <w:rPr>
          <w:rFonts w:eastAsia="Times New Roman" w:cs="Times New Roman"/>
          <w:szCs w:val="24"/>
        </w:rPr>
      </w:pPr>
      <w:r>
        <w:rPr>
          <w:rFonts w:eastAsia="Times New Roman" w:cs="Times New Roman"/>
          <w:szCs w:val="24"/>
        </w:rPr>
        <w:t>SCHOOL FOR DEVELOPMENT STUDIES</w:t>
      </w:r>
    </w:p>
    <w:p w14:paraId="6B209E60" w14:textId="77777777" w:rsidR="00A127FB" w:rsidRDefault="00A127FB" w:rsidP="00772DAC">
      <w:pPr>
        <w:spacing w:after="0"/>
        <w:ind w:left="0" w:firstLine="0"/>
        <w:jc w:val="center"/>
        <w:rPr>
          <w:rFonts w:eastAsia="Times New Roman" w:cs="Times New Roman"/>
          <w:szCs w:val="24"/>
        </w:rPr>
      </w:pPr>
      <w:r>
        <w:rPr>
          <w:rFonts w:eastAsia="Times New Roman" w:cs="Times New Roman"/>
          <w:szCs w:val="24"/>
        </w:rPr>
        <w:t>COLLEGE OF HUMANITIES AND LEGAL STUDIES</w:t>
      </w:r>
    </w:p>
    <w:p w14:paraId="5D68ADBA" w14:textId="77777777" w:rsidR="00A127FB" w:rsidRDefault="00A127FB" w:rsidP="00772DAC">
      <w:pPr>
        <w:spacing w:after="0"/>
        <w:ind w:left="0" w:firstLine="0"/>
        <w:jc w:val="center"/>
        <w:rPr>
          <w:rFonts w:eastAsia="Times New Roman" w:cs="Times New Roman"/>
          <w:szCs w:val="24"/>
        </w:rPr>
      </w:pPr>
      <w:r>
        <w:rPr>
          <w:rFonts w:eastAsia="Times New Roman" w:cs="Times New Roman"/>
          <w:szCs w:val="24"/>
        </w:rPr>
        <w:t>DEPARTMENT OF INTEGRATED DEVELOPMENT STUDIES</w:t>
      </w:r>
    </w:p>
    <w:p w14:paraId="13DDA54B" w14:textId="77777777" w:rsidR="00A127FB" w:rsidRDefault="00A127FB" w:rsidP="00DC4827">
      <w:pPr>
        <w:pStyle w:val="Heading1"/>
        <w:ind w:left="0"/>
      </w:pPr>
      <w:bookmarkStart w:id="536" w:name="_Toc202197707"/>
      <w:bookmarkStart w:id="537" w:name="_Hlk136532290"/>
      <w:r>
        <w:rPr>
          <w:rFonts w:eastAsia="Calibri"/>
        </w:rPr>
        <w:t>I</w:t>
      </w:r>
      <w:r>
        <w:rPr>
          <w:rFonts w:eastAsia="Calibri"/>
          <w:spacing w:val="-2"/>
        </w:rPr>
        <w:t>N</w:t>
      </w:r>
      <w:r>
        <w:rPr>
          <w:rFonts w:eastAsia="Calibri"/>
        </w:rPr>
        <w:t>T</w:t>
      </w:r>
      <w:r>
        <w:rPr>
          <w:rFonts w:eastAsia="Calibri"/>
          <w:spacing w:val="-1"/>
        </w:rPr>
        <w:t>ER</w:t>
      </w:r>
      <w:r>
        <w:rPr>
          <w:rFonts w:eastAsia="Calibri"/>
        </w:rPr>
        <w:t xml:space="preserve">VIEW </w:t>
      </w:r>
      <w:r>
        <w:rPr>
          <w:rFonts w:eastAsia="Calibri"/>
          <w:w w:val="99"/>
        </w:rPr>
        <w:t>GUIDE</w:t>
      </w:r>
      <w:r>
        <w:rPr>
          <w:rFonts w:eastAsia="Calibri"/>
        </w:rPr>
        <w:t xml:space="preserve"> (UG, DA, TA, FORIG AND MU39)</w:t>
      </w:r>
      <w:bookmarkEnd w:id="536"/>
    </w:p>
    <w:p w14:paraId="391AF73A" w14:textId="77777777" w:rsidR="00A127FB" w:rsidRDefault="00A127FB" w:rsidP="00772DAC">
      <w:pPr>
        <w:spacing w:after="2" w:line="220" w:lineRule="exact"/>
        <w:ind w:left="0" w:firstLine="0"/>
      </w:pPr>
    </w:p>
    <w:p w14:paraId="5A8B42C3" w14:textId="77777777" w:rsidR="00A127FB" w:rsidRDefault="00A127FB" w:rsidP="00772DAC">
      <w:pPr>
        <w:ind w:left="0" w:firstLine="0"/>
      </w:pPr>
      <w:r>
        <w:t>This interview guide is a research instrument for my PhD thesis on “stakeholder collaboration and sustainable community-based forestry at the Bobiri and Southern Scarp Forest Reserves in Ghana”, and it is mainly for academic purpose</w:t>
      </w:r>
      <w:r w:rsidR="009B7B51">
        <w:t>s</w:t>
      </w:r>
      <w:r>
        <w:t xml:space="preserve">. I assure you of </w:t>
      </w:r>
      <w:r w:rsidR="009B7B51">
        <w:t xml:space="preserve">the </w:t>
      </w:r>
      <w:r>
        <w:t>privacy and secrecy of your response. All information collected will be solely for academic purpose</w:t>
      </w:r>
      <w:r w:rsidR="009B7B51">
        <w:t>s</w:t>
      </w:r>
      <w:r>
        <w:t>. You can decide to stop answering these questions at any time you want. Do you agree to participate Yes.            No.</w:t>
      </w:r>
    </w:p>
    <w:p w14:paraId="2B8D12C0" w14:textId="77777777" w:rsidR="00A127FB" w:rsidRDefault="00A127FB" w:rsidP="00772DAC">
      <w:pPr>
        <w:ind w:left="0" w:firstLine="0"/>
      </w:pPr>
      <w:r>
        <w:t>Date………………</w:t>
      </w:r>
      <w:proofErr w:type="gramStart"/>
      <w:r>
        <w:t>….Location</w:t>
      </w:r>
      <w:proofErr w:type="gramEnd"/>
      <w:r>
        <w:t>…………………GPS………………………</w:t>
      </w:r>
    </w:p>
    <w:p w14:paraId="5E151668" w14:textId="77777777" w:rsidR="00A127FB" w:rsidRDefault="00A127FB" w:rsidP="00772DAC">
      <w:pPr>
        <w:spacing w:after="2" w:line="220" w:lineRule="exact"/>
        <w:ind w:left="0" w:firstLine="0"/>
      </w:pPr>
    </w:p>
    <w:bookmarkEnd w:id="537"/>
    <w:p w14:paraId="6A0978A2" w14:textId="77777777" w:rsidR="00A127FB" w:rsidRDefault="00A127FB" w:rsidP="00772DAC">
      <w:pPr>
        <w:spacing w:after="2" w:line="220" w:lineRule="exact"/>
        <w:ind w:left="0" w:firstLine="0"/>
      </w:pPr>
    </w:p>
    <w:p w14:paraId="0865CB6D" w14:textId="77777777" w:rsidR="00A127FB" w:rsidRDefault="00A127FB" w:rsidP="00772DAC">
      <w:pPr>
        <w:ind w:left="0" w:firstLine="0"/>
        <w:rPr>
          <w:b/>
          <w:bCs/>
        </w:rPr>
      </w:pPr>
      <w:r>
        <w:rPr>
          <w:b/>
          <w:bCs/>
        </w:rPr>
        <w:t>SECTION A: LOCAL LEVEL INSTITUTIONAL FRAMEWORK FOR STAKEHOLDER COLLABORATION</w:t>
      </w:r>
    </w:p>
    <w:p w14:paraId="4439CFA4" w14:textId="77777777" w:rsidR="00A127FB" w:rsidRDefault="00A127FB" w:rsidP="00DC4827">
      <w:pPr>
        <w:pStyle w:val="ListParagraph"/>
        <w:numPr>
          <w:ilvl w:val="0"/>
          <w:numId w:val="15"/>
        </w:numPr>
        <w:tabs>
          <w:tab w:val="left" w:pos="360"/>
        </w:tabs>
        <w:spacing w:line="360" w:lineRule="auto"/>
        <w:ind w:left="0" w:firstLine="0"/>
      </w:pPr>
      <w:r>
        <w:t>How long have you lived/worked here?</w:t>
      </w:r>
    </w:p>
    <w:p w14:paraId="78DFA582" w14:textId="77777777" w:rsidR="00A127FB" w:rsidRDefault="00A127FB" w:rsidP="00DC4827">
      <w:pPr>
        <w:pStyle w:val="ListParagraph"/>
        <w:numPr>
          <w:ilvl w:val="0"/>
          <w:numId w:val="15"/>
        </w:numPr>
        <w:tabs>
          <w:tab w:val="left" w:pos="360"/>
        </w:tabs>
        <w:spacing w:line="360" w:lineRule="auto"/>
        <w:ind w:left="0" w:firstLine="0"/>
      </w:pPr>
      <w:r>
        <w:t>Has there been changes (depleting or not) in the state of the forest reserve during your time here? If yes, what are they?</w:t>
      </w:r>
    </w:p>
    <w:p w14:paraId="6861A099" w14:textId="77777777" w:rsidR="00A127FB" w:rsidRDefault="00A127FB" w:rsidP="00DC4827">
      <w:pPr>
        <w:pStyle w:val="ListParagraph"/>
        <w:numPr>
          <w:ilvl w:val="0"/>
          <w:numId w:val="15"/>
        </w:numPr>
        <w:tabs>
          <w:tab w:val="left" w:pos="360"/>
        </w:tabs>
        <w:spacing w:line="360" w:lineRule="auto"/>
        <w:ind w:left="0" w:firstLine="0"/>
      </w:pPr>
      <w:r>
        <w:t xml:space="preserve">Are there strategic community-based forest management agreements in the reserve?  </w:t>
      </w:r>
    </w:p>
    <w:p w14:paraId="045B0339" w14:textId="77777777" w:rsidR="00A127FB" w:rsidRDefault="00A127FB" w:rsidP="00772DAC">
      <w:pPr>
        <w:pStyle w:val="ListParagraph"/>
        <w:spacing w:line="360" w:lineRule="auto"/>
        <w:ind w:left="0"/>
      </w:pPr>
      <w:r>
        <w:t>If yes, how many such agreements are there (Including their dates of establishment, composition, compartments etc.)?.................................</w:t>
      </w:r>
    </w:p>
    <w:p w14:paraId="32975BED" w14:textId="77777777" w:rsidR="00A127FB" w:rsidRDefault="00A127FB" w:rsidP="00DC4827">
      <w:pPr>
        <w:pStyle w:val="ListParagraph"/>
        <w:numPr>
          <w:ilvl w:val="0"/>
          <w:numId w:val="15"/>
        </w:numPr>
        <w:spacing w:line="360" w:lineRule="auto"/>
        <w:ind w:left="450" w:hanging="450"/>
      </w:pPr>
      <w:r>
        <w:lastRenderedPageBreak/>
        <w:t xml:space="preserve">Are there local norms/practises help in the management of the forest reserve? If yes, what are they? </w:t>
      </w:r>
    </w:p>
    <w:p w14:paraId="73AE721B" w14:textId="77777777" w:rsidR="00A127FB" w:rsidRDefault="00A127FB" w:rsidP="00DC4827">
      <w:pPr>
        <w:pStyle w:val="ListParagraph"/>
        <w:numPr>
          <w:ilvl w:val="0"/>
          <w:numId w:val="15"/>
        </w:numPr>
        <w:spacing w:line="360" w:lineRule="auto"/>
        <w:ind w:left="450" w:hanging="450"/>
        <w:rPr>
          <w:spacing w:val="65"/>
        </w:rPr>
      </w:pPr>
      <w:r>
        <w:t>Which stakeholders are present in the forest reserve?</w:t>
      </w:r>
      <w:r>
        <w:rPr>
          <w:spacing w:val="65"/>
        </w:rPr>
        <w:t xml:space="preserve"> </w:t>
      </w:r>
    </w:p>
    <w:p w14:paraId="065C5BF1" w14:textId="77777777" w:rsidR="00A127FB" w:rsidRDefault="00A127FB" w:rsidP="00DC4827">
      <w:pPr>
        <w:pStyle w:val="ListParagraph"/>
        <w:numPr>
          <w:ilvl w:val="0"/>
          <w:numId w:val="15"/>
        </w:numPr>
        <w:spacing w:line="360" w:lineRule="auto"/>
        <w:ind w:left="450" w:hanging="450"/>
      </w:pPr>
      <w:r>
        <w:t>Cho</w:t>
      </w:r>
      <w:r>
        <w:rPr>
          <w:spacing w:val="1"/>
        </w:rPr>
        <w:t>o</w:t>
      </w:r>
      <w:r>
        <w:t>se</w:t>
      </w:r>
      <w:r>
        <w:rPr>
          <w:spacing w:val="57"/>
        </w:rPr>
        <w:t xml:space="preserve"> </w:t>
      </w:r>
      <w:r>
        <w:t>f</w:t>
      </w:r>
      <w:r>
        <w:rPr>
          <w:spacing w:val="-2"/>
        </w:rPr>
        <w:t>r</w:t>
      </w:r>
      <w:r>
        <w:rPr>
          <w:spacing w:val="-1"/>
        </w:rPr>
        <w:t>o</w:t>
      </w:r>
      <w:r>
        <w:t>m</w:t>
      </w:r>
      <w:r>
        <w:rPr>
          <w:spacing w:val="57"/>
        </w:rPr>
        <w:t xml:space="preserve"> </w:t>
      </w:r>
      <w:r>
        <w:t>the</w:t>
      </w:r>
      <w:r>
        <w:rPr>
          <w:spacing w:val="55"/>
        </w:rPr>
        <w:t xml:space="preserve"> </w:t>
      </w:r>
      <w:r>
        <w:t>sta</w:t>
      </w:r>
      <w:r>
        <w:rPr>
          <w:spacing w:val="-1"/>
        </w:rPr>
        <w:t>k</w:t>
      </w:r>
      <w:r>
        <w:t>eh</w:t>
      </w:r>
      <w:r>
        <w:rPr>
          <w:spacing w:val="-1"/>
        </w:rPr>
        <w:t>o</w:t>
      </w:r>
      <w:r>
        <w:t>l</w:t>
      </w:r>
      <w:r>
        <w:rPr>
          <w:spacing w:val="-1"/>
        </w:rPr>
        <w:t>d</w:t>
      </w:r>
      <w:r>
        <w:t>ers,</w:t>
      </w:r>
      <w:r>
        <w:rPr>
          <w:spacing w:val="55"/>
        </w:rPr>
        <w:t xml:space="preserve"> </w:t>
      </w:r>
      <w:r>
        <w:t>w</w:t>
      </w:r>
      <w:r>
        <w:rPr>
          <w:spacing w:val="-2"/>
        </w:rPr>
        <w:t>h</w:t>
      </w:r>
      <w:r>
        <w:t>o</w:t>
      </w:r>
      <w:r>
        <w:rPr>
          <w:spacing w:val="59"/>
        </w:rPr>
        <w:t xml:space="preserve"> </w:t>
      </w:r>
      <w:r>
        <w:t>a</w:t>
      </w:r>
      <w:r>
        <w:rPr>
          <w:spacing w:val="-2"/>
        </w:rPr>
        <w:t>r</w:t>
      </w:r>
      <w:r>
        <w:t>e</w:t>
      </w:r>
      <w:r>
        <w:rPr>
          <w:spacing w:val="55"/>
        </w:rPr>
        <w:t xml:space="preserve"> </w:t>
      </w:r>
      <w:r>
        <w:t>the</w:t>
      </w:r>
      <w:r>
        <w:rPr>
          <w:spacing w:val="55"/>
        </w:rPr>
        <w:t xml:space="preserve"> </w:t>
      </w:r>
      <w:r>
        <w:t>lead</w:t>
      </w:r>
      <w:r>
        <w:rPr>
          <w:spacing w:val="57"/>
        </w:rPr>
        <w:t xml:space="preserve"> </w:t>
      </w:r>
      <w:r>
        <w:rPr>
          <w:spacing w:val="-1"/>
        </w:rPr>
        <w:t>s</w:t>
      </w:r>
      <w:r>
        <w:t>ta</w:t>
      </w:r>
      <w:r>
        <w:rPr>
          <w:spacing w:val="-1"/>
        </w:rPr>
        <w:t>k</w:t>
      </w:r>
      <w:r>
        <w:t>eholders</w:t>
      </w:r>
      <w:r>
        <w:rPr>
          <w:spacing w:val="55"/>
        </w:rPr>
        <w:t xml:space="preserve"> </w:t>
      </w:r>
      <w:r>
        <w:t>that</w:t>
      </w:r>
      <w:r>
        <w:rPr>
          <w:spacing w:val="56"/>
        </w:rPr>
        <w:t xml:space="preserve"> </w:t>
      </w:r>
      <w:r>
        <w:rPr>
          <w:spacing w:val="-2"/>
        </w:rPr>
        <w:t>l</w:t>
      </w:r>
      <w:r>
        <w:t>ead</w:t>
      </w:r>
      <w:r>
        <w:rPr>
          <w:spacing w:val="58"/>
        </w:rPr>
        <w:t xml:space="preserve"> </w:t>
      </w:r>
      <w:r>
        <w:t>/</w:t>
      </w:r>
      <w:r>
        <w:rPr>
          <w:spacing w:val="57"/>
        </w:rPr>
        <w:t xml:space="preserve"> </w:t>
      </w:r>
      <w:r>
        <w:t>can</w:t>
      </w:r>
      <w:r>
        <w:rPr>
          <w:spacing w:val="55"/>
        </w:rPr>
        <w:t xml:space="preserve"> </w:t>
      </w:r>
      <w:r>
        <w:t>lead</w:t>
      </w:r>
      <w:r>
        <w:rPr>
          <w:spacing w:val="55"/>
        </w:rPr>
        <w:t xml:space="preserve"> </w:t>
      </w:r>
      <w:r>
        <w:t xml:space="preserve">the </w:t>
      </w:r>
      <w:r w:rsidR="007F4F44">
        <w:t>management</w:t>
      </w:r>
      <w:r>
        <w:rPr>
          <w:spacing w:val="-2"/>
        </w:rPr>
        <w:t xml:space="preserve"> </w:t>
      </w:r>
      <w:r>
        <w:t>pro</w:t>
      </w:r>
      <w:r>
        <w:rPr>
          <w:spacing w:val="-1"/>
        </w:rPr>
        <w:t>c</w:t>
      </w:r>
      <w:r>
        <w:t>ess</w:t>
      </w:r>
      <w:r>
        <w:rPr>
          <w:spacing w:val="1"/>
        </w:rPr>
        <w:t xml:space="preserve"> </w:t>
      </w:r>
      <w:r>
        <w:t>in</w:t>
      </w:r>
      <w:r>
        <w:rPr>
          <w:spacing w:val="-2"/>
        </w:rPr>
        <w:t xml:space="preserve"> </w:t>
      </w:r>
      <w:r>
        <w:t>the reserve?</w:t>
      </w:r>
    </w:p>
    <w:p w14:paraId="3E7A1035" w14:textId="77777777" w:rsidR="00B35AC8" w:rsidRDefault="00B35AC8" w:rsidP="00B35AC8">
      <w:pPr>
        <w:pStyle w:val="ListParagraph"/>
        <w:numPr>
          <w:ilvl w:val="0"/>
          <w:numId w:val="15"/>
        </w:numPr>
        <w:spacing w:line="480" w:lineRule="auto"/>
      </w:pPr>
      <w:r>
        <w:t>Who makes decisions related to local development in your area?</w:t>
      </w:r>
    </w:p>
    <w:p w14:paraId="6BCC90E6" w14:textId="77777777" w:rsidR="00B35AC8" w:rsidRDefault="00B35AC8" w:rsidP="00B35AC8">
      <w:pPr>
        <w:pStyle w:val="ListParagraph"/>
        <w:numPr>
          <w:ilvl w:val="0"/>
          <w:numId w:val="15"/>
        </w:numPr>
        <w:spacing w:line="480" w:lineRule="auto"/>
      </w:pPr>
      <w:r>
        <w:t>Have you participated in any decision-making activities in your area?</w:t>
      </w:r>
    </w:p>
    <w:p w14:paraId="21DFCAFB" w14:textId="77777777" w:rsidR="00B35AC8" w:rsidRDefault="00B35AC8" w:rsidP="00B35AC8">
      <w:pPr>
        <w:pStyle w:val="ListParagraph"/>
        <w:numPr>
          <w:ilvl w:val="0"/>
          <w:numId w:val="15"/>
        </w:numPr>
        <w:spacing w:line="480" w:lineRule="auto"/>
      </w:pPr>
      <w:r>
        <w:t>Do you feel that you were able to influence decisions about development in your area through these forums?</w:t>
      </w:r>
    </w:p>
    <w:p w14:paraId="217AC9BD" w14:textId="5C8E480B" w:rsidR="00B35AC8" w:rsidRDefault="00B35AC8" w:rsidP="00B35AC8">
      <w:pPr>
        <w:pStyle w:val="ListParagraph"/>
        <w:numPr>
          <w:ilvl w:val="0"/>
          <w:numId w:val="15"/>
        </w:numPr>
        <w:spacing w:line="480" w:lineRule="auto"/>
      </w:pPr>
      <w:r>
        <w:t>Has the way in which decisions related to development are made in your area ch</w:t>
      </w:r>
      <w:r w:rsidR="0081629E">
        <w:t xml:space="preserve">anged during the past 5 years? </w:t>
      </w:r>
    </w:p>
    <w:p w14:paraId="7E9A273B" w14:textId="77777777" w:rsidR="00B35AC8" w:rsidRDefault="00B35AC8" w:rsidP="00B35AC8">
      <w:pPr>
        <w:pStyle w:val="ListParagraph"/>
        <w:numPr>
          <w:ilvl w:val="0"/>
          <w:numId w:val="15"/>
        </w:numPr>
        <w:spacing w:line="480" w:lineRule="auto"/>
      </w:pPr>
      <w:r>
        <w:t>Do you feel that there are any forums in your where you are not invited to attend or participate?</w:t>
      </w:r>
    </w:p>
    <w:p w14:paraId="7ADFFEE3" w14:textId="77777777" w:rsidR="00B35AC8" w:rsidRDefault="00B35AC8" w:rsidP="00B35AC8">
      <w:pPr>
        <w:pStyle w:val="ListParagraph"/>
        <w:numPr>
          <w:ilvl w:val="0"/>
          <w:numId w:val="15"/>
        </w:numPr>
        <w:spacing w:line="480" w:lineRule="auto"/>
      </w:pPr>
      <w:r>
        <w:t>Are there any development planning forums being organized by community members without waiting for the government?</w:t>
      </w:r>
    </w:p>
    <w:p w14:paraId="7E423F6D" w14:textId="77777777" w:rsidR="00B35AC8" w:rsidRDefault="00B35AC8" w:rsidP="00B35AC8">
      <w:pPr>
        <w:pStyle w:val="ListParagraph"/>
        <w:numPr>
          <w:ilvl w:val="0"/>
          <w:numId w:val="15"/>
        </w:numPr>
        <w:spacing w:line="480" w:lineRule="auto"/>
      </w:pPr>
      <w:r>
        <w:t>Have people in your community ever demanded to participate in development?</w:t>
      </w:r>
    </w:p>
    <w:p w14:paraId="4E882744" w14:textId="77777777" w:rsidR="00B35AC8" w:rsidRDefault="00B35AC8" w:rsidP="00B35AC8">
      <w:pPr>
        <w:pStyle w:val="ListParagraph"/>
        <w:numPr>
          <w:ilvl w:val="0"/>
          <w:numId w:val="15"/>
        </w:numPr>
        <w:spacing w:line="480" w:lineRule="auto"/>
      </w:pPr>
      <w:r>
        <w:t>What are the main obstacles that community members (i.e., women, youth, small farmers, etc.) face in official forums when they try to influence decision</w:t>
      </w:r>
      <w:r>
        <w:rPr>
          <w:rFonts w:cs="Times New Roman"/>
        </w:rPr>
        <w:t>-</w:t>
      </w:r>
      <w:r>
        <w:t>making, raise questions and demand accountability and transparency?</w:t>
      </w:r>
    </w:p>
    <w:p w14:paraId="5857407B" w14:textId="77777777" w:rsidR="00B35AC8" w:rsidRDefault="00B35AC8" w:rsidP="00B35AC8">
      <w:pPr>
        <w:pStyle w:val="ListParagraph"/>
        <w:numPr>
          <w:ilvl w:val="0"/>
          <w:numId w:val="15"/>
        </w:numPr>
        <w:spacing w:line="480" w:lineRule="auto"/>
      </w:pPr>
      <w:r>
        <w:t xml:space="preserve">Have these obstacles become </w:t>
      </w:r>
      <w:proofErr w:type="gramStart"/>
      <w:r>
        <w:t>more or less during</w:t>
      </w:r>
      <w:proofErr w:type="gramEnd"/>
      <w:r>
        <w:t xml:space="preserve"> the past 5 years? Please explain.</w:t>
      </w:r>
    </w:p>
    <w:p w14:paraId="2651944A" w14:textId="77777777" w:rsidR="00B35AC8" w:rsidRDefault="00B35AC8" w:rsidP="00B35AC8">
      <w:pPr>
        <w:pStyle w:val="ListParagraph"/>
        <w:numPr>
          <w:ilvl w:val="0"/>
          <w:numId w:val="15"/>
        </w:numPr>
        <w:spacing w:line="480" w:lineRule="auto"/>
      </w:pPr>
      <w:r>
        <w:t xml:space="preserve">Which groups of people dominate discussions in these official forums? </w:t>
      </w:r>
    </w:p>
    <w:p w14:paraId="22B29A0D" w14:textId="53C2662D" w:rsidR="00B35AC8" w:rsidRDefault="00B35AC8" w:rsidP="00B35AC8">
      <w:pPr>
        <w:pStyle w:val="ListParagraph"/>
        <w:numPr>
          <w:ilvl w:val="0"/>
          <w:numId w:val="15"/>
        </w:numPr>
        <w:spacing w:line="480" w:lineRule="auto"/>
      </w:pPr>
      <w:r>
        <w:t>What are the main unofficial/informal ways, outside of official forums, which you have avail</w:t>
      </w:r>
      <w:r w:rsidR="009B63B3">
        <w:t xml:space="preserve">able to make your views heard? </w:t>
      </w:r>
    </w:p>
    <w:p w14:paraId="38CC9CEB" w14:textId="77777777" w:rsidR="00B35AC8" w:rsidRDefault="00B35AC8" w:rsidP="00B35AC8">
      <w:pPr>
        <w:pStyle w:val="ListParagraph"/>
        <w:numPr>
          <w:ilvl w:val="0"/>
          <w:numId w:val="15"/>
        </w:numPr>
        <w:spacing w:line="480" w:lineRule="auto"/>
      </w:pPr>
      <w:r w:rsidRPr="00B700C5">
        <w:t>What are the reasons why you need these informal forums?</w:t>
      </w:r>
    </w:p>
    <w:p w14:paraId="1CACC60E" w14:textId="77777777" w:rsidR="00B35AC8" w:rsidRDefault="00B35AC8" w:rsidP="00B35AC8">
      <w:pPr>
        <w:pStyle w:val="ListParagraph"/>
        <w:numPr>
          <w:ilvl w:val="0"/>
          <w:numId w:val="15"/>
        </w:numPr>
        <w:spacing w:line="480" w:lineRule="auto"/>
      </w:pPr>
      <w:r w:rsidRPr="00002887">
        <w:lastRenderedPageBreak/>
        <w:t>Who do you turn to first when you need help in any matter?</w:t>
      </w:r>
    </w:p>
    <w:p w14:paraId="2B36C308" w14:textId="77777777" w:rsidR="00B35AC8" w:rsidRDefault="00B35AC8" w:rsidP="00B35AC8">
      <w:pPr>
        <w:pStyle w:val="ListParagraph"/>
        <w:numPr>
          <w:ilvl w:val="0"/>
          <w:numId w:val="15"/>
        </w:numPr>
        <w:spacing w:line="480" w:lineRule="auto"/>
      </w:pPr>
      <w:r w:rsidRPr="00002887">
        <w:t>Which factor gives a person more influence</w:t>
      </w:r>
      <w:r>
        <w:t>?</w:t>
      </w:r>
    </w:p>
    <w:p w14:paraId="6EE4C95E" w14:textId="77777777" w:rsidR="00B35AC8" w:rsidRDefault="00B35AC8" w:rsidP="00B35AC8">
      <w:pPr>
        <w:pStyle w:val="ListParagraph"/>
        <w:numPr>
          <w:ilvl w:val="0"/>
          <w:numId w:val="15"/>
        </w:numPr>
        <w:spacing w:line="480" w:lineRule="auto"/>
      </w:pPr>
      <w:r>
        <w:t>Which of these structures has the most influence on development planning in your community? Choose from: IMF/World Bank; other international organizations; other countries; national government; political parties; NGOs/CBOs; religious leaders; village leadership; private sector; or other.</w:t>
      </w:r>
    </w:p>
    <w:p w14:paraId="5A0E1594" w14:textId="77777777" w:rsidR="00B35AC8" w:rsidRDefault="00B35AC8" w:rsidP="00B35AC8">
      <w:pPr>
        <w:pStyle w:val="ListParagraph"/>
        <w:numPr>
          <w:ilvl w:val="0"/>
          <w:numId w:val="15"/>
        </w:numPr>
        <w:spacing w:line="480" w:lineRule="auto"/>
      </w:pPr>
      <w:r w:rsidRPr="00002887">
        <w:t>What is the reason for your answer?</w:t>
      </w:r>
    </w:p>
    <w:p w14:paraId="695EC779" w14:textId="77777777" w:rsidR="00B35AC8" w:rsidRDefault="00B35AC8" w:rsidP="00B35AC8">
      <w:pPr>
        <w:pStyle w:val="ListParagraph"/>
        <w:numPr>
          <w:ilvl w:val="0"/>
          <w:numId w:val="15"/>
        </w:numPr>
        <w:spacing w:line="480" w:lineRule="auto"/>
      </w:pPr>
      <w:r>
        <w:t>Development in your community is most influenced by decisions at what level? national, regional, district, local or household level?</w:t>
      </w:r>
    </w:p>
    <w:p w14:paraId="203FCFD8" w14:textId="430B33C4" w:rsidR="00A127FB" w:rsidRDefault="00A127FB" w:rsidP="00B35AC8">
      <w:pPr>
        <w:pStyle w:val="ListParagraph"/>
        <w:numPr>
          <w:ilvl w:val="0"/>
          <w:numId w:val="15"/>
        </w:numPr>
        <w:spacing w:line="480" w:lineRule="auto"/>
        <w:ind w:left="450" w:hanging="450"/>
      </w:pPr>
      <w:r>
        <w:t>Do you have roles in promoting sustainable use of the forest?  If yes, what are they?</w:t>
      </w:r>
    </w:p>
    <w:p w14:paraId="4B155A26" w14:textId="77777777" w:rsidR="00A127FB" w:rsidRDefault="00A127FB" w:rsidP="00DC4827">
      <w:pPr>
        <w:pStyle w:val="ListParagraph"/>
        <w:numPr>
          <w:ilvl w:val="0"/>
          <w:numId w:val="15"/>
        </w:numPr>
        <w:spacing w:line="360" w:lineRule="auto"/>
        <w:ind w:left="450" w:hanging="450"/>
      </w:pPr>
      <w:r>
        <w:t>Do you derive benefits from the forest? If yes, what are these benefits</w:t>
      </w:r>
    </w:p>
    <w:p w14:paraId="0FD367F1" w14:textId="6FF5C81F" w:rsidR="00A127FB" w:rsidRDefault="00A127FB" w:rsidP="00DC4827">
      <w:pPr>
        <w:pStyle w:val="ListParagraph"/>
        <w:numPr>
          <w:ilvl w:val="0"/>
          <w:numId w:val="15"/>
        </w:numPr>
        <w:spacing w:line="360" w:lineRule="auto"/>
        <w:ind w:left="450" w:hanging="450"/>
      </w:pPr>
      <w:proofErr w:type="gramStart"/>
      <w:r>
        <w:t>Are</w:t>
      </w:r>
      <w:proofErr w:type="gramEnd"/>
      <w:r>
        <w:t xml:space="preserve"> the</w:t>
      </w:r>
      <w:r w:rsidR="00B35AC8">
        <w:t>re</w:t>
      </w:r>
      <w:r>
        <w:t xml:space="preserve"> forest regulating rules in line with the interests of the stakeholders? How does/does not coincide? </w:t>
      </w:r>
    </w:p>
    <w:p w14:paraId="3C474DB6" w14:textId="77777777" w:rsidR="00A127FB" w:rsidRDefault="00A127FB" w:rsidP="00DC4827">
      <w:pPr>
        <w:pStyle w:val="ListParagraph"/>
        <w:numPr>
          <w:ilvl w:val="0"/>
          <w:numId w:val="15"/>
        </w:numPr>
        <w:spacing w:line="360" w:lineRule="auto"/>
        <w:ind w:left="450" w:hanging="450"/>
      </w:pPr>
      <w:r>
        <w:t>Are there conflicts associated with the use of the forest? What are some of these conflicts?</w:t>
      </w:r>
    </w:p>
    <w:p w14:paraId="167D0BB2" w14:textId="77777777" w:rsidR="00A127FB" w:rsidRDefault="00A127FB" w:rsidP="00DC4827">
      <w:pPr>
        <w:pStyle w:val="ListParagraph"/>
        <w:numPr>
          <w:ilvl w:val="0"/>
          <w:numId w:val="15"/>
        </w:numPr>
        <w:spacing w:line="360" w:lineRule="auto"/>
        <w:ind w:left="450" w:hanging="450"/>
      </w:pPr>
      <w:r>
        <w:t>Are there procedures for resolving the conflicts? What are the procedures?</w:t>
      </w:r>
    </w:p>
    <w:p w14:paraId="4849AC7F" w14:textId="77777777" w:rsidR="00A127FB" w:rsidRDefault="00A127FB" w:rsidP="00DC4827">
      <w:pPr>
        <w:pStyle w:val="ListParagraph"/>
        <w:numPr>
          <w:ilvl w:val="0"/>
          <w:numId w:val="15"/>
        </w:numPr>
        <w:spacing w:line="360" w:lineRule="auto"/>
        <w:ind w:left="450" w:hanging="450"/>
      </w:pPr>
      <w:r>
        <w:t>H</w:t>
      </w:r>
      <w:r>
        <w:rPr>
          <w:spacing w:val="1"/>
        </w:rPr>
        <w:t>o</w:t>
      </w:r>
      <w:r>
        <w:t>w</w:t>
      </w:r>
      <w:r>
        <w:rPr>
          <w:spacing w:val="46"/>
        </w:rPr>
        <w:t xml:space="preserve"> </w:t>
      </w:r>
      <w:r>
        <w:rPr>
          <w:spacing w:val="1"/>
        </w:rPr>
        <w:t>o</w:t>
      </w:r>
      <w:r>
        <w:t>f</w:t>
      </w:r>
      <w:r>
        <w:rPr>
          <w:spacing w:val="-1"/>
        </w:rPr>
        <w:t>t</w:t>
      </w:r>
      <w:r>
        <w:t>en</w:t>
      </w:r>
      <w:r>
        <w:rPr>
          <w:spacing w:val="48"/>
        </w:rPr>
        <w:t xml:space="preserve"> </w:t>
      </w:r>
      <w:r>
        <w:t>are</w:t>
      </w:r>
      <w:r>
        <w:rPr>
          <w:spacing w:val="45"/>
        </w:rPr>
        <w:t xml:space="preserve"> </w:t>
      </w:r>
      <w:r>
        <w:t>those</w:t>
      </w:r>
      <w:r>
        <w:rPr>
          <w:spacing w:val="48"/>
        </w:rPr>
        <w:t xml:space="preserve"> </w:t>
      </w:r>
      <w:r>
        <w:t>f</w:t>
      </w:r>
      <w:r>
        <w:rPr>
          <w:spacing w:val="-1"/>
        </w:rPr>
        <w:t>a</w:t>
      </w:r>
      <w:r>
        <w:t>ce-to-fa</w:t>
      </w:r>
      <w:r>
        <w:rPr>
          <w:spacing w:val="-1"/>
        </w:rPr>
        <w:t>c</w:t>
      </w:r>
      <w:r>
        <w:t>e</w:t>
      </w:r>
      <w:r>
        <w:rPr>
          <w:spacing w:val="48"/>
        </w:rPr>
        <w:t xml:space="preserve"> </w:t>
      </w:r>
      <w:r>
        <w:t>dialogu</w:t>
      </w:r>
      <w:r>
        <w:rPr>
          <w:spacing w:val="-2"/>
        </w:rPr>
        <w:t>e</w:t>
      </w:r>
      <w:r>
        <w:t>s</w:t>
      </w:r>
      <w:r>
        <w:rPr>
          <w:spacing w:val="48"/>
        </w:rPr>
        <w:t xml:space="preserve"> </w:t>
      </w:r>
      <w:r>
        <w:rPr>
          <w:spacing w:val="-1"/>
        </w:rPr>
        <w:t>c</w:t>
      </w:r>
      <w:r>
        <w:t>ondu</w:t>
      </w:r>
      <w:r>
        <w:rPr>
          <w:spacing w:val="-2"/>
        </w:rPr>
        <w:t>c</w:t>
      </w:r>
      <w:r>
        <w:t>ted?</w:t>
      </w:r>
      <w:r>
        <w:rPr>
          <w:spacing w:val="50"/>
        </w:rPr>
        <w:t xml:space="preserve"> </w:t>
      </w:r>
    </w:p>
    <w:p w14:paraId="4D6B5968" w14:textId="77777777" w:rsidR="00A127FB" w:rsidRDefault="00A127FB" w:rsidP="00DC4827">
      <w:pPr>
        <w:pStyle w:val="ListParagraph"/>
        <w:spacing w:line="360" w:lineRule="auto"/>
        <w:ind w:left="450" w:hanging="450"/>
      </w:pPr>
      <w:r>
        <w:rPr>
          <w:rFonts w:ascii="MS Gothic" w:eastAsia="MS Gothic" w:hAnsi="MS Gothic" w:cs="MS Gothic" w:hint="eastAsia"/>
          <w:spacing w:val="50"/>
        </w:rPr>
        <w:t>☐</w:t>
      </w:r>
      <w:r>
        <w:t>Once</w:t>
      </w:r>
      <w:r>
        <w:rPr>
          <w:spacing w:val="-2"/>
        </w:rPr>
        <w:t xml:space="preserve"> </w:t>
      </w:r>
      <w:r>
        <w:t xml:space="preserve">a </w:t>
      </w:r>
      <w:r>
        <w:rPr>
          <w:spacing w:val="-1"/>
        </w:rPr>
        <w:t>w</w:t>
      </w:r>
      <w:r>
        <w:t>e</w:t>
      </w:r>
      <w:r>
        <w:rPr>
          <w:spacing w:val="-2"/>
        </w:rPr>
        <w:t>e</w:t>
      </w:r>
      <w:r>
        <w:rPr>
          <w:spacing w:val="-1"/>
        </w:rPr>
        <w:t>k</w:t>
      </w:r>
      <w:r>
        <w:tab/>
      </w:r>
      <w:r>
        <w:rPr>
          <w:rFonts w:ascii="MS Gothic" w:eastAsia="MS Gothic" w:hAnsi="MS Gothic" w:cs="MS Gothic" w:hint="eastAsia"/>
          <w:spacing w:val="50"/>
        </w:rPr>
        <w:t>☐</w:t>
      </w:r>
      <w:r>
        <w:t>On</w:t>
      </w:r>
      <w:r>
        <w:rPr>
          <w:spacing w:val="-1"/>
        </w:rPr>
        <w:t>c</w:t>
      </w:r>
      <w:r>
        <w:t xml:space="preserve">e a </w:t>
      </w:r>
      <w:r>
        <w:rPr>
          <w:spacing w:val="-1"/>
        </w:rPr>
        <w:t>m</w:t>
      </w:r>
      <w:r>
        <w:t>onth</w:t>
      </w:r>
      <w:r>
        <w:rPr>
          <w:spacing w:val="-1"/>
        </w:rPr>
        <w:t xml:space="preserve"> or more</w:t>
      </w:r>
      <w:r>
        <w:tab/>
      </w:r>
      <w:r>
        <w:rPr>
          <w:rFonts w:ascii="MS Gothic" w:eastAsia="MS Gothic" w:hAnsi="MS Gothic" w:cs="MS Gothic" w:hint="eastAsia"/>
          <w:spacing w:val="47"/>
        </w:rPr>
        <w:t>☐</w:t>
      </w:r>
      <w:r>
        <w:t>A f</w:t>
      </w:r>
      <w:r>
        <w:rPr>
          <w:spacing w:val="-1"/>
        </w:rPr>
        <w:t>e</w:t>
      </w:r>
      <w:r>
        <w:t>w t</w:t>
      </w:r>
      <w:r>
        <w:rPr>
          <w:spacing w:val="-2"/>
        </w:rPr>
        <w:t>i</w:t>
      </w:r>
      <w:r>
        <w:t>m</w:t>
      </w:r>
      <w:r>
        <w:rPr>
          <w:spacing w:val="-1"/>
        </w:rPr>
        <w:t>e</w:t>
      </w:r>
      <w:r>
        <w:t>s a year</w:t>
      </w:r>
      <w:r>
        <w:tab/>
      </w:r>
      <w:r>
        <w:rPr>
          <w:rFonts w:ascii="MS Gothic" w:eastAsia="MS Gothic" w:hAnsi="MS Gothic" w:cs="MS Gothic" w:hint="eastAsia"/>
          <w:spacing w:val="50"/>
        </w:rPr>
        <w:t>☐</w:t>
      </w:r>
      <w:r>
        <w:t>O</w:t>
      </w:r>
      <w:r>
        <w:rPr>
          <w:spacing w:val="-1"/>
        </w:rPr>
        <w:t>n</w:t>
      </w:r>
      <w:r>
        <w:t>ce a</w:t>
      </w:r>
      <w:r>
        <w:rPr>
          <w:spacing w:val="-1"/>
        </w:rPr>
        <w:t xml:space="preserve"> </w:t>
      </w:r>
      <w:r>
        <w:t>y</w:t>
      </w:r>
      <w:r>
        <w:rPr>
          <w:spacing w:val="-1"/>
        </w:rPr>
        <w:t>e</w:t>
      </w:r>
      <w:r>
        <w:t>ar Rea</w:t>
      </w:r>
      <w:r>
        <w:rPr>
          <w:spacing w:val="-1"/>
        </w:rPr>
        <w:t>s</w:t>
      </w:r>
      <w:r>
        <w:t>on:</w:t>
      </w:r>
    </w:p>
    <w:p w14:paraId="2A51D063" w14:textId="77777777" w:rsidR="00A127FB" w:rsidRDefault="00A127FB" w:rsidP="00DC4827">
      <w:pPr>
        <w:pStyle w:val="ListParagraph"/>
        <w:numPr>
          <w:ilvl w:val="0"/>
          <w:numId w:val="15"/>
        </w:numPr>
        <w:spacing w:line="360" w:lineRule="auto"/>
        <w:ind w:left="450" w:hanging="450"/>
      </w:pPr>
      <w:r>
        <w:rPr>
          <w:spacing w:val="-1"/>
        </w:rPr>
        <w:t>H</w:t>
      </w:r>
      <w:r>
        <w:t>ow</w:t>
      </w:r>
      <w:r>
        <w:rPr>
          <w:spacing w:val="46"/>
        </w:rPr>
        <w:t xml:space="preserve"> </w:t>
      </w:r>
      <w:r>
        <w:rPr>
          <w:spacing w:val="-1"/>
        </w:rPr>
        <w:t>w</w:t>
      </w:r>
      <w:r>
        <w:t>ould</w:t>
      </w:r>
      <w:r>
        <w:rPr>
          <w:spacing w:val="47"/>
        </w:rPr>
        <w:t xml:space="preserve"> </w:t>
      </w:r>
      <w:r>
        <w:t>you</w:t>
      </w:r>
      <w:r>
        <w:rPr>
          <w:spacing w:val="48"/>
        </w:rPr>
        <w:t xml:space="preserve"> </w:t>
      </w:r>
      <w:r>
        <w:t>de</w:t>
      </w:r>
      <w:r>
        <w:rPr>
          <w:spacing w:val="-1"/>
        </w:rPr>
        <w:t>s</w:t>
      </w:r>
      <w:r>
        <w:t>cri</w:t>
      </w:r>
      <w:r>
        <w:rPr>
          <w:spacing w:val="-1"/>
        </w:rPr>
        <w:t>b</w:t>
      </w:r>
      <w:r>
        <w:t>e</w:t>
      </w:r>
      <w:r>
        <w:rPr>
          <w:spacing w:val="48"/>
        </w:rPr>
        <w:t xml:space="preserve"> </w:t>
      </w:r>
      <w:r>
        <w:t>the</w:t>
      </w:r>
      <w:r>
        <w:rPr>
          <w:spacing w:val="46"/>
        </w:rPr>
        <w:t xml:space="preserve"> </w:t>
      </w:r>
      <w:r>
        <w:t>quality</w:t>
      </w:r>
      <w:r>
        <w:rPr>
          <w:spacing w:val="46"/>
        </w:rPr>
        <w:t xml:space="preserve"> </w:t>
      </w:r>
      <w:r>
        <w:rPr>
          <w:spacing w:val="1"/>
        </w:rPr>
        <w:t>of</w:t>
      </w:r>
      <w:r>
        <w:t xml:space="preserve"> i</w:t>
      </w:r>
      <w:r>
        <w:rPr>
          <w:spacing w:val="-1"/>
        </w:rPr>
        <w:t>n</w:t>
      </w:r>
      <w:r>
        <w:t>teract</w:t>
      </w:r>
      <w:r>
        <w:rPr>
          <w:spacing w:val="-2"/>
        </w:rPr>
        <w:t>i</w:t>
      </w:r>
      <w:r>
        <w:t>ons (conflictua</w:t>
      </w:r>
      <w:r>
        <w:rPr>
          <w:spacing w:val="-2"/>
        </w:rPr>
        <w:t>l</w:t>
      </w:r>
      <w:r>
        <w:t>/p</w:t>
      </w:r>
      <w:r>
        <w:rPr>
          <w:spacing w:val="-2"/>
        </w:rPr>
        <w:t>r</w:t>
      </w:r>
      <w:r>
        <w:t>oducti</w:t>
      </w:r>
      <w:r>
        <w:rPr>
          <w:spacing w:val="-1"/>
        </w:rPr>
        <w:t>v</w:t>
      </w:r>
      <w:r>
        <w:t>e) among</w:t>
      </w:r>
      <w:r>
        <w:rPr>
          <w:spacing w:val="-1"/>
        </w:rPr>
        <w:t xml:space="preserve"> </w:t>
      </w:r>
      <w:r>
        <w:t>partic</w:t>
      </w:r>
      <w:r>
        <w:rPr>
          <w:spacing w:val="-1"/>
        </w:rPr>
        <w:t>ip</w:t>
      </w:r>
      <w:r>
        <w:rPr>
          <w:spacing w:val="-2"/>
        </w:rPr>
        <w:t>a</w:t>
      </w:r>
      <w:r>
        <w:t xml:space="preserve">nts in the </w:t>
      </w:r>
      <w:r>
        <w:rPr>
          <w:spacing w:val="-1"/>
        </w:rPr>
        <w:t>f</w:t>
      </w:r>
      <w:r>
        <w:t>ac</w:t>
      </w:r>
      <w:r>
        <w:rPr>
          <w:spacing w:val="2"/>
        </w:rPr>
        <w:t>e</w:t>
      </w:r>
      <w:r>
        <w:t>-</w:t>
      </w:r>
      <w:r>
        <w:rPr>
          <w:spacing w:val="-1"/>
        </w:rPr>
        <w:t>t</w:t>
      </w:r>
      <w:r>
        <w:t>o-fa</w:t>
      </w:r>
      <w:r>
        <w:rPr>
          <w:spacing w:val="-2"/>
        </w:rPr>
        <w:t>c</w:t>
      </w:r>
      <w:r>
        <w:t>e</w:t>
      </w:r>
      <w:r>
        <w:rPr>
          <w:spacing w:val="-2"/>
        </w:rPr>
        <w:t xml:space="preserve"> </w:t>
      </w:r>
      <w:r>
        <w:t>m</w:t>
      </w:r>
      <w:r>
        <w:rPr>
          <w:spacing w:val="-1"/>
        </w:rPr>
        <w:t>e</w:t>
      </w:r>
      <w:r>
        <w:rPr>
          <w:spacing w:val="-2"/>
        </w:rPr>
        <w:t>e</w:t>
      </w:r>
      <w:r>
        <w:t>ti</w:t>
      </w:r>
      <w:r>
        <w:rPr>
          <w:spacing w:val="-1"/>
        </w:rPr>
        <w:t>n</w:t>
      </w:r>
      <w:r>
        <w:t>gs? Provide reasons for your answer</w:t>
      </w:r>
    </w:p>
    <w:p w14:paraId="1FB42522" w14:textId="77777777" w:rsidR="00A127FB" w:rsidRDefault="00A127FB" w:rsidP="00DC4827">
      <w:pPr>
        <w:pStyle w:val="ListParagraph"/>
        <w:numPr>
          <w:ilvl w:val="0"/>
          <w:numId w:val="15"/>
        </w:numPr>
        <w:spacing w:line="360" w:lineRule="auto"/>
        <w:ind w:left="450" w:hanging="450"/>
      </w:pPr>
      <w:r>
        <w:rPr>
          <w:spacing w:val="1"/>
        </w:rPr>
        <w:t>Do</w:t>
      </w:r>
      <w:r>
        <w:rPr>
          <w:spacing w:val="16"/>
        </w:rPr>
        <w:t xml:space="preserve"> </w:t>
      </w:r>
      <w:r>
        <w:t>you</w:t>
      </w:r>
      <w:r>
        <w:rPr>
          <w:spacing w:val="14"/>
        </w:rPr>
        <w:t xml:space="preserve"> </w:t>
      </w:r>
      <w:r>
        <w:t>think</w:t>
      </w:r>
      <w:r>
        <w:rPr>
          <w:spacing w:val="14"/>
        </w:rPr>
        <w:t xml:space="preserve"> </w:t>
      </w:r>
      <w:r>
        <w:t>there</w:t>
      </w:r>
      <w:r>
        <w:rPr>
          <w:spacing w:val="14"/>
        </w:rPr>
        <w:t xml:space="preserve"> </w:t>
      </w:r>
      <w:r>
        <w:t>is</w:t>
      </w:r>
      <w:r>
        <w:rPr>
          <w:spacing w:val="15"/>
        </w:rPr>
        <w:t xml:space="preserve"> </w:t>
      </w:r>
      <w:r>
        <w:t>en</w:t>
      </w:r>
      <w:r>
        <w:rPr>
          <w:spacing w:val="1"/>
        </w:rPr>
        <w:t>o</w:t>
      </w:r>
      <w:r>
        <w:rPr>
          <w:spacing w:val="-2"/>
        </w:rPr>
        <w:t>u</w:t>
      </w:r>
      <w:r>
        <w:rPr>
          <w:spacing w:val="-1"/>
        </w:rPr>
        <w:t>gh</w:t>
      </w:r>
      <w:r>
        <w:rPr>
          <w:spacing w:val="1"/>
        </w:rPr>
        <w:t>/</w:t>
      </w:r>
      <w:r>
        <w:t>str</w:t>
      </w:r>
      <w:r>
        <w:rPr>
          <w:spacing w:val="1"/>
        </w:rPr>
        <w:t>o</w:t>
      </w:r>
      <w:r>
        <w:t>ng</w:t>
      </w:r>
      <w:r>
        <w:rPr>
          <w:spacing w:val="14"/>
        </w:rPr>
        <w:t xml:space="preserve"> </w:t>
      </w:r>
      <w:r>
        <w:t>leade</w:t>
      </w:r>
      <w:r>
        <w:rPr>
          <w:spacing w:val="-2"/>
        </w:rPr>
        <w:t>r</w:t>
      </w:r>
      <w:r>
        <w:t>ship</w:t>
      </w:r>
      <w:r>
        <w:rPr>
          <w:spacing w:val="16"/>
        </w:rPr>
        <w:t xml:space="preserve"> </w:t>
      </w:r>
      <w:r>
        <w:t>in</w:t>
      </w:r>
      <w:r>
        <w:rPr>
          <w:spacing w:val="16"/>
        </w:rPr>
        <w:t xml:space="preserve"> </w:t>
      </w:r>
      <w:r>
        <w:t>th</w:t>
      </w:r>
      <w:r>
        <w:rPr>
          <w:spacing w:val="-2"/>
        </w:rPr>
        <w:t>i</w:t>
      </w:r>
      <w:r>
        <w:t>s</w:t>
      </w:r>
      <w:r>
        <w:rPr>
          <w:spacing w:val="17"/>
        </w:rPr>
        <w:t xml:space="preserve"> </w:t>
      </w:r>
      <w:r>
        <w:rPr>
          <w:spacing w:val="-1"/>
        </w:rPr>
        <w:t>c</w:t>
      </w:r>
      <w:r>
        <w:t>olla</w:t>
      </w:r>
      <w:r>
        <w:rPr>
          <w:spacing w:val="-1"/>
        </w:rPr>
        <w:t>b</w:t>
      </w:r>
      <w:r>
        <w:rPr>
          <w:spacing w:val="1"/>
        </w:rPr>
        <w:t>o</w:t>
      </w:r>
      <w:r>
        <w:t>r</w:t>
      </w:r>
      <w:r>
        <w:rPr>
          <w:spacing w:val="-2"/>
        </w:rPr>
        <w:t>a</w:t>
      </w:r>
      <w:r>
        <w:t>tive</w:t>
      </w:r>
      <w:r>
        <w:rPr>
          <w:spacing w:val="14"/>
        </w:rPr>
        <w:t xml:space="preserve"> </w:t>
      </w:r>
      <w:r>
        <w:t>p</w:t>
      </w:r>
      <w:r>
        <w:rPr>
          <w:spacing w:val="-1"/>
        </w:rPr>
        <w:t>r</w:t>
      </w:r>
      <w:r>
        <w:t>oce</w:t>
      </w:r>
      <w:r>
        <w:rPr>
          <w:spacing w:val="-2"/>
        </w:rPr>
        <w:t>s</w:t>
      </w:r>
      <w:r>
        <w:t>s? Why?</w:t>
      </w:r>
    </w:p>
    <w:p w14:paraId="5D01418C" w14:textId="77777777" w:rsidR="00A127FB" w:rsidRDefault="00A127FB" w:rsidP="00DC4827">
      <w:pPr>
        <w:pStyle w:val="ListParagraph"/>
        <w:numPr>
          <w:ilvl w:val="0"/>
          <w:numId w:val="15"/>
        </w:numPr>
        <w:spacing w:line="360" w:lineRule="auto"/>
        <w:ind w:left="450" w:hanging="450"/>
        <w:rPr>
          <w:spacing w:val="33"/>
        </w:rPr>
      </w:pPr>
      <w:r>
        <w:t>H</w:t>
      </w:r>
      <w:r>
        <w:rPr>
          <w:spacing w:val="1"/>
        </w:rPr>
        <w:t>o</w:t>
      </w:r>
      <w:r>
        <w:t>w</w:t>
      </w:r>
      <w:r>
        <w:rPr>
          <w:spacing w:val="32"/>
        </w:rPr>
        <w:t xml:space="preserve"> </w:t>
      </w:r>
      <w:r>
        <w:t>co</w:t>
      </w:r>
      <w:r>
        <w:rPr>
          <w:spacing w:val="-1"/>
        </w:rPr>
        <w:t>m</w:t>
      </w:r>
      <w:r>
        <w:t>mit</w:t>
      </w:r>
      <w:r>
        <w:rPr>
          <w:spacing w:val="-1"/>
        </w:rPr>
        <w:t>t</w:t>
      </w:r>
      <w:r>
        <w:t>ed</w:t>
      </w:r>
      <w:r>
        <w:rPr>
          <w:spacing w:val="33"/>
        </w:rPr>
        <w:t xml:space="preserve"> </w:t>
      </w:r>
      <w:r>
        <w:t>a</w:t>
      </w:r>
      <w:r>
        <w:rPr>
          <w:spacing w:val="-2"/>
        </w:rPr>
        <w:t>r</w:t>
      </w:r>
      <w:r>
        <w:t>e</w:t>
      </w:r>
      <w:r>
        <w:rPr>
          <w:spacing w:val="31"/>
        </w:rPr>
        <w:t xml:space="preserve"> </w:t>
      </w:r>
      <w:r>
        <w:rPr>
          <w:spacing w:val="1"/>
        </w:rPr>
        <w:t>yo</w:t>
      </w:r>
      <w:r>
        <w:t>u</w:t>
      </w:r>
      <w:r>
        <w:rPr>
          <w:spacing w:val="31"/>
        </w:rPr>
        <w:t xml:space="preserve"> </w:t>
      </w:r>
      <w:r>
        <w:rPr>
          <w:spacing w:val="-1"/>
        </w:rPr>
        <w:t>to</w:t>
      </w:r>
      <w:r>
        <w:rPr>
          <w:spacing w:val="35"/>
        </w:rPr>
        <w:t xml:space="preserve"> </w:t>
      </w:r>
      <w:r>
        <w:t>this</w:t>
      </w:r>
      <w:r>
        <w:rPr>
          <w:spacing w:val="31"/>
        </w:rPr>
        <w:t xml:space="preserve"> </w:t>
      </w:r>
      <w:r w:rsidR="007F4F44">
        <w:t>management</w:t>
      </w:r>
      <w:r>
        <w:rPr>
          <w:spacing w:val="33"/>
        </w:rPr>
        <w:t xml:space="preserve"> </w:t>
      </w:r>
      <w:r>
        <w:t>p</w:t>
      </w:r>
      <w:r>
        <w:rPr>
          <w:spacing w:val="-2"/>
        </w:rPr>
        <w:t>r</w:t>
      </w:r>
      <w:r>
        <w:t>o</w:t>
      </w:r>
      <w:r>
        <w:rPr>
          <w:spacing w:val="-1"/>
        </w:rPr>
        <w:t>c</w:t>
      </w:r>
      <w:r>
        <w:rPr>
          <w:spacing w:val="-2"/>
        </w:rPr>
        <w:t>e</w:t>
      </w:r>
      <w:r>
        <w:t>ss?</w:t>
      </w:r>
      <w:r>
        <w:rPr>
          <w:spacing w:val="33"/>
        </w:rPr>
        <w:t xml:space="preserve"> </w:t>
      </w:r>
    </w:p>
    <w:p w14:paraId="143C7A8B" w14:textId="77777777" w:rsidR="00A127FB" w:rsidRDefault="00A127FB" w:rsidP="00DC4827">
      <w:pPr>
        <w:pStyle w:val="ListParagraph"/>
        <w:spacing w:line="360" w:lineRule="auto"/>
        <w:ind w:left="450" w:hanging="450"/>
      </w:pPr>
      <w:r>
        <w:rPr>
          <w:rFonts w:ascii="MS Gothic" w:eastAsia="MS Gothic" w:hAnsi="MS Gothic" w:cs="MS Gothic" w:hint="eastAsia"/>
        </w:rPr>
        <w:t>☐</w:t>
      </w:r>
      <w:r>
        <w:rPr>
          <w:rFonts w:ascii="MS Gothic" w:eastAsia="MS Gothic" w:hAnsi="MS Gothic" w:cs="MS Gothic" w:hint="eastAsia"/>
          <w:spacing w:val="-20"/>
        </w:rPr>
        <w:t xml:space="preserve"> </w:t>
      </w:r>
      <w:r>
        <w:rPr>
          <w:spacing w:val="-1"/>
        </w:rPr>
        <w:t>H</w:t>
      </w:r>
      <w:r>
        <w:t>ighly</w:t>
      </w:r>
      <w:r>
        <w:rPr>
          <w:spacing w:val="38"/>
        </w:rPr>
        <w:t xml:space="preserve"> </w:t>
      </w:r>
      <w:r>
        <w:rPr>
          <w:spacing w:val="-1"/>
        </w:rPr>
        <w:t>com</w:t>
      </w:r>
      <w:r>
        <w:rPr>
          <w:spacing w:val="1"/>
        </w:rPr>
        <w:t>m</w:t>
      </w:r>
      <w:r>
        <w:t>itted</w:t>
      </w:r>
      <w:r>
        <w:tab/>
      </w:r>
      <w:r>
        <w:rPr>
          <w:rFonts w:ascii="MS Gothic" w:eastAsia="MS Gothic" w:hAnsi="MS Gothic" w:cs="MS Gothic" w:hint="eastAsia"/>
        </w:rPr>
        <w:t>☐</w:t>
      </w:r>
      <w:r>
        <w:rPr>
          <w:rFonts w:ascii="MS Gothic" w:eastAsia="MS Gothic" w:hAnsi="MS Gothic" w:cs="MS Gothic" w:hint="eastAsia"/>
          <w:spacing w:val="-20"/>
        </w:rPr>
        <w:t xml:space="preserve"> </w:t>
      </w:r>
      <w:r>
        <w:t>R</w:t>
      </w:r>
      <w:r>
        <w:rPr>
          <w:spacing w:val="-3"/>
        </w:rPr>
        <w:t>a</w:t>
      </w:r>
      <w:r>
        <w:t>ther</w:t>
      </w:r>
      <w:r>
        <w:rPr>
          <w:spacing w:val="35"/>
        </w:rPr>
        <w:t xml:space="preserve"> </w:t>
      </w:r>
      <w:r>
        <w:t>commit</w:t>
      </w:r>
      <w:r>
        <w:rPr>
          <w:spacing w:val="-1"/>
        </w:rPr>
        <w:t>t</w:t>
      </w:r>
      <w:r>
        <w:t>ed</w:t>
      </w:r>
      <w:r>
        <w:tab/>
      </w:r>
      <w:r>
        <w:rPr>
          <w:rFonts w:ascii="MS Gothic" w:eastAsia="MS Gothic" w:hAnsi="MS Gothic" w:cs="MS Gothic" w:hint="eastAsia"/>
          <w:spacing w:val="85"/>
        </w:rPr>
        <w:t>☐</w:t>
      </w:r>
      <w:r>
        <w:t>Neutral</w:t>
      </w:r>
      <w:r>
        <w:tab/>
      </w:r>
      <w:r>
        <w:rPr>
          <w:rFonts w:ascii="MS Gothic" w:eastAsia="MS Gothic" w:hAnsi="MS Gothic" w:cs="MS Gothic" w:hint="eastAsia"/>
          <w:spacing w:val="86"/>
        </w:rPr>
        <w:t>☐</w:t>
      </w:r>
      <w:r>
        <w:t>R</w:t>
      </w:r>
      <w:r>
        <w:rPr>
          <w:spacing w:val="-1"/>
        </w:rPr>
        <w:t>a</w:t>
      </w:r>
      <w:r>
        <w:t>ther</w:t>
      </w:r>
      <w:r>
        <w:rPr>
          <w:spacing w:val="37"/>
        </w:rPr>
        <w:t xml:space="preserve"> </w:t>
      </w:r>
      <w:r>
        <w:t>not</w:t>
      </w:r>
      <w:r>
        <w:rPr>
          <w:spacing w:val="38"/>
        </w:rPr>
        <w:t xml:space="preserve"> </w:t>
      </w:r>
      <w:r>
        <w:rPr>
          <w:spacing w:val="-1"/>
        </w:rPr>
        <w:t>com</w:t>
      </w:r>
      <w:r>
        <w:rPr>
          <w:spacing w:val="1"/>
        </w:rPr>
        <w:t>m</w:t>
      </w:r>
      <w:r>
        <w:t>itt</w:t>
      </w:r>
      <w:r>
        <w:rPr>
          <w:spacing w:val="1"/>
        </w:rPr>
        <w:t>e</w:t>
      </w:r>
      <w:r>
        <w:t xml:space="preserve">d </w:t>
      </w:r>
      <w:r>
        <w:rPr>
          <w:rFonts w:ascii="MS Gothic" w:eastAsia="MS Gothic" w:hAnsi="MS Gothic" w:cs="MS Gothic" w:hint="eastAsia"/>
          <w:spacing w:val="50"/>
        </w:rPr>
        <w:t>☐</w:t>
      </w:r>
      <w:r>
        <w:t>Not</w:t>
      </w:r>
      <w:r>
        <w:rPr>
          <w:spacing w:val="-1"/>
        </w:rPr>
        <w:t xml:space="preserve"> </w:t>
      </w:r>
      <w:r>
        <w:t>at all</w:t>
      </w:r>
      <w:r>
        <w:rPr>
          <w:spacing w:val="-2"/>
        </w:rPr>
        <w:t xml:space="preserve"> </w:t>
      </w:r>
      <w:r>
        <w:t>c</w:t>
      </w:r>
      <w:r>
        <w:rPr>
          <w:spacing w:val="-1"/>
        </w:rPr>
        <w:t>om</w:t>
      </w:r>
      <w:r>
        <w:t>mi</w:t>
      </w:r>
      <w:r>
        <w:rPr>
          <w:spacing w:val="-1"/>
        </w:rPr>
        <w:t>t</w:t>
      </w:r>
      <w:r>
        <w:t>ted</w:t>
      </w:r>
    </w:p>
    <w:p w14:paraId="6F35E270" w14:textId="77777777" w:rsidR="00A127FB" w:rsidRDefault="00A127FB" w:rsidP="00DC4827">
      <w:pPr>
        <w:pStyle w:val="ListParagraph"/>
        <w:numPr>
          <w:ilvl w:val="0"/>
          <w:numId w:val="15"/>
        </w:numPr>
        <w:spacing w:line="360" w:lineRule="auto"/>
        <w:ind w:left="450" w:hanging="450"/>
      </w:pPr>
      <w:r>
        <w:lastRenderedPageBreak/>
        <w:t>What</w:t>
      </w:r>
      <w:r>
        <w:rPr>
          <w:spacing w:val="31"/>
        </w:rPr>
        <w:t xml:space="preserve"> </w:t>
      </w:r>
      <w:r>
        <w:t>kind</w:t>
      </w:r>
      <w:r>
        <w:rPr>
          <w:spacing w:val="33"/>
        </w:rPr>
        <w:t xml:space="preserve"> </w:t>
      </w:r>
      <w:r>
        <w:rPr>
          <w:spacing w:val="1"/>
        </w:rPr>
        <w:t>of</w:t>
      </w:r>
      <w:r>
        <w:rPr>
          <w:spacing w:val="31"/>
        </w:rPr>
        <w:t xml:space="preserve"> </w:t>
      </w:r>
      <w:r>
        <w:t>comm</w:t>
      </w:r>
      <w:r>
        <w:rPr>
          <w:spacing w:val="-2"/>
        </w:rPr>
        <w:t>it</w:t>
      </w:r>
      <w:r>
        <w:t>ment</w:t>
      </w:r>
      <w:r>
        <w:rPr>
          <w:spacing w:val="31"/>
        </w:rPr>
        <w:t xml:space="preserve"> </w:t>
      </w:r>
      <w:r>
        <w:t>do</w:t>
      </w:r>
      <w:r>
        <w:rPr>
          <w:spacing w:val="33"/>
        </w:rPr>
        <w:t xml:space="preserve"> </w:t>
      </w:r>
      <w:r>
        <w:t>you</w:t>
      </w:r>
      <w:r>
        <w:rPr>
          <w:spacing w:val="33"/>
        </w:rPr>
        <w:t xml:space="preserve"> </w:t>
      </w:r>
      <w:r>
        <w:t>gi</w:t>
      </w:r>
      <w:r>
        <w:rPr>
          <w:spacing w:val="-2"/>
        </w:rPr>
        <w:t>v</w:t>
      </w:r>
      <w:r>
        <w:t>e</w:t>
      </w:r>
      <w:r>
        <w:rPr>
          <w:spacing w:val="32"/>
        </w:rPr>
        <w:t xml:space="preserve"> </w:t>
      </w:r>
      <w:r>
        <w:t>to the collaborati</w:t>
      </w:r>
      <w:r>
        <w:rPr>
          <w:spacing w:val="-1"/>
        </w:rPr>
        <w:t>ng process</w:t>
      </w:r>
      <w:r>
        <w:t>?</w:t>
      </w:r>
      <w:r>
        <w:rPr>
          <w:spacing w:val="3"/>
        </w:rPr>
        <w:t xml:space="preserve"> </w:t>
      </w:r>
      <w:r>
        <w:rPr>
          <w:spacing w:val="-1"/>
        </w:rPr>
        <w:t>T</w:t>
      </w:r>
      <w:r>
        <w:t xml:space="preserve">ype </w:t>
      </w:r>
      <w:r>
        <w:rPr>
          <w:spacing w:val="1"/>
        </w:rPr>
        <w:t>o</w:t>
      </w:r>
      <w:r>
        <w:t>f</w:t>
      </w:r>
      <w:r>
        <w:rPr>
          <w:spacing w:val="3"/>
        </w:rPr>
        <w:t xml:space="preserve"> </w:t>
      </w:r>
      <w:r>
        <w:t>commi</w:t>
      </w:r>
      <w:r>
        <w:rPr>
          <w:spacing w:val="-1"/>
        </w:rPr>
        <w:t>t</w:t>
      </w:r>
      <w:r>
        <w:t>ment can</w:t>
      </w:r>
      <w:r>
        <w:rPr>
          <w:spacing w:val="2"/>
        </w:rPr>
        <w:t xml:space="preserve"> </w:t>
      </w:r>
      <w:r>
        <w:t>be</w:t>
      </w:r>
      <w:r>
        <w:rPr>
          <w:spacing w:val="2"/>
        </w:rPr>
        <w:t xml:space="preserve"> </w:t>
      </w:r>
      <w:r>
        <w:t>in</w:t>
      </w:r>
      <w:r>
        <w:rPr>
          <w:spacing w:val="1"/>
        </w:rPr>
        <w:t xml:space="preserve"> </w:t>
      </w:r>
      <w:r>
        <w:t>t</w:t>
      </w:r>
      <w:r>
        <w:rPr>
          <w:spacing w:val="-2"/>
        </w:rPr>
        <w:t>h</w:t>
      </w:r>
      <w:r>
        <w:t>e</w:t>
      </w:r>
      <w:r>
        <w:rPr>
          <w:spacing w:val="3"/>
        </w:rPr>
        <w:t xml:space="preserve"> </w:t>
      </w:r>
      <w:r>
        <w:t>form</w:t>
      </w:r>
      <w:r>
        <w:rPr>
          <w:spacing w:val="1"/>
        </w:rPr>
        <w:t xml:space="preserve"> </w:t>
      </w:r>
      <w:r>
        <w:rPr>
          <w:spacing w:val="2"/>
        </w:rPr>
        <w:t>o</w:t>
      </w:r>
      <w:r>
        <w:t>f</w:t>
      </w:r>
      <w:r>
        <w:rPr>
          <w:spacing w:val="3"/>
        </w:rPr>
        <w:t xml:space="preserve"> </w:t>
      </w:r>
      <w:r>
        <w:t>re</w:t>
      </w:r>
      <w:r>
        <w:rPr>
          <w:spacing w:val="-1"/>
        </w:rPr>
        <w:t>s</w:t>
      </w:r>
      <w:r>
        <w:t>ourc</w:t>
      </w:r>
      <w:r>
        <w:rPr>
          <w:spacing w:val="-2"/>
        </w:rPr>
        <w:t>e</w:t>
      </w:r>
      <w:r>
        <w:t>s</w:t>
      </w:r>
      <w:r>
        <w:rPr>
          <w:spacing w:val="2"/>
        </w:rPr>
        <w:t xml:space="preserve"> </w:t>
      </w:r>
      <w:r>
        <w:t>(t</w:t>
      </w:r>
      <w:r>
        <w:rPr>
          <w:spacing w:val="-1"/>
        </w:rPr>
        <w:t>i</w:t>
      </w:r>
      <w:r>
        <w:t>me, m</w:t>
      </w:r>
      <w:r>
        <w:rPr>
          <w:spacing w:val="1"/>
        </w:rPr>
        <w:t>o</w:t>
      </w:r>
      <w:r>
        <w:rPr>
          <w:spacing w:val="-2"/>
        </w:rPr>
        <w:t>n</w:t>
      </w:r>
      <w:r>
        <w:t>ey,</w:t>
      </w:r>
      <w:r>
        <w:rPr>
          <w:spacing w:val="2"/>
        </w:rPr>
        <w:t xml:space="preserve"> </w:t>
      </w:r>
      <w:r>
        <w:rPr>
          <w:spacing w:val="-1"/>
        </w:rPr>
        <w:t>s</w:t>
      </w:r>
      <w:r>
        <w:t>kil</w:t>
      </w:r>
      <w:r>
        <w:rPr>
          <w:spacing w:val="-1"/>
        </w:rPr>
        <w:t>l</w:t>
      </w:r>
      <w:r>
        <w:t>s,</w:t>
      </w:r>
      <w:r>
        <w:rPr>
          <w:spacing w:val="2"/>
        </w:rPr>
        <w:t xml:space="preserve"> </w:t>
      </w:r>
      <w:r>
        <w:t>i</w:t>
      </w:r>
      <w:r>
        <w:rPr>
          <w:spacing w:val="7"/>
        </w:rPr>
        <w:t>n</w:t>
      </w:r>
      <w:r>
        <w:t>-kind,</w:t>
      </w:r>
      <w:r>
        <w:rPr>
          <w:spacing w:val="2"/>
        </w:rPr>
        <w:t xml:space="preserve"> </w:t>
      </w:r>
      <w:r>
        <w:rPr>
          <w:spacing w:val="-1"/>
        </w:rPr>
        <w:t>others……</w:t>
      </w:r>
      <w:r>
        <w:t xml:space="preserve">) </w:t>
      </w:r>
    </w:p>
    <w:p w14:paraId="013CC885" w14:textId="77777777" w:rsidR="00A127FB" w:rsidRDefault="00A127FB" w:rsidP="00DC4827">
      <w:pPr>
        <w:pStyle w:val="ListParagraph"/>
        <w:spacing w:line="360" w:lineRule="auto"/>
        <w:ind w:left="450" w:hanging="450"/>
      </w:pPr>
      <w:r>
        <w:rPr>
          <w:rFonts w:ascii="MS Gothic" w:eastAsia="MS Gothic" w:hAnsi="MS Gothic" w:cs="MS Gothic" w:hint="eastAsia"/>
          <w:spacing w:val="50"/>
        </w:rPr>
        <w:t>☐</w:t>
      </w:r>
      <w:r>
        <w:t>Time</w:t>
      </w:r>
      <w:r>
        <w:tab/>
      </w:r>
      <w:r>
        <w:rPr>
          <w:rFonts w:ascii="MS Gothic" w:eastAsia="MS Gothic" w:hAnsi="MS Gothic" w:cs="MS Gothic" w:hint="eastAsia"/>
          <w:spacing w:val="48"/>
        </w:rPr>
        <w:t>☐</w:t>
      </w:r>
      <w:r>
        <w:t>M</w:t>
      </w:r>
      <w:r>
        <w:rPr>
          <w:spacing w:val="1"/>
        </w:rPr>
        <w:t>o</w:t>
      </w:r>
      <w:r>
        <w:t>ney</w:t>
      </w:r>
      <w:r>
        <w:tab/>
      </w:r>
      <w:r>
        <w:rPr>
          <w:rFonts w:ascii="MS Gothic" w:eastAsia="MS Gothic" w:hAnsi="MS Gothic" w:cs="MS Gothic" w:hint="eastAsia"/>
          <w:spacing w:val="48"/>
        </w:rPr>
        <w:t>☐</w:t>
      </w:r>
      <w:r>
        <w:t>Skills</w:t>
      </w:r>
      <w:r>
        <w:tab/>
      </w:r>
      <w:r>
        <w:rPr>
          <w:rFonts w:ascii="MS Gothic" w:eastAsia="MS Gothic" w:hAnsi="MS Gothic" w:cs="MS Gothic" w:hint="eastAsia"/>
          <w:spacing w:val="50"/>
        </w:rPr>
        <w:t>☐</w:t>
      </w:r>
      <w:r>
        <w:t>In-kind</w:t>
      </w:r>
      <w:r>
        <w:tab/>
      </w:r>
      <w:r>
        <w:rPr>
          <w:rFonts w:ascii="MS Gothic" w:eastAsia="MS Gothic" w:hAnsi="MS Gothic" w:cs="MS Gothic" w:hint="eastAsia"/>
          <w:spacing w:val="48"/>
        </w:rPr>
        <w:t>☐</w:t>
      </w:r>
      <w:r>
        <w:rPr>
          <w:rFonts w:eastAsia="MS Gothic" w:cs="Times New Roman"/>
          <w:spacing w:val="48"/>
        </w:rPr>
        <w:t>other</w:t>
      </w:r>
      <w:r>
        <w:rPr>
          <w:spacing w:val="1"/>
        </w:rPr>
        <w:t>…</w:t>
      </w:r>
      <w:r>
        <w:t>…………</w:t>
      </w:r>
      <w:r>
        <w:rPr>
          <w:spacing w:val="1"/>
        </w:rPr>
        <w:t>……….</w:t>
      </w:r>
    </w:p>
    <w:p w14:paraId="13E5441A" w14:textId="77777777" w:rsidR="00A127FB" w:rsidRDefault="00A127FB" w:rsidP="00DC4827">
      <w:pPr>
        <w:pStyle w:val="ListParagraph"/>
        <w:numPr>
          <w:ilvl w:val="0"/>
          <w:numId w:val="15"/>
        </w:numPr>
        <w:spacing w:line="360" w:lineRule="auto"/>
        <w:ind w:left="450" w:hanging="450"/>
      </w:pPr>
      <w:r>
        <w:t xml:space="preserve"> Are there motivations for local people to participate in the </w:t>
      </w:r>
      <w:r w:rsidR="007F4F44">
        <w:t>management</w:t>
      </w:r>
      <w:r>
        <w:t xml:space="preserve"> process? If there are, what are some of the motivations?</w:t>
      </w:r>
    </w:p>
    <w:p w14:paraId="5D724C3F" w14:textId="77777777" w:rsidR="00A127FB" w:rsidRDefault="00A127FB" w:rsidP="00DC4827">
      <w:pPr>
        <w:pStyle w:val="ListParagraph"/>
        <w:numPr>
          <w:ilvl w:val="0"/>
          <w:numId w:val="15"/>
        </w:numPr>
        <w:spacing w:line="360" w:lineRule="auto"/>
        <w:ind w:left="450" w:hanging="450"/>
      </w:pPr>
      <w:r>
        <w:t>What are some of the attributes (age, gender, level of education, access to forestry training, belonging to a group, other</w:t>
      </w:r>
      <w:proofErr w:type="gramStart"/>
      <w:r>
        <w:t>…..</w:t>
      </w:r>
      <w:proofErr w:type="gramEnd"/>
      <w:r>
        <w:t>) that encourage community members to engage?</w:t>
      </w:r>
    </w:p>
    <w:p w14:paraId="04E3F813" w14:textId="77777777" w:rsidR="00A127FB" w:rsidRDefault="00A127FB" w:rsidP="00DC4827">
      <w:pPr>
        <w:pStyle w:val="ListParagraph"/>
        <w:numPr>
          <w:ilvl w:val="0"/>
          <w:numId w:val="15"/>
        </w:numPr>
        <w:spacing w:line="360" w:lineRule="auto"/>
        <w:ind w:left="450" w:hanging="450"/>
      </w:pPr>
      <w:r>
        <w:t xml:space="preserve">Mention some of the benefits you have derived from the </w:t>
      </w:r>
      <w:r w:rsidR="00845084">
        <w:t>management</w:t>
      </w:r>
      <w:r>
        <w:t xml:space="preserve"> </w:t>
      </w:r>
      <w:proofErr w:type="gramStart"/>
      <w:r>
        <w:t>process?</w:t>
      </w:r>
      <w:proofErr w:type="gramEnd"/>
    </w:p>
    <w:p w14:paraId="38B0B157" w14:textId="77777777" w:rsidR="00A127FB" w:rsidRDefault="00A127FB" w:rsidP="00772DAC">
      <w:pPr>
        <w:spacing w:line="360" w:lineRule="auto"/>
        <w:ind w:left="0" w:firstLine="0"/>
      </w:pPr>
      <w:r>
        <w:t>…………………………………………………………………………………………………………………………………………………………………………………………………………………………………………………………………………………………………………………………………………………………………………………………………………</w:t>
      </w:r>
    </w:p>
    <w:p w14:paraId="6D903889" w14:textId="77777777" w:rsidR="00A127FB" w:rsidRDefault="00A127FB" w:rsidP="00772DAC">
      <w:pPr>
        <w:pStyle w:val="ListParagraph"/>
        <w:ind w:left="0"/>
      </w:pPr>
    </w:p>
    <w:p w14:paraId="50D5C91E" w14:textId="77777777" w:rsidR="00A127FB" w:rsidRDefault="00A127FB" w:rsidP="00772DAC">
      <w:pPr>
        <w:pStyle w:val="ListParagraph"/>
        <w:ind w:left="0"/>
        <w:rPr>
          <w:b/>
          <w:bCs/>
        </w:rPr>
      </w:pPr>
      <w:r>
        <w:rPr>
          <w:b/>
          <w:bCs/>
        </w:rPr>
        <w:t xml:space="preserve">SECTION C: CHALLENGES INHERENT IN THE </w:t>
      </w:r>
      <w:r w:rsidR="00845084">
        <w:rPr>
          <w:b/>
          <w:bCs/>
        </w:rPr>
        <w:t>MANAGEMENT</w:t>
      </w:r>
      <w:r>
        <w:rPr>
          <w:b/>
          <w:bCs/>
        </w:rPr>
        <w:t xml:space="preserve"> PROCESS</w:t>
      </w:r>
    </w:p>
    <w:p w14:paraId="34916CB9" w14:textId="77777777" w:rsidR="00A127FB" w:rsidRDefault="00A127FB" w:rsidP="00772DAC">
      <w:pPr>
        <w:pStyle w:val="ListParagraph"/>
        <w:numPr>
          <w:ilvl w:val="0"/>
          <w:numId w:val="15"/>
        </w:numPr>
        <w:spacing w:line="256" w:lineRule="auto"/>
        <w:ind w:left="0" w:firstLine="0"/>
      </w:pPr>
      <w:r>
        <w:t xml:space="preserve">Mention some challenges of the </w:t>
      </w:r>
      <w:r w:rsidR="00845084">
        <w:t>management</w:t>
      </w:r>
      <w:r>
        <w:t xml:space="preserve"> process </w:t>
      </w:r>
    </w:p>
    <w:p w14:paraId="4A04D377" w14:textId="77777777" w:rsidR="00A127FB" w:rsidRDefault="00A127FB" w:rsidP="00772DAC">
      <w:pPr>
        <w:pStyle w:val="ListParagraph"/>
        <w:ind w:left="0"/>
      </w:pPr>
      <w:r>
        <w:t>………………………………………………………………………………………………………………………………………………………………………………………………………………………………………………………………………………………………………</w:t>
      </w:r>
    </w:p>
    <w:p w14:paraId="36316967" w14:textId="77777777" w:rsidR="00A127FB" w:rsidRDefault="00A127FB" w:rsidP="00772DAC">
      <w:pPr>
        <w:pStyle w:val="ListParagraph"/>
        <w:numPr>
          <w:ilvl w:val="0"/>
          <w:numId w:val="15"/>
        </w:numPr>
        <w:spacing w:line="360" w:lineRule="auto"/>
        <w:ind w:left="0" w:firstLine="0"/>
      </w:pPr>
      <w:r>
        <w:t xml:space="preserve">Suggest ways of improving the </w:t>
      </w:r>
      <w:r w:rsidR="00845084">
        <w:t>management</w:t>
      </w:r>
      <w:r>
        <w:t xml:space="preserve"> process</w:t>
      </w:r>
    </w:p>
    <w:p w14:paraId="20A560D9" w14:textId="77777777" w:rsidR="00A127FB" w:rsidRDefault="00A127FB" w:rsidP="00772DAC">
      <w:pPr>
        <w:pStyle w:val="BodyText"/>
        <w:ind w:left="0" w:firstLine="0"/>
        <w:rPr>
          <w:rFonts w:cs="Times New Roman"/>
          <w:szCs w:val="24"/>
        </w:rPr>
      </w:pPr>
    </w:p>
    <w:p w14:paraId="038122CD" w14:textId="77777777" w:rsidR="001A4106" w:rsidRDefault="001A4106" w:rsidP="00772DAC">
      <w:pPr>
        <w:pStyle w:val="BodyText"/>
        <w:ind w:left="0" w:firstLine="0"/>
        <w:rPr>
          <w:rFonts w:cs="Times New Roman"/>
          <w:szCs w:val="24"/>
        </w:rPr>
      </w:pPr>
    </w:p>
    <w:p w14:paraId="0C20CE45" w14:textId="77777777" w:rsidR="00A127FB" w:rsidRDefault="00A127FB" w:rsidP="00772DAC">
      <w:pPr>
        <w:pStyle w:val="BodyText"/>
        <w:ind w:left="0" w:firstLine="0"/>
        <w:rPr>
          <w:rFonts w:cs="Times New Roman"/>
          <w:szCs w:val="24"/>
        </w:rPr>
      </w:pPr>
    </w:p>
    <w:p w14:paraId="6195DE98" w14:textId="77777777" w:rsidR="00A127FB" w:rsidRDefault="00A127FB" w:rsidP="00772DAC">
      <w:pPr>
        <w:pStyle w:val="BodyText"/>
        <w:ind w:left="0" w:firstLine="0"/>
        <w:rPr>
          <w:rFonts w:cs="Times New Roman"/>
          <w:szCs w:val="24"/>
        </w:rPr>
      </w:pPr>
    </w:p>
    <w:p w14:paraId="4D894988" w14:textId="77777777" w:rsidR="00A127FB" w:rsidRPr="00DC4827" w:rsidRDefault="00A127FB" w:rsidP="00DC4827">
      <w:pPr>
        <w:pStyle w:val="Heading1"/>
        <w:ind w:left="0"/>
      </w:pPr>
      <w:bookmarkStart w:id="538" w:name="_Toc202197708"/>
      <w:r w:rsidRPr="00DC4827">
        <w:lastRenderedPageBreak/>
        <w:t>Append</w:t>
      </w:r>
      <w:r w:rsidR="00EE6D49" w:rsidRPr="00DC4827">
        <w:t>i</w:t>
      </w:r>
      <w:r w:rsidR="009B7B51">
        <w:t>X</w:t>
      </w:r>
      <w:r w:rsidRPr="00DC4827">
        <w:t xml:space="preserve"> B</w:t>
      </w:r>
      <w:bookmarkEnd w:id="538"/>
    </w:p>
    <w:p w14:paraId="26D6B7DB"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UNIVERSITY OF CAPE COAST </w:t>
      </w:r>
    </w:p>
    <w:p w14:paraId="1658110C"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SCHOOL FOR DEVELOPMENT STUDIES </w:t>
      </w:r>
    </w:p>
    <w:p w14:paraId="4B92AD96"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COLLEGE OF HUMANITIES AND LEGAL STUDIES </w:t>
      </w:r>
    </w:p>
    <w:p w14:paraId="551A1E1F"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DEPARTMENT OF INTEGRATED DEVELOPMENT STUDIES </w:t>
      </w:r>
    </w:p>
    <w:p w14:paraId="660261CD" w14:textId="77777777" w:rsidR="00005007" w:rsidRPr="00DC4827" w:rsidRDefault="00005007" w:rsidP="00DC4827">
      <w:pPr>
        <w:pStyle w:val="Heading1"/>
        <w:ind w:left="0"/>
      </w:pPr>
      <w:bookmarkStart w:id="539" w:name="_Toc202197709"/>
      <w:r w:rsidRPr="00DC4827">
        <w:t>FOCUS GROUP DISCUSSION GUIDE</w:t>
      </w:r>
      <w:bookmarkEnd w:id="539"/>
    </w:p>
    <w:p w14:paraId="046EEDD0" w14:textId="77777777" w:rsidR="00005007" w:rsidRDefault="00005007" w:rsidP="00772DAC">
      <w:pPr>
        <w:spacing w:after="2" w:line="220" w:lineRule="exact"/>
        <w:ind w:left="0" w:firstLine="0"/>
      </w:pPr>
    </w:p>
    <w:p w14:paraId="2EA5ED1A" w14:textId="77777777" w:rsidR="00005007" w:rsidRDefault="00005007" w:rsidP="00772DAC">
      <w:pPr>
        <w:ind w:left="0" w:firstLine="0"/>
      </w:pPr>
      <w:r>
        <w:t>This focus group discussion guide is a research instrument for my PhD thesis on “stakeholder collaboration and sustainable community-based forestry at the Bobiri and Southern Scarp Forest Reserves in Ghana”, and it is mainly for academic purpose</w:t>
      </w:r>
      <w:r w:rsidR="009B7B51">
        <w:t>s</w:t>
      </w:r>
      <w:r>
        <w:t xml:space="preserve">. I assure you of </w:t>
      </w:r>
      <w:r w:rsidR="009B7B51">
        <w:t xml:space="preserve">the </w:t>
      </w:r>
      <w:r>
        <w:t>privacy and secrecy of your response. All information collected will be solely for academic purpose</w:t>
      </w:r>
      <w:r w:rsidR="009B7B51">
        <w:t>s</w:t>
      </w:r>
      <w:r>
        <w:t xml:space="preserve">. You can decide to stop answering these questions at any time you want. </w:t>
      </w:r>
    </w:p>
    <w:p w14:paraId="2E85BC30" w14:textId="77777777" w:rsidR="00005007" w:rsidRDefault="00005007" w:rsidP="00772DAC">
      <w:pPr>
        <w:ind w:left="0" w:firstLine="0"/>
      </w:pPr>
      <w:r>
        <w:t>Do you agree to participate Yes.            No.</w:t>
      </w:r>
    </w:p>
    <w:p w14:paraId="5B914AB0" w14:textId="77777777" w:rsidR="00005007" w:rsidRDefault="00005007" w:rsidP="00772DAC">
      <w:pPr>
        <w:ind w:left="0" w:firstLine="0"/>
      </w:pPr>
      <w:r>
        <w:t>Date ………………….    Location ………………GPS………………………</w:t>
      </w:r>
    </w:p>
    <w:p w14:paraId="6FEB2630" w14:textId="77777777" w:rsidR="00005007" w:rsidRDefault="00005007" w:rsidP="00772DAC">
      <w:pPr>
        <w:spacing w:after="2" w:line="220" w:lineRule="exact"/>
        <w:ind w:left="0" w:firstLine="0"/>
      </w:pPr>
    </w:p>
    <w:p w14:paraId="2B2500FD" w14:textId="77777777" w:rsidR="00005007" w:rsidRDefault="00005007" w:rsidP="00772DAC">
      <w:pPr>
        <w:spacing w:after="2" w:line="220" w:lineRule="exact"/>
        <w:ind w:left="0" w:firstLine="0"/>
      </w:pPr>
    </w:p>
    <w:p w14:paraId="45A3C5FF" w14:textId="77777777" w:rsidR="00005007" w:rsidRDefault="00005007" w:rsidP="00772DAC">
      <w:pPr>
        <w:ind w:left="0" w:firstLine="0"/>
        <w:rPr>
          <w:b/>
          <w:bCs/>
        </w:rPr>
      </w:pPr>
      <w:r>
        <w:rPr>
          <w:b/>
          <w:bCs/>
        </w:rPr>
        <w:t>SECTION A: LOCAL LEVEL INSTITUTIONAL FRAMEWORK FOR STAKEHOLDER COLLABORATION</w:t>
      </w:r>
    </w:p>
    <w:p w14:paraId="36EFAA8B" w14:textId="77777777" w:rsidR="00005007" w:rsidRDefault="00005007" w:rsidP="00772DAC">
      <w:pPr>
        <w:pStyle w:val="ListParagraph"/>
        <w:numPr>
          <w:ilvl w:val="0"/>
          <w:numId w:val="32"/>
        </w:numPr>
        <w:spacing w:line="360" w:lineRule="auto"/>
        <w:ind w:left="0" w:firstLine="0"/>
      </w:pPr>
      <w:r>
        <w:t>How long have you lived/worked here?</w:t>
      </w:r>
    </w:p>
    <w:p w14:paraId="236E6759" w14:textId="77777777" w:rsidR="00005007" w:rsidRDefault="00005007" w:rsidP="00DC4827">
      <w:pPr>
        <w:pStyle w:val="ListParagraph"/>
        <w:numPr>
          <w:ilvl w:val="0"/>
          <w:numId w:val="32"/>
        </w:numPr>
        <w:spacing w:line="360" w:lineRule="auto"/>
        <w:ind w:left="540" w:hanging="540"/>
      </w:pPr>
      <w:r>
        <w:t>Has there been changes in the state of the forest reserve during your time here? If yes, what are they?</w:t>
      </w:r>
    </w:p>
    <w:p w14:paraId="5D7F746F" w14:textId="77777777" w:rsidR="00005007" w:rsidRDefault="00005007" w:rsidP="00DC4827">
      <w:pPr>
        <w:pStyle w:val="ListParagraph"/>
        <w:spacing w:line="360" w:lineRule="auto"/>
        <w:ind w:left="540" w:hanging="540"/>
      </w:pPr>
    </w:p>
    <w:p w14:paraId="7DA29B84" w14:textId="77777777" w:rsidR="00005007" w:rsidRDefault="00005007" w:rsidP="00DC4827">
      <w:pPr>
        <w:pStyle w:val="ListParagraph"/>
        <w:numPr>
          <w:ilvl w:val="0"/>
          <w:numId w:val="32"/>
        </w:numPr>
        <w:spacing w:line="360" w:lineRule="auto"/>
        <w:ind w:left="540" w:hanging="540"/>
      </w:pPr>
      <w:r>
        <w:t xml:space="preserve">Are there strategic community-based forest management agreements in the reserve?  </w:t>
      </w:r>
    </w:p>
    <w:p w14:paraId="623504F2" w14:textId="77777777" w:rsidR="00005007" w:rsidRDefault="00005007" w:rsidP="00DC4827">
      <w:pPr>
        <w:pStyle w:val="ListParagraph"/>
        <w:spacing w:line="360" w:lineRule="auto"/>
        <w:ind w:left="540" w:hanging="540"/>
      </w:pPr>
      <w:r>
        <w:t>If yes, how many such agreements are there (Including their dates of establishment, composition, compartments etc.)?.................................</w:t>
      </w:r>
    </w:p>
    <w:p w14:paraId="270BAAA2" w14:textId="77777777" w:rsidR="00005007" w:rsidRDefault="00005007" w:rsidP="00DC4827">
      <w:pPr>
        <w:pStyle w:val="ListParagraph"/>
        <w:numPr>
          <w:ilvl w:val="0"/>
          <w:numId w:val="32"/>
        </w:numPr>
        <w:spacing w:line="360" w:lineRule="auto"/>
        <w:ind w:left="540" w:hanging="540"/>
      </w:pPr>
      <w:r>
        <w:lastRenderedPageBreak/>
        <w:t xml:space="preserve">Are there local norms/practises that regulate the participation of actors in the </w:t>
      </w:r>
      <w:r w:rsidR="00DD30DC">
        <w:t>management</w:t>
      </w:r>
      <w:r>
        <w:t xml:space="preserve"> process in the forest reserve? If yes, what are they? </w:t>
      </w:r>
    </w:p>
    <w:p w14:paraId="059DBFDA" w14:textId="77777777" w:rsidR="00005007" w:rsidRDefault="00005007" w:rsidP="00DC4827">
      <w:pPr>
        <w:pStyle w:val="ListParagraph"/>
        <w:numPr>
          <w:ilvl w:val="0"/>
          <w:numId w:val="32"/>
        </w:numPr>
        <w:spacing w:line="360" w:lineRule="auto"/>
        <w:ind w:left="540" w:hanging="540"/>
        <w:rPr>
          <w:spacing w:val="65"/>
        </w:rPr>
      </w:pPr>
      <w:r>
        <w:t>Which stakeholders are present in the forest reserve?</w:t>
      </w:r>
      <w:r>
        <w:rPr>
          <w:spacing w:val="65"/>
        </w:rPr>
        <w:t xml:space="preserve"> </w:t>
      </w:r>
    </w:p>
    <w:p w14:paraId="0FD5CE1D" w14:textId="77777777" w:rsidR="00005007" w:rsidRDefault="00005007" w:rsidP="00DC4827">
      <w:pPr>
        <w:pStyle w:val="ListParagraph"/>
        <w:numPr>
          <w:ilvl w:val="0"/>
          <w:numId w:val="32"/>
        </w:numPr>
        <w:spacing w:line="360" w:lineRule="auto"/>
        <w:ind w:left="540" w:hanging="540"/>
      </w:pPr>
      <w:r>
        <w:t>Cho</w:t>
      </w:r>
      <w:r>
        <w:rPr>
          <w:spacing w:val="1"/>
        </w:rPr>
        <w:t>o</w:t>
      </w:r>
      <w:r>
        <w:t>se</w:t>
      </w:r>
      <w:r>
        <w:rPr>
          <w:spacing w:val="57"/>
        </w:rPr>
        <w:t xml:space="preserve"> </w:t>
      </w:r>
      <w:r>
        <w:t>f</w:t>
      </w:r>
      <w:r>
        <w:rPr>
          <w:spacing w:val="-2"/>
        </w:rPr>
        <w:t>r</w:t>
      </w:r>
      <w:r>
        <w:rPr>
          <w:spacing w:val="-1"/>
        </w:rPr>
        <w:t>o</w:t>
      </w:r>
      <w:r>
        <w:t>m</w:t>
      </w:r>
      <w:r>
        <w:rPr>
          <w:spacing w:val="57"/>
        </w:rPr>
        <w:t xml:space="preserve"> </w:t>
      </w:r>
      <w:r>
        <w:t>the</w:t>
      </w:r>
      <w:r>
        <w:rPr>
          <w:spacing w:val="55"/>
        </w:rPr>
        <w:t xml:space="preserve"> </w:t>
      </w:r>
      <w:r>
        <w:t>sta</w:t>
      </w:r>
      <w:r>
        <w:rPr>
          <w:spacing w:val="-1"/>
        </w:rPr>
        <w:t>k</w:t>
      </w:r>
      <w:r>
        <w:t>eh</w:t>
      </w:r>
      <w:r>
        <w:rPr>
          <w:spacing w:val="-1"/>
        </w:rPr>
        <w:t>o</w:t>
      </w:r>
      <w:r>
        <w:t>l</w:t>
      </w:r>
      <w:r>
        <w:rPr>
          <w:spacing w:val="-1"/>
        </w:rPr>
        <w:t>d</w:t>
      </w:r>
      <w:r>
        <w:t>ers,</w:t>
      </w:r>
      <w:r>
        <w:rPr>
          <w:spacing w:val="55"/>
        </w:rPr>
        <w:t xml:space="preserve"> </w:t>
      </w:r>
      <w:r>
        <w:t>w</w:t>
      </w:r>
      <w:r>
        <w:rPr>
          <w:spacing w:val="-2"/>
        </w:rPr>
        <w:t>h</w:t>
      </w:r>
      <w:r>
        <w:t>o</w:t>
      </w:r>
      <w:r>
        <w:rPr>
          <w:spacing w:val="59"/>
        </w:rPr>
        <w:t xml:space="preserve"> </w:t>
      </w:r>
      <w:r>
        <w:t>a</w:t>
      </w:r>
      <w:r>
        <w:rPr>
          <w:spacing w:val="-2"/>
        </w:rPr>
        <w:t>r</w:t>
      </w:r>
      <w:r>
        <w:t>e</w:t>
      </w:r>
      <w:r>
        <w:rPr>
          <w:spacing w:val="55"/>
        </w:rPr>
        <w:t xml:space="preserve"> </w:t>
      </w:r>
      <w:r>
        <w:t>the</w:t>
      </w:r>
      <w:r>
        <w:rPr>
          <w:spacing w:val="55"/>
        </w:rPr>
        <w:t xml:space="preserve"> </w:t>
      </w:r>
      <w:r>
        <w:t>lead</w:t>
      </w:r>
      <w:r>
        <w:rPr>
          <w:spacing w:val="57"/>
        </w:rPr>
        <w:t xml:space="preserve"> </w:t>
      </w:r>
      <w:r>
        <w:rPr>
          <w:spacing w:val="-1"/>
        </w:rPr>
        <w:t>s</w:t>
      </w:r>
      <w:r>
        <w:t>ta</w:t>
      </w:r>
      <w:r>
        <w:rPr>
          <w:spacing w:val="-1"/>
        </w:rPr>
        <w:t>k</w:t>
      </w:r>
      <w:r>
        <w:t>eholders</w:t>
      </w:r>
      <w:r>
        <w:rPr>
          <w:spacing w:val="55"/>
        </w:rPr>
        <w:t xml:space="preserve"> </w:t>
      </w:r>
      <w:r>
        <w:t>that</w:t>
      </w:r>
      <w:r>
        <w:rPr>
          <w:spacing w:val="56"/>
        </w:rPr>
        <w:t xml:space="preserve"> </w:t>
      </w:r>
      <w:r>
        <w:rPr>
          <w:spacing w:val="-2"/>
        </w:rPr>
        <w:t>l</w:t>
      </w:r>
      <w:r>
        <w:t>ead</w:t>
      </w:r>
      <w:r>
        <w:rPr>
          <w:spacing w:val="58"/>
        </w:rPr>
        <w:t xml:space="preserve"> </w:t>
      </w:r>
      <w:r>
        <w:t>/</w:t>
      </w:r>
      <w:r>
        <w:rPr>
          <w:spacing w:val="57"/>
        </w:rPr>
        <w:t xml:space="preserve"> </w:t>
      </w:r>
      <w:r>
        <w:t>can</w:t>
      </w:r>
      <w:r>
        <w:rPr>
          <w:spacing w:val="55"/>
        </w:rPr>
        <w:t xml:space="preserve"> </w:t>
      </w:r>
      <w:r>
        <w:t>lead</w:t>
      </w:r>
      <w:r>
        <w:rPr>
          <w:spacing w:val="55"/>
        </w:rPr>
        <w:t xml:space="preserve"> </w:t>
      </w:r>
      <w:r>
        <w:t xml:space="preserve">the </w:t>
      </w:r>
      <w:r w:rsidR="00DD30DC">
        <w:t>management</w:t>
      </w:r>
      <w:r>
        <w:rPr>
          <w:spacing w:val="-2"/>
        </w:rPr>
        <w:t xml:space="preserve"> </w:t>
      </w:r>
      <w:r>
        <w:t>pro</w:t>
      </w:r>
      <w:r>
        <w:rPr>
          <w:spacing w:val="-1"/>
        </w:rPr>
        <w:t>c</w:t>
      </w:r>
      <w:r>
        <w:t>ess</w:t>
      </w:r>
      <w:r>
        <w:rPr>
          <w:spacing w:val="1"/>
        </w:rPr>
        <w:t xml:space="preserve"> </w:t>
      </w:r>
      <w:r>
        <w:t>in</w:t>
      </w:r>
      <w:r>
        <w:rPr>
          <w:spacing w:val="-2"/>
        </w:rPr>
        <w:t xml:space="preserve"> </w:t>
      </w:r>
      <w:r>
        <w:t>the reserve?</w:t>
      </w:r>
    </w:p>
    <w:p w14:paraId="1850DFB1" w14:textId="5B279419" w:rsidR="00005007" w:rsidRDefault="00005007" w:rsidP="00DC4827">
      <w:pPr>
        <w:pStyle w:val="ListParagraph"/>
        <w:numPr>
          <w:ilvl w:val="0"/>
          <w:numId w:val="32"/>
        </w:numPr>
        <w:spacing w:line="360" w:lineRule="auto"/>
        <w:ind w:left="540" w:hanging="540"/>
      </w:pPr>
      <w:r>
        <w:t>Do you have roles in promoting sustainable use of the forest?  If yes, what they?</w:t>
      </w:r>
    </w:p>
    <w:p w14:paraId="3222E284" w14:textId="77777777" w:rsidR="00F02FDA" w:rsidRDefault="00F02FDA" w:rsidP="00CD3180">
      <w:pPr>
        <w:pStyle w:val="ListParagraph"/>
        <w:numPr>
          <w:ilvl w:val="0"/>
          <w:numId w:val="32"/>
        </w:numPr>
        <w:spacing w:line="480" w:lineRule="auto"/>
      </w:pPr>
      <w:r>
        <w:t>Who makes decisions related to local development in your area?</w:t>
      </w:r>
    </w:p>
    <w:p w14:paraId="7F58A9F5" w14:textId="77777777" w:rsidR="00F02FDA" w:rsidRDefault="00F02FDA" w:rsidP="00CD3180">
      <w:pPr>
        <w:pStyle w:val="ListParagraph"/>
        <w:numPr>
          <w:ilvl w:val="0"/>
          <w:numId w:val="32"/>
        </w:numPr>
        <w:spacing w:line="480" w:lineRule="auto"/>
      </w:pPr>
      <w:r>
        <w:t>Have you participated in any decision-making activities in your area?</w:t>
      </w:r>
    </w:p>
    <w:p w14:paraId="077D0B34" w14:textId="77777777" w:rsidR="00F02FDA" w:rsidRDefault="00F02FDA" w:rsidP="00CD3180">
      <w:pPr>
        <w:pStyle w:val="ListParagraph"/>
        <w:numPr>
          <w:ilvl w:val="0"/>
          <w:numId w:val="32"/>
        </w:numPr>
        <w:spacing w:line="480" w:lineRule="auto"/>
      </w:pPr>
      <w:r>
        <w:t>Do you feel that you were able to influence decisions about development in your area through these forums?</w:t>
      </w:r>
    </w:p>
    <w:p w14:paraId="63236C48" w14:textId="4319EC63" w:rsidR="00F02FDA" w:rsidRDefault="00F02FDA" w:rsidP="00CD3180">
      <w:pPr>
        <w:pStyle w:val="ListParagraph"/>
        <w:numPr>
          <w:ilvl w:val="0"/>
          <w:numId w:val="32"/>
        </w:numPr>
        <w:spacing w:line="480" w:lineRule="auto"/>
      </w:pPr>
      <w:r>
        <w:t xml:space="preserve">Has the way in which decisions related to development are made in your area changed during the past 5 years? </w:t>
      </w:r>
    </w:p>
    <w:p w14:paraId="60FDEE4E" w14:textId="77777777" w:rsidR="00F02FDA" w:rsidRDefault="00F02FDA" w:rsidP="00CD3180">
      <w:pPr>
        <w:pStyle w:val="ListParagraph"/>
        <w:numPr>
          <w:ilvl w:val="0"/>
          <w:numId w:val="32"/>
        </w:numPr>
        <w:spacing w:line="480" w:lineRule="auto"/>
      </w:pPr>
      <w:r>
        <w:t>Do you feel that there are any forums in your where you are not invited to attend or participate?</w:t>
      </w:r>
    </w:p>
    <w:p w14:paraId="08AC129C" w14:textId="77777777" w:rsidR="00F02FDA" w:rsidRDefault="00F02FDA" w:rsidP="00CD3180">
      <w:pPr>
        <w:pStyle w:val="ListParagraph"/>
        <w:numPr>
          <w:ilvl w:val="0"/>
          <w:numId w:val="32"/>
        </w:numPr>
        <w:spacing w:line="480" w:lineRule="auto"/>
      </w:pPr>
      <w:r>
        <w:t>Are there any development planning forums being organized by community members without waiting for the government?</w:t>
      </w:r>
    </w:p>
    <w:p w14:paraId="4C52B034" w14:textId="77777777" w:rsidR="00F02FDA" w:rsidRDefault="00F02FDA" w:rsidP="00CD3180">
      <w:pPr>
        <w:pStyle w:val="ListParagraph"/>
        <w:numPr>
          <w:ilvl w:val="0"/>
          <w:numId w:val="32"/>
        </w:numPr>
        <w:spacing w:line="480" w:lineRule="auto"/>
      </w:pPr>
      <w:r>
        <w:t>Have people in your community ever demanded to participate in development?</w:t>
      </w:r>
    </w:p>
    <w:p w14:paraId="1B3EAA50" w14:textId="77777777" w:rsidR="00F02FDA" w:rsidRDefault="00F02FDA" w:rsidP="00CD3180">
      <w:pPr>
        <w:pStyle w:val="ListParagraph"/>
        <w:numPr>
          <w:ilvl w:val="0"/>
          <w:numId w:val="32"/>
        </w:numPr>
        <w:spacing w:line="480" w:lineRule="auto"/>
      </w:pPr>
      <w:r>
        <w:t>What are the main obstacles that community members (i.e., women, youth, small farmers, etc.) face in official forums when they try to influence decision</w:t>
      </w:r>
      <w:r>
        <w:rPr>
          <w:rFonts w:cs="Times New Roman"/>
        </w:rPr>
        <w:t>-</w:t>
      </w:r>
      <w:r>
        <w:t>making, raise questions and demand accountability and transparency?</w:t>
      </w:r>
    </w:p>
    <w:p w14:paraId="4E18765C" w14:textId="77777777" w:rsidR="00F02FDA" w:rsidRDefault="00F02FDA" w:rsidP="00CD3180">
      <w:pPr>
        <w:pStyle w:val="ListParagraph"/>
        <w:numPr>
          <w:ilvl w:val="0"/>
          <w:numId w:val="32"/>
        </w:numPr>
        <w:spacing w:line="480" w:lineRule="auto"/>
      </w:pPr>
      <w:r>
        <w:t xml:space="preserve">Have these obstacles become </w:t>
      </w:r>
      <w:proofErr w:type="gramStart"/>
      <w:r>
        <w:t>more or less during</w:t>
      </w:r>
      <w:proofErr w:type="gramEnd"/>
      <w:r>
        <w:t xml:space="preserve"> the past 5 years? Please explain.</w:t>
      </w:r>
    </w:p>
    <w:p w14:paraId="1B818336" w14:textId="77777777" w:rsidR="00F02FDA" w:rsidRDefault="00F02FDA" w:rsidP="00CD3180">
      <w:pPr>
        <w:pStyle w:val="ListParagraph"/>
        <w:numPr>
          <w:ilvl w:val="0"/>
          <w:numId w:val="32"/>
        </w:numPr>
        <w:spacing w:line="480" w:lineRule="auto"/>
      </w:pPr>
      <w:r>
        <w:t xml:space="preserve">Which groups of people dominate discussions in these official forums? </w:t>
      </w:r>
    </w:p>
    <w:p w14:paraId="529375A6" w14:textId="548E6E6D" w:rsidR="00F02FDA" w:rsidRDefault="00F02FDA" w:rsidP="00CD3180">
      <w:pPr>
        <w:pStyle w:val="ListParagraph"/>
        <w:numPr>
          <w:ilvl w:val="0"/>
          <w:numId w:val="32"/>
        </w:numPr>
        <w:spacing w:line="480" w:lineRule="auto"/>
      </w:pPr>
      <w:r>
        <w:lastRenderedPageBreak/>
        <w:t xml:space="preserve">What are the main unofficial/informal ways, outside of official forums, which you have available to make your views heard? </w:t>
      </w:r>
    </w:p>
    <w:p w14:paraId="7E1542A2" w14:textId="77777777" w:rsidR="00F02FDA" w:rsidRDefault="00F02FDA" w:rsidP="00CD3180">
      <w:pPr>
        <w:pStyle w:val="ListParagraph"/>
        <w:numPr>
          <w:ilvl w:val="0"/>
          <w:numId w:val="32"/>
        </w:numPr>
        <w:spacing w:line="480" w:lineRule="auto"/>
      </w:pPr>
      <w:r w:rsidRPr="00B700C5">
        <w:t>What are the reasons why you need these informal forums?</w:t>
      </w:r>
    </w:p>
    <w:p w14:paraId="10AA3F2F" w14:textId="77777777" w:rsidR="00F02FDA" w:rsidRDefault="00F02FDA" w:rsidP="00CD3180">
      <w:pPr>
        <w:pStyle w:val="ListParagraph"/>
        <w:numPr>
          <w:ilvl w:val="0"/>
          <w:numId w:val="32"/>
        </w:numPr>
        <w:spacing w:line="480" w:lineRule="auto"/>
      </w:pPr>
      <w:r w:rsidRPr="00002887">
        <w:t>Who do you turn to first when you need help in any matter?</w:t>
      </w:r>
    </w:p>
    <w:p w14:paraId="6E46AB23" w14:textId="77777777" w:rsidR="00F02FDA" w:rsidRDefault="00F02FDA" w:rsidP="00CD3180">
      <w:pPr>
        <w:pStyle w:val="ListParagraph"/>
        <w:numPr>
          <w:ilvl w:val="0"/>
          <w:numId w:val="32"/>
        </w:numPr>
        <w:spacing w:line="480" w:lineRule="auto"/>
      </w:pPr>
      <w:r w:rsidRPr="00002887">
        <w:t>Which factor gives a person more influence</w:t>
      </w:r>
      <w:r>
        <w:t>?</w:t>
      </w:r>
    </w:p>
    <w:p w14:paraId="28205F58" w14:textId="77777777" w:rsidR="00F02FDA" w:rsidRDefault="00F02FDA" w:rsidP="00CD3180">
      <w:pPr>
        <w:pStyle w:val="ListParagraph"/>
        <w:numPr>
          <w:ilvl w:val="0"/>
          <w:numId w:val="32"/>
        </w:numPr>
        <w:spacing w:line="480" w:lineRule="auto"/>
      </w:pPr>
      <w:r>
        <w:t>Which of these structures has the most influence on development planning in your community? Choose from: IMF/World Bank; other international organizations; other countries; national government; political parties; NGOs/CBOs; religious leaders; village leadership; private sector; or other.</w:t>
      </w:r>
    </w:p>
    <w:p w14:paraId="7CF66FBB" w14:textId="77777777" w:rsidR="00F02FDA" w:rsidRDefault="00F02FDA" w:rsidP="00CD3180">
      <w:pPr>
        <w:pStyle w:val="ListParagraph"/>
        <w:numPr>
          <w:ilvl w:val="0"/>
          <w:numId w:val="32"/>
        </w:numPr>
        <w:spacing w:line="480" w:lineRule="auto"/>
      </w:pPr>
      <w:r w:rsidRPr="00002887">
        <w:t>What is the reason for your answer?</w:t>
      </w:r>
    </w:p>
    <w:p w14:paraId="1529650D" w14:textId="77777777" w:rsidR="00F02FDA" w:rsidRDefault="00F02FDA" w:rsidP="00CD3180">
      <w:pPr>
        <w:pStyle w:val="ListParagraph"/>
        <w:numPr>
          <w:ilvl w:val="0"/>
          <w:numId w:val="32"/>
        </w:numPr>
        <w:spacing w:line="480" w:lineRule="auto"/>
      </w:pPr>
      <w:r>
        <w:t>Development in your community is most influenced by decisions at what level? national, regional, district, local or household level?</w:t>
      </w:r>
    </w:p>
    <w:p w14:paraId="71A242C5" w14:textId="1E5ACD2F" w:rsidR="00005007" w:rsidRDefault="00005007" w:rsidP="00DC4827">
      <w:pPr>
        <w:pStyle w:val="ListParagraph"/>
        <w:numPr>
          <w:ilvl w:val="0"/>
          <w:numId w:val="32"/>
        </w:numPr>
        <w:spacing w:line="360" w:lineRule="auto"/>
        <w:ind w:left="540" w:hanging="540"/>
      </w:pPr>
      <w:r>
        <w:t>Do you derive benefits from the forest? If yes, what are these benefits</w:t>
      </w:r>
    </w:p>
    <w:p w14:paraId="78E8659E" w14:textId="77777777" w:rsidR="00005007" w:rsidRDefault="00005007" w:rsidP="00DC4827">
      <w:pPr>
        <w:pStyle w:val="ListParagraph"/>
        <w:numPr>
          <w:ilvl w:val="0"/>
          <w:numId w:val="32"/>
        </w:numPr>
        <w:spacing w:line="360" w:lineRule="auto"/>
        <w:ind w:left="540" w:hanging="540"/>
      </w:pPr>
      <w:r>
        <w:t xml:space="preserve">Are you able to influence the decisions in the </w:t>
      </w:r>
      <w:r w:rsidR="00DD30DC">
        <w:t>management</w:t>
      </w:r>
      <w:r>
        <w:t xml:space="preserve"> process? How?</w:t>
      </w:r>
    </w:p>
    <w:p w14:paraId="068F4787" w14:textId="77777777" w:rsidR="00005007" w:rsidRDefault="00005007" w:rsidP="00DC4827">
      <w:pPr>
        <w:pStyle w:val="ListParagraph"/>
        <w:numPr>
          <w:ilvl w:val="0"/>
          <w:numId w:val="32"/>
        </w:numPr>
        <w:spacing w:line="360" w:lineRule="auto"/>
        <w:ind w:left="540" w:hanging="540"/>
      </w:pPr>
      <w:r>
        <w:t xml:space="preserve">Is the forest regulating rules in line with your problems, needs and interests? How does/does not coincide? </w:t>
      </w:r>
    </w:p>
    <w:p w14:paraId="41B7B386" w14:textId="77777777" w:rsidR="00005007" w:rsidRDefault="00005007" w:rsidP="00DC4827">
      <w:pPr>
        <w:pStyle w:val="ListParagraph"/>
        <w:numPr>
          <w:ilvl w:val="0"/>
          <w:numId w:val="32"/>
        </w:numPr>
        <w:spacing w:line="360" w:lineRule="auto"/>
        <w:ind w:left="540" w:hanging="540"/>
      </w:pPr>
      <w:r>
        <w:t>Are there conflicts associated with the use of the forest? What are some of these conflicts?</w:t>
      </w:r>
    </w:p>
    <w:p w14:paraId="3F6EFF56" w14:textId="77777777" w:rsidR="00005007" w:rsidRDefault="00005007" w:rsidP="00DC4827">
      <w:pPr>
        <w:pStyle w:val="ListParagraph"/>
        <w:numPr>
          <w:ilvl w:val="0"/>
          <w:numId w:val="32"/>
        </w:numPr>
        <w:spacing w:line="360" w:lineRule="auto"/>
        <w:ind w:left="540" w:hanging="540"/>
      </w:pPr>
      <w:r>
        <w:t>Are there procedures for resolving the conflicts? What are the procedures?</w:t>
      </w:r>
    </w:p>
    <w:p w14:paraId="2046500C" w14:textId="77777777" w:rsidR="00005007" w:rsidRDefault="00005007" w:rsidP="00DC4827">
      <w:pPr>
        <w:pStyle w:val="ListParagraph"/>
        <w:numPr>
          <w:ilvl w:val="0"/>
          <w:numId w:val="32"/>
        </w:numPr>
        <w:spacing w:line="360" w:lineRule="auto"/>
        <w:ind w:left="540" w:hanging="540"/>
      </w:pPr>
      <w:r>
        <w:t>What</w:t>
      </w:r>
      <w:r>
        <w:rPr>
          <w:spacing w:val="17"/>
        </w:rPr>
        <w:t xml:space="preserve"> </w:t>
      </w:r>
      <w:r>
        <w:t>is</w:t>
      </w:r>
      <w:r>
        <w:rPr>
          <w:spacing w:val="15"/>
        </w:rPr>
        <w:t xml:space="preserve"> </w:t>
      </w:r>
      <w:r>
        <w:t>the</w:t>
      </w:r>
      <w:r>
        <w:rPr>
          <w:spacing w:val="14"/>
        </w:rPr>
        <w:t xml:space="preserve"> </w:t>
      </w:r>
      <w:r>
        <w:rPr>
          <w:spacing w:val="1"/>
        </w:rPr>
        <w:t>main</w:t>
      </w:r>
      <w:r>
        <w:rPr>
          <w:spacing w:val="13"/>
        </w:rPr>
        <w:t xml:space="preserve"> </w:t>
      </w:r>
      <w:r>
        <w:t>goal</w:t>
      </w:r>
      <w:r>
        <w:rPr>
          <w:spacing w:val="14"/>
        </w:rPr>
        <w:t xml:space="preserve"> </w:t>
      </w:r>
      <w:r>
        <w:rPr>
          <w:spacing w:val="1"/>
        </w:rPr>
        <w:t>of</w:t>
      </w:r>
      <w:r>
        <w:rPr>
          <w:spacing w:val="14"/>
        </w:rPr>
        <w:t xml:space="preserve"> </w:t>
      </w:r>
      <w:r>
        <w:t>your</w:t>
      </w:r>
      <w:r>
        <w:rPr>
          <w:spacing w:val="14"/>
        </w:rPr>
        <w:t xml:space="preserve"> </w:t>
      </w:r>
      <w:r>
        <w:rPr>
          <w:spacing w:val="1"/>
        </w:rPr>
        <w:t>o</w:t>
      </w:r>
      <w:r>
        <w:t>rgani</w:t>
      </w:r>
      <w:r>
        <w:rPr>
          <w:spacing w:val="-1"/>
        </w:rPr>
        <w:t>z</w:t>
      </w:r>
      <w:r>
        <w:t>ation/group</w:t>
      </w:r>
      <w:r>
        <w:rPr>
          <w:spacing w:val="17"/>
        </w:rPr>
        <w:t xml:space="preserve"> </w:t>
      </w:r>
      <w:r>
        <w:t>in</w:t>
      </w:r>
      <w:r>
        <w:rPr>
          <w:spacing w:val="14"/>
        </w:rPr>
        <w:t xml:space="preserve"> </w:t>
      </w:r>
      <w:r w:rsidR="00DD30DC">
        <w:rPr>
          <w:spacing w:val="-1"/>
        </w:rPr>
        <w:t>management</w:t>
      </w:r>
      <w:r>
        <w:t xml:space="preserve"> process?</w:t>
      </w:r>
      <w:r>
        <w:rPr>
          <w:spacing w:val="14"/>
        </w:rPr>
        <w:t xml:space="preserve"> </w:t>
      </w:r>
      <w:r>
        <w:t>Ec</w:t>
      </w:r>
      <w:r>
        <w:rPr>
          <w:spacing w:val="1"/>
        </w:rPr>
        <w:t>o</w:t>
      </w:r>
      <w:r>
        <w:rPr>
          <w:spacing w:val="-1"/>
        </w:rPr>
        <w:t>n</w:t>
      </w:r>
      <w:r>
        <w:t>om</w:t>
      </w:r>
      <w:r>
        <w:rPr>
          <w:spacing w:val="-1"/>
        </w:rPr>
        <w:t>i</w:t>
      </w:r>
      <w:r>
        <w:t>c,</w:t>
      </w:r>
      <w:r>
        <w:rPr>
          <w:spacing w:val="17"/>
        </w:rPr>
        <w:t xml:space="preserve"> </w:t>
      </w:r>
      <w:r>
        <w:rPr>
          <w:spacing w:val="-2"/>
        </w:rPr>
        <w:t>S</w:t>
      </w:r>
      <w:r>
        <w:rPr>
          <w:spacing w:val="1"/>
        </w:rPr>
        <w:t>o</w:t>
      </w:r>
      <w:r>
        <w:t>cio-cultural,</w:t>
      </w:r>
      <w:r>
        <w:rPr>
          <w:spacing w:val="14"/>
        </w:rPr>
        <w:t xml:space="preserve"> </w:t>
      </w:r>
      <w:r>
        <w:rPr>
          <w:spacing w:val="1"/>
        </w:rPr>
        <w:t>or</w:t>
      </w:r>
      <w:r>
        <w:t xml:space="preserve"> enviro</w:t>
      </w:r>
      <w:r>
        <w:rPr>
          <w:spacing w:val="-1"/>
        </w:rPr>
        <w:t>n</w:t>
      </w:r>
      <w:r>
        <w:t>me</w:t>
      </w:r>
      <w:r>
        <w:rPr>
          <w:spacing w:val="-2"/>
        </w:rPr>
        <w:t>n</w:t>
      </w:r>
      <w:r>
        <w:t>tal?</w:t>
      </w:r>
      <w:r>
        <w:rPr>
          <w:spacing w:val="1"/>
        </w:rPr>
        <w:t xml:space="preserve"> </w:t>
      </w:r>
      <w:r>
        <w:t>A</w:t>
      </w:r>
      <w:r>
        <w:rPr>
          <w:spacing w:val="-1"/>
        </w:rPr>
        <w:t>n</w:t>
      </w:r>
      <w:r>
        <w:t>d</w:t>
      </w:r>
      <w:r>
        <w:rPr>
          <w:spacing w:val="-1"/>
        </w:rPr>
        <w:t xml:space="preserve"> </w:t>
      </w:r>
      <w:r>
        <w:t>why</w:t>
      </w:r>
      <w:r>
        <w:rPr>
          <w:spacing w:val="-1"/>
        </w:rPr>
        <w:t xml:space="preserve"> </w:t>
      </w:r>
      <w:r>
        <w:rPr>
          <w:spacing w:val="-2"/>
        </w:rPr>
        <w:t>t</w:t>
      </w:r>
      <w:r>
        <w:rPr>
          <w:spacing w:val="-1"/>
        </w:rPr>
        <w:t>h</w:t>
      </w:r>
      <w:r>
        <w:t xml:space="preserve">ese </w:t>
      </w:r>
      <w:r>
        <w:rPr>
          <w:spacing w:val="-2"/>
        </w:rPr>
        <w:t>g</w:t>
      </w:r>
      <w:r>
        <w:rPr>
          <w:spacing w:val="1"/>
        </w:rPr>
        <w:t>o</w:t>
      </w:r>
      <w:r>
        <w:t>al/</w:t>
      </w:r>
      <w:r>
        <w:rPr>
          <w:spacing w:val="-2"/>
        </w:rPr>
        <w:t>g</w:t>
      </w:r>
      <w:r>
        <w:rPr>
          <w:spacing w:val="1"/>
        </w:rPr>
        <w:t>o</w:t>
      </w:r>
      <w:r>
        <w:t>als a</w:t>
      </w:r>
      <w:r>
        <w:rPr>
          <w:spacing w:val="-2"/>
        </w:rPr>
        <w:t>r</w:t>
      </w:r>
      <w:r>
        <w:t xml:space="preserve">e </w:t>
      </w:r>
      <w:r>
        <w:rPr>
          <w:spacing w:val="-2"/>
        </w:rPr>
        <w:t>i</w:t>
      </w:r>
      <w:r>
        <w:t>mp</w:t>
      </w:r>
      <w:r>
        <w:rPr>
          <w:spacing w:val="1"/>
        </w:rPr>
        <w:t>o</w:t>
      </w:r>
      <w:r>
        <w:t>r</w:t>
      </w:r>
      <w:r>
        <w:rPr>
          <w:spacing w:val="-1"/>
        </w:rPr>
        <w:t>t</w:t>
      </w:r>
      <w:r>
        <w:t>a</w:t>
      </w:r>
      <w:r>
        <w:rPr>
          <w:spacing w:val="-1"/>
        </w:rPr>
        <w:t>n</w:t>
      </w:r>
      <w:r>
        <w:t>t f</w:t>
      </w:r>
      <w:r>
        <w:rPr>
          <w:spacing w:val="1"/>
        </w:rPr>
        <w:t>o</w:t>
      </w:r>
      <w:r>
        <w:t>r</w:t>
      </w:r>
      <w:r>
        <w:rPr>
          <w:spacing w:val="-2"/>
        </w:rPr>
        <w:t xml:space="preserve"> </w:t>
      </w:r>
      <w:r>
        <w:rPr>
          <w:spacing w:val="-1"/>
        </w:rPr>
        <w:t>y</w:t>
      </w:r>
      <w:r>
        <w:t xml:space="preserve">our </w:t>
      </w:r>
      <w:r>
        <w:rPr>
          <w:spacing w:val="1"/>
        </w:rPr>
        <w:t>o</w:t>
      </w:r>
      <w:r>
        <w:t>rgani</w:t>
      </w:r>
      <w:r>
        <w:rPr>
          <w:spacing w:val="-1"/>
        </w:rPr>
        <w:t>s</w:t>
      </w:r>
      <w:r>
        <w:t>at</w:t>
      </w:r>
      <w:r>
        <w:rPr>
          <w:spacing w:val="-2"/>
        </w:rPr>
        <w:t>i</w:t>
      </w:r>
      <w:r>
        <w:t xml:space="preserve">on? </w:t>
      </w:r>
      <w:r>
        <w:rPr>
          <w:rFonts w:ascii="MS Gothic" w:eastAsia="MS Gothic" w:hAnsi="MS Gothic" w:cs="MS Gothic" w:hint="eastAsia"/>
          <w:spacing w:val="50"/>
        </w:rPr>
        <w:t>☐</w:t>
      </w:r>
      <w:r>
        <w:rPr>
          <w:spacing w:val="-1"/>
        </w:rPr>
        <w:t>E</w:t>
      </w:r>
      <w:r>
        <w:t>con</w:t>
      </w:r>
      <w:r>
        <w:rPr>
          <w:spacing w:val="-1"/>
        </w:rPr>
        <w:t>o</w:t>
      </w:r>
      <w:r>
        <w:t>mic</w:t>
      </w:r>
      <w:r>
        <w:tab/>
      </w:r>
      <w:r>
        <w:rPr>
          <w:rFonts w:ascii="MS Gothic" w:eastAsia="MS Gothic" w:hAnsi="MS Gothic" w:cs="MS Gothic" w:hint="eastAsia"/>
          <w:spacing w:val="50"/>
        </w:rPr>
        <w:t>☐</w:t>
      </w:r>
      <w:r>
        <w:t>S</w:t>
      </w:r>
      <w:r>
        <w:rPr>
          <w:spacing w:val="1"/>
        </w:rPr>
        <w:t>o</w:t>
      </w:r>
      <w:r>
        <w:t>cio-cultural</w:t>
      </w:r>
      <w:r>
        <w:tab/>
      </w:r>
      <w:r>
        <w:rPr>
          <w:rFonts w:ascii="MS Gothic" w:eastAsia="MS Gothic" w:hAnsi="MS Gothic" w:cs="MS Gothic" w:hint="eastAsia"/>
          <w:spacing w:val="50"/>
        </w:rPr>
        <w:t>☐</w:t>
      </w:r>
      <w:r>
        <w:t>E</w:t>
      </w:r>
      <w:r>
        <w:rPr>
          <w:spacing w:val="-1"/>
        </w:rPr>
        <w:t>n</w:t>
      </w:r>
      <w:r>
        <w:t>viro</w:t>
      </w:r>
      <w:r>
        <w:rPr>
          <w:spacing w:val="-1"/>
        </w:rPr>
        <w:t>n</w:t>
      </w:r>
      <w:r>
        <w:t>m</w:t>
      </w:r>
      <w:r>
        <w:rPr>
          <w:spacing w:val="-1"/>
        </w:rPr>
        <w:t>e</w:t>
      </w:r>
      <w:r>
        <w:t>nt Rea</w:t>
      </w:r>
      <w:r>
        <w:rPr>
          <w:spacing w:val="-1"/>
        </w:rPr>
        <w:t>s</w:t>
      </w:r>
      <w:r>
        <w:t>on</w:t>
      </w:r>
    </w:p>
    <w:p w14:paraId="4479B2FA" w14:textId="6790C1CA" w:rsidR="00005007" w:rsidRDefault="00005007" w:rsidP="00DC4827">
      <w:pPr>
        <w:pStyle w:val="ListParagraph"/>
        <w:numPr>
          <w:ilvl w:val="0"/>
          <w:numId w:val="32"/>
        </w:numPr>
        <w:spacing w:line="360" w:lineRule="auto"/>
        <w:ind w:left="540" w:hanging="540"/>
      </w:pPr>
      <w:r>
        <w:t>Who</w:t>
      </w:r>
      <w:r>
        <w:rPr>
          <w:spacing w:val="18"/>
        </w:rPr>
        <w:t xml:space="preserve"> </w:t>
      </w:r>
      <w:r>
        <w:t>are</w:t>
      </w:r>
      <w:r>
        <w:rPr>
          <w:spacing w:val="19"/>
        </w:rPr>
        <w:t xml:space="preserve"> </w:t>
      </w:r>
      <w:r>
        <w:t>the</w:t>
      </w:r>
      <w:r>
        <w:rPr>
          <w:spacing w:val="17"/>
        </w:rPr>
        <w:t xml:space="preserve"> </w:t>
      </w:r>
      <w:r>
        <w:rPr>
          <w:spacing w:val="-1"/>
        </w:rPr>
        <w:t>s</w:t>
      </w:r>
      <w:r>
        <w:t>take</w:t>
      </w:r>
      <w:r>
        <w:rPr>
          <w:spacing w:val="-3"/>
        </w:rPr>
        <w:t>h</w:t>
      </w:r>
      <w:r>
        <w:t>olders</w:t>
      </w:r>
      <w:r>
        <w:rPr>
          <w:spacing w:val="20"/>
        </w:rPr>
        <w:t xml:space="preserve"> you or </w:t>
      </w:r>
      <w:r>
        <w:rPr>
          <w:spacing w:val="-1"/>
        </w:rPr>
        <w:t>y</w:t>
      </w:r>
      <w:r>
        <w:t>our</w:t>
      </w:r>
      <w:r>
        <w:rPr>
          <w:spacing w:val="17"/>
        </w:rPr>
        <w:t xml:space="preserve"> </w:t>
      </w:r>
      <w:r>
        <w:t>organisa</w:t>
      </w:r>
      <w:r>
        <w:rPr>
          <w:spacing w:val="-1"/>
        </w:rPr>
        <w:t>t</w:t>
      </w:r>
      <w:r>
        <w:t>ion/group</w:t>
      </w:r>
      <w:r>
        <w:rPr>
          <w:spacing w:val="19"/>
        </w:rPr>
        <w:t xml:space="preserve"> </w:t>
      </w:r>
      <w:r>
        <w:t>usually have</w:t>
      </w:r>
      <w:r>
        <w:rPr>
          <w:spacing w:val="19"/>
        </w:rPr>
        <w:t xml:space="preserve"> </w:t>
      </w:r>
      <w:r>
        <w:t>fac</w:t>
      </w:r>
      <w:r>
        <w:rPr>
          <w:spacing w:val="6"/>
        </w:rPr>
        <w:t>e</w:t>
      </w:r>
      <w:r>
        <w:t>-</w:t>
      </w:r>
      <w:r>
        <w:rPr>
          <w:spacing w:val="-1"/>
        </w:rPr>
        <w:t>t</w:t>
      </w:r>
      <w:r>
        <w:t>o-face dialog</w:t>
      </w:r>
      <w:r>
        <w:rPr>
          <w:spacing w:val="-1"/>
        </w:rPr>
        <w:t>u</w:t>
      </w:r>
      <w:r>
        <w:t>es w</w:t>
      </w:r>
      <w:r>
        <w:rPr>
          <w:spacing w:val="-2"/>
        </w:rPr>
        <w:t>i</w:t>
      </w:r>
      <w:r>
        <w:t>th duri</w:t>
      </w:r>
      <w:r>
        <w:rPr>
          <w:spacing w:val="-1"/>
        </w:rPr>
        <w:t>n</w:t>
      </w:r>
      <w:r>
        <w:t xml:space="preserve">g </w:t>
      </w:r>
      <w:r w:rsidR="00CD3180">
        <w:t>face-to-face</w:t>
      </w:r>
      <w:r w:rsidR="00DD30DC">
        <w:t xml:space="preserve"> engagements</w:t>
      </w:r>
      <w:r>
        <w:t>?</w:t>
      </w:r>
    </w:p>
    <w:p w14:paraId="5E21789E" w14:textId="1EDAB03B" w:rsidR="00005007" w:rsidRDefault="00005007" w:rsidP="008D3A3F">
      <w:pPr>
        <w:pStyle w:val="ListParagraph"/>
        <w:numPr>
          <w:ilvl w:val="0"/>
          <w:numId w:val="32"/>
        </w:numPr>
        <w:spacing w:line="360" w:lineRule="auto"/>
        <w:ind w:left="540" w:hanging="540"/>
      </w:pPr>
      <w:r>
        <w:t>H</w:t>
      </w:r>
      <w:r w:rsidRPr="00CD3180">
        <w:rPr>
          <w:spacing w:val="1"/>
        </w:rPr>
        <w:t>o</w:t>
      </w:r>
      <w:r>
        <w:t>w</w:t>
      </w:r>
      <w:r w:rsidRPr="00CD3180">
        <w:rPr>
          <w:spacing w:val="46"/>
        </w:rPr>
        <w:t xml:space="preserve"> </w:t>
      </w:r>
      <w:r w:rsidRPr="00CD3180">
        <w:rPr>
          <w:spacing w:val="1"/>
        </w:rPr>
        <w:t>o</w:t>
      </w:r>
      <w:r>
        <w:t>f</w:t>
      </w:r>
      <w:r w:rsidRPr="00CD3180">
        <w:rPr>
          <w:spacing w:val="-1"/>
        </w:rPr>
        <w:t>t</w:t>
      </w:r>
      <w:r>
        <w:t>en</w:t>
      </w:r>
      <w:r w:rsidRPr="00CD3180">
        <w:rPr>
          <w:spacing w:val="48"/>
        </w:rPr>
        <w:t xml:space="preserve"> </w:t>
      </w:r>
      <w:r>
        <w:t>are</w:t>
      </w:r>
      <w:r w:rsidRPr="00CD3180">
        <w:rPr>
          <w:spacing w:val="45"/>
        </w:rPr>
        <w:t xml:space="preserve"> </w:t>
      </w:r>
      <w:r>
        <w:t>those</w:t>
      </w:r>
      <w:r w:rsidRPr="00CD3180">
        <w:rPr>
          <w:spacing w:val="48"/>
        </w:rPr>
        <w:t xml:space="preserve"> </w:t>
      </w:r>
      <w:r>
        <w:t>f</w:t>
      </w:r>
      <w:r w:rsidRPr="00CD3180">
        <w:rPr>
          <w:spacing w:val="-1"/>
        </w:rPr>
        <w:t>a</w:t>
      </w:r>
      <w:r>
        <w:t>ce-to-fa</w:t>
      </w:r>
      <w:r w:rsidRPr="00CD3180">
        <w:rPr>
          <w:spacing w:val="-1"/>
        </w:rPr>
        <w:t>c</w:t>
      </w:r>
      <w:r>
        <w:t>e</w:t>
      </w:r>
      <w:r w:rsidRPr="00CD3180">
        <w:rPr>
          <w:spacing w:val="48"/>
        </w:rPr>
        <w:t xml:space="preserve"> </w:t>
      </w:r>
      <w:r>
        <w:t>dialogu</w:t>
      </w:r>
      <w:r w:rsidRPr="00CD3180">
        <w:rPr>
          <w:spacing w:val="-2"/>
        </w:rPr>
        <w:t>e</w:t>
      </w:r>
      <w:r>
        <w:t>s</w:t>
      </w:r>
      <w:r w:rsidRPr="00CD3180">
        <w:rPr>
          <w:spacing w:val="48"/>
        </w:rPr>
        <w:t xml:space="preserve"> </w:t>
      </w:r>
      <w:r w:rsidRPr="00CD3180">
        <w:rPr>
          <w:spacing w:val="-1"/>
        </w:rPr>
        <w:t>c</w:t>
      </w:r>
      <w:r>
        <w:t>ondu</w:t>
      </w:r>
      <w:r w:rsidRPr="00CD3180">
        <w:rPr>
          <w:spacing w:val="-2"/>
        </w:rPr>
        <w:t>c</w:t>
      </w:r>
      <w:r>
        <w:t>ted?</w:t>
      </w:r>
      <w:r w:rsidRPr="00CD3180">
        <w:rPr>
          <w:spacing w:val="50"/>
        </w:rPr>
        <w:t xml:space="preserve"> </w:t>
      </w:r>
      <w:r w:rsidRPr="00CD3180">
        <w:rPr>
          <w:rFonts w:ascii="MS Gothic" w:eastAsia="MS Gothic" w:hAnsi="MS Gothic" w:cs="MS Gothic" w:hint="eastAsia"/>
          <w:spacing w:val="50"/>
        </w:rPr>
        <w:t>☐</w:t>
      </w:r>
      <w:r>
        <w:t>Once</w:t>
      </w:r>
      <w:r w:rsidRPr="00CD3180">
        <w:rPr>
          <w:spacing w:val="-2"/>
        </w:rPr>
        <w:t xml:space="preserve"> </w:t>
      </w:r>
      <w:r>
        <w:t xml:space="preserve">a </w:t>
      </w:r>
      <w:r w:rsidRPr="00CD3180">
        <w:rPr>
          <w:spacing w:val="-1"/>
        </w:rPr>
        <w:t>w</w:t>
      </w:r>
      <w:r>
        <w:t>e</w:t>
      </w:r>
      <w:r w:rsidRPr="00CD3180">
        <w:rPr>
          <w:spacing w:val="-2"/>
        </w:rPr>
        <w:t>e</w:t>
      </w:r>
      <w:r w:rsidRPr="00CD3180">
        <w:rPr>
          <w:spacing w:val="-1"/>
        </w:rPr>
        <w:t>k</w:t>
      </w:r>
      <w:r>
        <w:tab/>
      </w:r>
      <w:r w:rsidRPr="00CD3180">
        <w:rPr>
          <w:rFonts w:ascii="MS Gothic" w:eastAsia="MS Gothic" w:hAnsi="MS Gothic" w:cs="MS Gothic" w:hint="eastAsia"/>
          <w:spacing w:val="50"/>
        </w:rPr>
        <w:t>☐</w:t>
      </w:r>
      <w:r>
        <w:t>On</w:t>
      </w:r>
      <w:r w:rsidRPr="00CD3180">
        <w:rPr>
          <w:spacing w:val="-1"/>
        </w:rPr>
        <w:t>c</w:t>
      </w:r>
      <w:r>
        <w:t xml:space="preserve">e a </w:t>
      </w:r>
      <w:r w:rsidRPr="00CD3180">
        <w:rPr>
          <w:spacing w:val="-1"/>
        </w:rPr>
        <w:t>m</w:t>
      </w:r>
      <w:r>
        <w:t>onth</w:t>
      </w:r>
      <w:r w:rsidRPr="00CD3180">
        <w:rPr>
          <w:spacing w:val="-1"/>
        </w:rPr>
        <w:t xml:space="preserve"> or more</w:t>
      </w:r>
      <w:r>
        <w:tab/>
      </w:r>
      <w:r w:rsidRPr="00CD3180">
        <w:rPr>
          <w:rFonts w:ascii="MS Gothic" w:eastAsia="MS Gothic" w:hAnsi="MS Gothic" w:cs="MS Gothic" w:hint="eastAsia"/>
          <w:spacing w:val="47"/>
        </w:rPr>
        <w:t>☐</w:t>
      </w:r>
      <w:r>
        <w:t>A f</w:t>
      </w:r>
      <w:r w:rsidRPr="00CD3180">
        <w:rPr>
          <w:spacing w:val="-1"/>
        </w:rPr>
        <w:t>e</w:t>
      </w:r>
      <w:r>
        <w:t>w t</w:t>
      </w:r>
      <w:r w:rsidRPr="00CD3180">
        <w:rPr>
          <w:spacing w:val="-2"/>
        </w:rPr>
        <w:t>i</w:t>
      </w:r>
      <w:r>
        <w:t>m</w:t>
      </w:r>
      <w:r w:rsidRPr="00CD3180">
        <w:rPr>
          <w:spacing w:val="-1"/>
        </w:rPr>
        <w:t>e</w:t>
      </w:r>
      <w:r>
        <w:t>s a year</w:t>
      </w:r>
      <w:r>
        <w:tab/>
      </w:r>
      <w:r w:rsidRPr="00CD3180">
        <w:rPr>
          <w:rFonts w:ascii="MS Gothic" w:eastAsia="MS Gothic" w:hAnsi="MS Gothic" w:cs="MS Gothic" w:hint="eastAsia"/>
          <w:spacing w:val="50"/>
        </w:rPr>
        <w:t>☐</w:t>
      </w:r>
      <w:r>
        <w:t>O</w:t>
      </w:r>
      <w:r w:rsidRPr="00CD3180">
        <w:rPr>
          <w:spacing w:val="-1"/>
        </w:rPr>
        <w:t>n</w:t>
      </w:r>
      <w:r>
        <w:t>ce a</w:t>
      </w:r>
      <w:r w:rsidRPr="00CD3180">
        <w:rPr>
          <w:spacing w:val="-1"/>
        </w:rPr>
        <w:t xml:space="preserve"> </w:t>
      </w:r>
      <w:r>
        <w:t>y</w:t>
      </w:r>
      <w:r w:rsidRPr="00CD3180">
        <w:rPr>
          <w:spacing w:val="-1"/>
        </w:rPr>
        <w:t>e</w:t>
      </w:r>
      <w:r>
        <w:t>ar Rea</w:t>
      </w:r>
      <w:r w:rsidRPr="00CD3180">
        <w:rPr>
          <w:spacing w:val="-1"/>
        </w:rPr>
        <w:t>s</w:t>
      </w:r>
      <w:r>
        <w:t>on:</w:t>
      </w:r>
    </w:p>
    <w:p w14:paraId="451D29E1" w14:textId="77777777" w:rsidR="00005007" w:rsidRDefault="00005007" w:rsidP="00DC4827">
      <w:pPr>
        <w:pStyle w:val="ListParagraph"/>
        <w:numPr>
          <w:ilvl w:val="0"/>
          <w:numId w:val="32"/>
        </w:numPr>
        <w:spacing w:line="360" w:lineRule="auto"/>
        <w:ind w:left="540" w:hanging="540"/>
      </w:pPr>
      <w:r>
        <w:rPr>
          <w:spacing w:val="-1"/>
        </w:rPr>
        <w:lastRenderedPageBreak/>
        <w:t>H</w:t>
      </w:r>
      <w:r>
        <w:t>ow</w:t>
      </w:r>
      <w:r>
        <w:rPr>
          <w:spacing w:val="46"/>
        </w:rPr>
        <w:t xml:space="preserve"> </w:t>
      </w:r>
      <w:r>
        <w:rPr>
          <w:spacing w:val="-1"/>
        </w:rPr>
        <w:t>w</w:t>
      </w:r>
      <w:r>
        <w:t>ould</w:t>
      </w:r>
      <w:r>
        <w:rPr>
          <w:spacing w:val="47"/>
        </w:rPr>
        <w:t xml:space="preserve"> </w:t>
      </w:r>
      <w:r>
        <w:t>you</w:t>
      </w:r>
      <w:r>
        <w:rPr>
          <w:spacing w:val="48"/>
        </w:rPr>
        <w:t xml:space="preserve"> </w:t>
      </w:r>
      <w:r>
        <w:t>de</w:t>
      </w:r>
      <w:r>
        <w:rPr>
          <w:spacing w:val="-1"/>
        </w:rPr>
        <w:t>s</w:t>
      </w:r>
      <w:r>
        <w:t>cri</w:t>
      </w:r>
      <w:r>
        <w:rPr>
          <w:spacing w:val="-1"/>
        </w:rPr>
        <w:t>b</w:t>
      </w:r>
      <w:r>
        <w:t>e</w:t>
      </w:r>
      <w:r>
        <w:rPr>
          <w:spacing w:val="48"/>
        </w:rPr>
        <w:t xml:space="preserve"> </w:t>
      </w:r>
      <w:r>
        <w:t>the</w:t>
      </w:r>
      <w:r>
        <w:rPr>
          <w:spacing w:val="46"/>
        </w:rPr>
        <w:t xml:space="preserve"> </w:t>
      </w:r>
      <w:r>
        <w:t>quality</w:t>
      </w:r>
      <w:r>
        <w:rPr>
          <w:spacing w:val="46"/>
        </w:rPr>
        <w:t xml:space="preserve"> </w:t>
      </w:r>
      <w:r>
        <w:rPr>
          <w:spacing w:val="1"/>
        </w:rPr>
        <w:t>of</w:t>
      </w:r>
      <w:r>
        <w:t xml:space="preserve"> i</w:t>
      </w:r>
      <w:r>
        <w:rPr>
          <w:spacing w:val="-1"/>
        </w:rPr>
        <w:t>n</w:t>
      </w:r>
      <w:r>
        <w:t>teract</w:t>
      </w:r>
      <w:r>
        <w:rPr>
          <w:spacing w:val="-2"/>
        </w:rPr>
        <w:t>i</w:t>
      </w:r>
      <w:r>
        <w:t>ons (conflictua</w:t>
      </w:r>
      <w:r>
        <w:rPr>
          <w:spacing w:val="-2"/>
        </w:rPr>
        <w:t>l</w:t>
      </w:r>
      <w:r>
        <w:t>/p</w:t>
      </w:r>
      <w:r>
        <w:rPr>
          <w:spacing w:val="-2"/>
        </w:rPr>
        <w:t>r</w:t>
      </w:r>
      <w:r>
        <w:t>oducti</w:t>
      </w:r>
      <w:r>
        <w:rPr>
          <w:spacing w:val="-1"/>
        </w:rPr>
        <w:t>v</w:t>
      </w:r>
      <w:r>
        <w:t>e) among</w:t>
      </w:r>
      <w:r>
        <w:rPr>
          <w:spacing w:val="-1"/>
        </w:rPr>
        <w:t xml:space="preserve"> </w:t>
      </w:r>
      <w:r>
        <w:t>partic</w:t>
      </w:r>
      <w:r>
        <w:rPr>
          <w:spacing w:val="-1"/>
        </w:rPr>
        <w:t>ip</w:t>
      </w:r>
      <w:r>
        <w:rPr>
          <w:spacing w:val="-2"/>
        </w:rPr>
        <w:t>a</w:t>
      </w:r>
      <w:r>
        <w:t xml:space="preserve">nts in the </w:t>
      </w:r>
      <w:r>
        <w:rPr>
          <w:spacing w:val="-1"/>
        </w:rPr>
        <w:t>f</w:t>
      </w:r>
      <w:r>
        <w:t>ac</w:t>
      </w:r>
      <w:r>
        <w:rPr>
          <w:spacing w:val="2"/>
        </w:rPr>
        <w:t>e</w:t>
      </w:r>
      <w:r>
        <w:t>-</w:t>
      </w:r>
      <w:r>
        <w:rPr>
          <w:spacing w:val="-1"/>
        </w:rPr>
        <w:t>t</w:t>
      </w:r>
      <w:r>
        <w:t>o-fa</w:t>
      </w:r>
      <w:r>
        <w:rPr>
          <w:spacing w:val="-2"/>
        </w:rPr>
        <w:t>c</w:t>
      </w:r>
      <w:r>
        <w:t>e</w:t>
      </w:r>
      <w:r>
        <w:rPr>
          <w:spacing w:val="-2"/>
        </w:rPr>
        <w:t xml:space="preserve"> </w:t>
      </w:r>
      <w:r>
        <w:t>m</w:t>
      </w:r>
      <w:r>
        <w:rPr>
          <w:spacing w:val="-1"/>
        </w:rPr>
        <w:t>e</w:t>
      </w:r>
      <w:r>
        <w:rPr>
          <w:spacing w:val="-2"/>
        </w:rPr>
        <w:t>e</w:t>
      </w:r>
      <w:r>
        <w:t>ti</w:t>
      </w:r>
      <w:r>
        <w:rPr>
          <w:spacing w:val="-1"/>
        </w:rPr>
        <w:t>n</w:t>
      </w:r>
      <w:r>
        <w:t>gs? Provide reasons for your answer</w:t>
      </w:r>
    </w:p>
    <w:p w14:paraId="0ADC6679" w14:textId="77777777" w:rsidR="00005007" w:rsidRDefault="00005007" w:rsidP="00DC4827">
      <w:pPr>
        <w:pStyle w:val="ListParagraph"/>
        <w:numPr>
          <w:ilvl w:val="0"/>
          <w:numId w:val="32"/>
        </w:numPr>
        <w:spacing w:line="360" w:lineRule="auto"/>
        <w:ind w:left="540" w:hanging="540"/>
      </w:pPr>
      <w:r>
        <w:rPr>
          <w:spacing w:val="1"/>
        </w:rPr>
        <w:t>Do</w:t>
      </w:r>
      <w:r>
        <w:rPr>
          <w:spacing w:val="16"/>
        </w:rPr>
        <w:t xml:space="preserve"> </w:t>
      </w:r>
      <w:r>
        <w:t>you</w:t>
      </w:r>
      <w:r>
        <w:rPr>
          <w:spacing w:val="14"/>
        </w:rPr>
        <w:t xml:space="preserve"> </w:t>
      </w:r>
      <w:r>
        <w:t>think</w:t>
      </w:r>
      <w:r>
        <w:rPr>
          <w:spacing w:val="14"/>
        </w:rPr>
        <w:t xml:space="preserve"> </w:t>
      </w:r>
      <w:r>
        <w:t>there</w:t>
      </w:r>
      <w:r>
        <w:rPr>
          <w:spacing w:val="14"/>
        </w:rPr>
        <w:t xml:space="preserve"> </w:t>
      </w:r>
      <w:r>
        <w:t>is</w:t>
      </w:r>
      <w:r>
        <w:rPr>
          <w:spacing w:val="15"/>
        </w:rPr>
        <w:t xml:space="preserve"> </w:t>
      </w:r>
      <w:r>
        <w:t>en</w:t>
      </w:r>
      <w:r>
        <w:rPr>
          <w:spacing w:val="1"/>
        </w:rPr>
        <w:t>o</w:t>
      </w:r>
      <w:r>
        <w:rPr>
          <w:spacing w:val="-2"/>
        </w:rPr>
        <w:t>u</w:t>
      </w:r>
      <w:r>
        <w:rPr>
          <w:spacing w:val="-1"/>
        </w:rPr>
        <w:t>gh</w:t>
      </w:r>
      <w:r>
        <w:rPr>
          <w:spacing w:val="1"/>
        </w:rPr>
        <w:t>/</w:t>
      </w:r>
      <w:r>
        <w:t>str</w:t>
      </w:r>
      <w:r>
        <w:rPr>
          <w:spacing w:val="1"/>
        </w:rPr>
        <w:t>o</w:t>
      </w:r>
      <w:r>
        <w:t>ng</w:t>
      </w:r>
      <w:r>
        <w:rPr>
          <w:spacing w:val="14"/>
        </w:rPr>
        <w:t xml:space="preserve"> </w:t>
      </w:r>
      <w:r>
        <w:t>leade</w:t>
      </w:r>
      <w:r>
        <w:rPr>
          <w:spacing w:val="-2"/>
        </w:rPr>
        <w:t>r</w:t>
      </w:r>
      <w:r>
        <w:t>ship</w:t>
      </w:r>
      <w:r>
        <w:rPr>
          <w:spacing w:val="16"/>
        </w:rPr>
        <w:t xml:space="preserve"> </w:t>
      </w:r>
      <w:r>
        <w:t>in</w:t>
      </w:r>
      <w:r>
        <w:rPr>
          <w:spacing w:val="16"/>
        </w:rPr>
        <w:t xml:space="preserve"> </w:t>
      </w:r>
      <w:r>
        <w:t>th</w:t>
      </w:r>
      <w:r>
        <w:rPr>
          <w:spacing w:val="-2"/>
        </w:rPr>
        <w:t>i</w:t>
      </w:r>
      <w:r>
        <w:t>s</w:t>
      </w:r>
      <w:r>
        <w:rPr>
          <w:spacing w:val="17"/>
        </w:rPr>
        <w:t xml:space="preserve"> </w:t>
      </w:r>
      <w:r>
        <w:rPr>
          <w:spacing w:val="-1"/>
        </w:rPr>
        <w:t>c</w:t>
      </w:r>
      <w:r>
        <w:t>olla</w:t>
      </w:r>
      <w:r>
        <w:rPr>
          <w:spacing w:val="-1"/>
        </w:rPr>
        <w:t>b</w:t>
      </w:r>
      <w:r>
        <w:rPr>
          <w:spacing w:val="1"/>
        </w:rPr>
        <w:t>o</w:t>
      </w:r>
      <w:r>
        <w:t>r</w:t>
      </w:r>
      <w:r>
        <w:rPr>
          <w:spacing w:val="-2"/>
        </w:rPr>
        <w:t>a</w:t>
      </w:r>
      <w:r>
        <w:t>tive</w:t>
      </w:r>
      <w:r>
        <w:rPr>
          <w:spacing w:val="14"/>
        </w:rPr>
        <w:t xml:space="preserve"> </w:t>
      </w:r>
      <w:r>
        <w:t>p</w:t>
      </w:r>
      <w:r>
        <w:rPr>
          <w:spacing w:val="-1"/>
        </w:rPr>
        <w:t>r</w:t>
      </w:r>
      <w:r>
        <w:t>oce</w:t>
      </w:r>
      <w:r>
        <w:rPr>
          <w:spacing w:val="-2"/>
        </w:rPr>
        <w:t>s</w:t>
      </w:r>
      <w:r>
        <w:t>s? Why?</w:t>
      </w:r>
    </w:p>
    <w:p w14:paraId="4453D93E" w14:textId="77777777" w:rsidR="00005007" w:rsidRDefault="00005007" w:rsidP="00DC4827">
      <w:pPr>
        <w:pStyle w:val="ListParagraph"/>
        <w:numPr>
          <w:ilvl w:val="0"/>
          <w:numId w:val="32"/>
        </w:numPr>
        <w:spacing w:line="360" w:lineRule="auto"/>
        <w:ind w:left="540" w:hanging="540"/>
        <w:rPr>
          <w:spacing w:val="33"/>
        </w:rPr>
      </w:pPr>
      <w:r>
        <w:t>H</w:t>
      </w:r>
      <w:r>
        <w:rPr>
          <w:spacing w:val="1"/>
        </w:rPr>
        <w:t>o</w:t>
      </w:r>
      <w:r>
        <w:t>w</w:t>
      </w:r>
      <w:r>
        <w:rPr>
          <w:spacing w:val="32"/>
        </w:rPr>
        <w:t xml:space="preserve"> </w:t>
      </w:r>
      <w:r>
        <w:t>co</w:t>
      </w:r>
      <w:r>
        <w:rPr>
          <w:spacing w:val="-1"/>
        </w:rPr>
        <w:t>m</w:t>
      </w:r>
      <w:r>
        <w:t>mit</w:t>
      </w:r>
      <w:r>
        <w:rPr>
          <w:spacing w:val="-1"/>
        </w:rPr>
        <w:t>t</w:t>
      </w:r>
      <w:r>
        <w:t>ed</w:t>
      </w:r>
      <w:r>
        <w:rPr>
          <w:spacing w:val="33"/>
        </w:rPr>
        <w:t xml:space="preserve"> </w:t>
      </w:r>
      <w:r>
        <w:t>a</w:t>
      </w:r>
      <w:r>
        <w:rPr>
          <w:spacing w:val="-2"/>
        </w:rPr>
        <w:t>r</w:t>
      </w:r>
      <w:r>
        <w:t>e</w:t>
      </w:r>
      <w:r>
        <w:rPr>
          <w:spacing w:val="31"/>
        </w:rPr>
        <w:t xml:space="preserve"> </w:t>
      </w:r>
      <w:r>
        <w:rPr>
          <w:spacing w:val="1"/>
        </w:rPr>
        <w:t>yo</w:t>
      </w:r>
      <w:r>
        <w:t>u</w:t>
      </w:r>
      <w:r>
        <w:rPr>
          <w:spacing w:val="31"/>
        </w:rPr>
        <w:t xml:space="preserve"> </w:t>
      </w:r>
      <w:r>
        <w:rPr>
          <w:spacing w:val="-1"/>
        </w:rPr>
        <w:t>to</w:t>
      </w:r>
      <w:r>
        <w:rPr>
          <w:spacing w:val="35"/>
        </w:rPr>
        <w:t xml:space="preserve"> </w:t>
      </w:r>
      <w:r>
        <w:t>this</w:t>
      </w:r>
      <w:r>
        <w:rPr>
          <w:spacing w:val="31"/>
        </w:rPr>
        <w:t xml:space="preserve"> </w:t>
      </w:r>
      <w:r w:rsidR="00DD30DC">
        <w:t>management</w:t>
      </w:r>
      <w:r>
        <w:rPr>
          <w:spacing w:val="33"/>
        </w:rPr>
        <w:t xml:space="preserve"> </w:t>
      </w:r>
      <w:r>
        <w:t>p</w:t>
      </w:r>
      <w:r>
        <w:rPr>
          <w:spacing w:val="-2"/>
        </w:rPr>
        <w:t>r</w:t>
      </w:r>
      <w:r>
        <w:t>o</w:t>
      </w:r>
      <w:r>
        <w:rPr>
          <w:spacing w:val="-1"/>
        </w:rPr>
        <w:t>c</w:t>
      </w:r>
      <w:r>
        <w:rPr>
          <w:spacing w:val="-2"/>
        </w:rPr>
        <w:t>e</w:t>
      </w:r>
      <w:r>
        <w:t>ss?</w:t>
      </w:r>
      <w:r>
        <w:rPr>
          <w:spacing w:val="33"/>
        </w:rPr>
        <w:t xml:space="preserve"> </w:t>
      </w:r>
    </w:p>
    <w:p w14:paraId="5FC1FC95" w14:textId="77777777" w:rsidR="00005007" w:rsidRDefault="00005007" w:rsidP="00566F1D">
      <w:pPr>
        <w:pStyle w:val="ListParagraph"/>
        <w:spacing w:line="360" w:lineRule="auto"/>
        <w:ind w:left="540" w:hanging="540"/>
        <w:jc w:val="left"/>
      </w:pPr>
      <w:r>
        <w:rPr>
          <w:rFonts w:ascii="MS Gothic" w:eastAsia="MS Gothic" w:hAnsi="MS Gothic" w:cs="MS Gothic" w:hint="eastAsia"/>
        </w:rPr>
        <w:t>☐</w:t>
      </w:r>
      <w:r>
        <w:rPr>
          <w:rFonts w:ascii="MS Gothic" w:eastAsia="MS Gothic" w:hAnsi="MS Gothic" w:cs="MS Gothic" w:hint="eastAsia"/>
          <w:spacing w:val="-20"/>
        </w:rPr>
        <w:t xml:space="preserve"> </w:t>
      </w:r>
      <w:r>
        <w:rPr>
          <w:spacing w:val="-1"/>
        </w:rPr>
        <w:t>H</w:t>
      </w:r>
      <w:r>
        <w:t>ighly</w:t>
      </w:r>
      <w:r>
        <w:rPr>
          <w:spacing w:val="38"/>
        </w:rPr>
        <w:t xml:space="preserve"> </w:t>
      </w:r>
      <w:r>
        <w:rPr>
          <w:spacing w:val="-1"/>
        </w:rPr>
        <w:t>com</w:t>
      </w:r>
      <w:r>
        <w:rPr>
          <w:spacing w:val="1"/>
        </w:rPr>
        <w:t>m</w:t>
      </w:r>
      <w:r>
        <w:t>itted</w:t>
      </w:r>
      <w:r>
        <w:tab/>
      </w:r>
      <w:r>
        <w:rPr>
          <w:rFonts w:ascii="MS Gothic" w:eastAsia="MS Gothic" w:hAnsi="MS Gothic" w:cs="MS Gothic" w:hint="eastAsia"/>
        </w:rPr>
        <w:t>☐</w:t>
      </w:r>
      <w:r>
        <w:rPr>
          <w:rFonts w:ascii="MS Gothic" w:eastAsia="MS Gothic" w:hAnsi="MS Gothic" w:cs="MS Gothic" w:hint="eastAsia"/>
          <w:spacing w:val="-20"/>
        </w:rPr>
        <w:t xml:space="preserve"> </w:t>
      </w:r>
      <w:r>
        <w:t>R</w:t>
      </w:r>
      <w:r>
        <w:rPr>
          <w:spacing w:val="-3"/>
        </w:rPr>
        <w:t>a</w:t>
      </w:r>
      <w:r>
        <w:t>ther</w:t>
      </w:r>
      <w:r>
        <w:rPr>
          <w:spacing w:val="35"/>
        </w:rPr>
        <w:t xml:space="preserve"> </w:t>
      </w:r>
      <w:r>
        <w:t>commit</w:t>
      </w:r>
      <w:r>
        <w:rPr>
          <w:spacing w:val="-1"/>
        </w:rPr>
        <w:t>t</w:t>
      </w:r>
      <w:r>
        <w:t>ed</w:t>
      </w:r>
      <w:r>
        <w:tab/>
      </w:r>
      <w:r>
        <w:rPr>
          <w:rFonts w:ascii="MS Gothic" w:eastAsia="MS Gothic" w:hAnsi="MS Gothic" w:cs="MS Gothic" w:hint="eastAsia"/>
          <w:spacing w:val="85"/>
        </w:rPr>
        <w:t>☐</w:t>
      </w:r>
      <w:r>
        <w:t>Neutral</w:t>
      </w:r>
      <w:r>
        <w:tab/>
      </w:r>
      <w:r>
        <w:rPr>
          <w:rFonts w:ascii="MS Gothic" w:eastAsia="MS Gothic" w:hAnsi="MS Gothic" w:cs="MS Gothic" w:hint="eastAsia"/>
          <w:spacing w:val="86"/>
        </w:rPr>
        <w:t>☐</w:t>
      </w:r>
      <w:r>
        <w:t>R</w:t>
      </w:r>
      <w:r>
        <w:rPr>
          <w:spacing w:val="-1"/>
        </w:rPr>
        <w:t>a</w:t>
      </w:r>
      <w:r>
        <w:t>ther</w:t>
      </w:r>
      <w:r>
        <w:rPr>
          <w:spacing w:val="37"/>
        </w:rPr>
        <w:t xml:space="preserve"> </w:t>
      </w:r>
      <w:r>
        <w:t>not</w:t>
      </w:r>
      <w:r>
        <w:rPr>
          <w:spacing w:val="38"/>
        </w:rPr>
        <w:t xml:space="preserve"> </w:t>
      </w:r>
      <w:r>
        <w:rPr>
          <w:spacing w:val="-1"/>
        </w:rPr>
        <w:t>com</w:t>
      </w:r>
      <w:r>
        <w:rPr>
          <w:spacing w:val="1"/>
        </w:rPr>
        <w:t>m</w:t>
      </w:r>
      <w:r>
        <w:t>itt</w:t>
      </w:r>
      <w:r>
        <w:rPr>
          <w:spacing w:val="1"/>
        </w:rPr>
        <w:t>e</w:t>
      </w:r>
      <w:r>
        <w:t xml:space="preserve">d </w:t>
      </w:r>
      <w:r>
        <w:rPr>
          <w:rFonts w:ascii="MS Gothic" w:eastAsia="MS Gothic" w:hAnsi="MS Gothic" w:cs="MS Gothic" w:hint="eastAsia"/>
          <w:spacing w:val="50"/>
        </w:rPr>
        <w:t>☐</w:t>
      </w:r>
      <w:r>
        <w:t>Not</w:t>
      </w:r>
      <w:r>
        <w:rPr>
          <w:spacing w:val="-1"/>
        </w:rPr>
        <w:t xml:space="preserve"> </w:t>
      </w:r>
      <w:r>
        <w:t>at all</w:t>
      </w:r>
      <w:r>
        <w:rPr>
          <w:spacing w:val="-2"/>
        </w:rPr>
        <w:t xml:space="preserve"> </w:t>
      </w:r>
      <w:r>
        <w:t>c</w:t>
      </w:r>
      <w:r>
        <w:rPr>
          <w:spacing w:val="-1"/>
        </w:rPr>
        <w:t>om</w:t>
      </w:r>
      <w:r>
        <w:t>mi</w:t>
      </w:r>
      <w:r>
        <w:rPr>
          <w:spacing w:val="-1"/>
        </w:rPr>
        <w:t>t</w:t>
      </w:r>
      <w:r>
        <w:t>ted</w:t>
      </w:r>
    </w:p>
    <w:p w14:paraId="3003D0E6" w14:textId="77777777" w:rsidR="00005007" w:rsidRDefault="00005007" w:rsidP="00DC4827">
      <w:pPr>
        <w:pStyle w:val="ListParagraph"/>
        <w:numPr>
          <w:ilvl w:val="0"/>
          <w:numId w:val="32"/>
        </w:numPr>
        <w:spacing w:line="360" w:lineRule="auto"/>
        <w:ind w:left="540" w:hanging="540"/>
      </w:pPr>
      <w:r>
        <w:t>What</w:t>
      </w:r>
      <w:r>
        <w:rPr>
          <w:spacing w:val="31"/>
        </w:rPr>
        <w:t xml:space="preserve"> </w:t>
      </w:r>
      <w:r>
        <w:t>kind</w:t>
      </w:r>
      <w:r>
        <w:rPr>
          <w:spacing w:val="33"/>
        </w:rPr>
        <w:t xml:space="preserve"> </w:t>
      </w:r>
      <w:r>
        <w:rPr>
          <w:spacing w:val="1"/>
        </w:rPr>
        <w:t>of</w:t>
      </w:r>
      <w:r>
        <w:rPr>
          <w:spacing w:val="31"/>
        </w:rPr>
        <w:t xml:space="preserve"> </w:t>
      </w:r>
      <w:r>
        <w:t>comm</w:t>
      </w:r>
      <w:r>
        <w:rPr>
          <w:spacing w:val="-2"/>
        </w:rPr>
        <w:t>it</w:t>
      </w:r>
      <w:r>
        <w:t>ment</w:t>
      </w:r>
      <w:r>
        <w:rPr>
          <w:spacing w:val="31"/>
        </w:rPr>
        <w:t xml:space="preserve"> </w:t>
      </w:r>
      <w:r>
        <w:t>do</w:t>
      </w:r>
      <w:r>
        <w:rPr>
          <w:spacing w:val="33"/>
        </w:rPr>
        <w:t xml:space="preserve"> </w:t>
      </w:r>
      <w:r>
        <w:t>you</w:t>
      </w:r>
      <w:r>
        <w:rPr>
          <w:spacing w:val="33"/>
        </w:rPr>
        <w:t xml:space="preserve"> </w:t>
      </w:r>
      <w:r>
        <w:t>gi</w:t>
      </w:r>
      <w:r>
        <w:rPr>
          <w:spacing w:val="-2"/>
        </w:rPr>
        <w:t>v</w:t>
      </w:r>
      <w:r>
        <w:t>e</w:t>
      </w:r>
      <w:r>
        <w:rPr>
          <w:spacing w:val="32"/>
        </w:rPr>
        <w:t xml:space="preserve"> </w:t>
      </w:r>
      <w:r>
        <w:t>to collaborati</w:t>
      </w:r>
      <w:r>
        <w:rPr>
          <w:spacing w:val="-1"/>
        </w:rPr>
        <w:t>ng</w:t>
      </w:r>
      <w:r>
        <w:t>?</w:t>
      </w:r>
      <w:r>
        <w:rPr>
          <w:spacing w:val="3"/>
        </w:rPr>
        <w:t xml:space="preserve"> </w:t>
      </w:r>
      <w:r>
        <w:rPr>
          <w:spacing w:val="-1"/>
        </w:rPr>
        <w:t>T</w:t>
      </w:r>
      <w:r>
        <w:t xml:space="preserve">ype </w:t>
      </w:r>
      <w:r>
        <w:rPr>
          <w:spacing w:val="1"/>
        </w:rPr>
        <w:t>o</w:t>
      </w:r>
      <w:r>
        <w:t>f</w:t>
      </w:r>
      <w:r>
        <w:rPr>
          <w:spacing w:val="3"/>
        </w:rPr>
        <w:t xml:space="preserve"> </w:t>
      </w:r>
      <w:r>
        <w:t>commi</w:t>
      </w:r>
      <w:r>
        <w:rPr>
          <w:spacing w:val="-1"/>
        </w:rPr>
        <w:t>t</w:t>
      </w:r>
      <w:r>
        <w:t>ment can</w:t>
      </w:r>
      <w:r>
        <w:rPr>
          <w:spacing w:val="2"/>
        </w:rPr>
        <w:t xml:space="preserve"> </w:t>
      </w:r>
      <w:r>
        <w:t>be</w:t>
      </w:r>
      <w:r>
        <w:rPr>
          <w:spacing w:val="2"/>
        </w:rPr>
        <w:t xml:space="preserve"> </w:t>
      </w:r>
      <w:r>
        <w:t>in</w:t>
      </w:r>
      <w:r>
        <w:rPr>
          <w:spacing w:val="1"/>
        </w:rPr>
        <w:t xml:space="preserve"> </w:t>
      </w:r>
      <w:r>
        <w:t>t</w:t>
      </w:r>
      <w:r>
        <w:rPr>
          <w:spacing w:val="-2"/>
        </w:rPr>
        <w:t>h</w:t>
      </w:r>
      <w:r>
        <w:t>e</w:t>
      </w:r>
      <w:r>
        <w:rPr>
          <w:spacing w:val="3"/>
        </w:rPr>
        <w:t xml:space="preserve"> </w:t>
      </w:r>
      <w:r>
        <w:t>form</w:t>
      </w:r>
      <w:r>
        <w:rPr>
          <w:spacing w:val="1"/>
        </w:rPr>
        <w:t xml:space="preserve"> </w:t>
      </w:r>
      <w:r>
        <w:rPr>
          <w:spacing w:val="2"/>
        </w:rPr>
        <w:t>o</w:t>
      </w:r>
      <w:r>
        <w:t>f</w:t>
      </w:r>
      <w:r>
        <w:rPr>
          <w:spacing w:val="3"/>
        </w:rPr>
        <w:t xml:space="preserve"> </w:t>
      </w:r>
      <w:r>
        <w:t>re</w:t>
      </w:r>
      <w:r>
        <w:rPr>
          <w:spacing w:val="-1"/>
        </w:rPr>
        <w:t>s</w:t>
      </w:r>
      <w:r>
        <w:t>ourc</w:t>
      </w:r>
      <w:r>
        <w:rPr>
          <w:spacing w:val="-2"/>
        </w:rPr>
        <w:t>e</w:t>
      </w:r>
      <w:r>
        <w:t>s</w:t>
      </w:r>
      <w:r>
        <w:rPr>
          <w:spacing w:val="2"/>
        </w:rPr>
        <w:t xml:space="preserve"> </w:t>
      </w:r>
      <w:r>
        <w:t>(t</w:t>
      </w:r>
      <w:r>
        <w:rPr>
          <w:spacing w:val="-1"/>
        </w:rPr>
        <w:t>i</w:t>
      </w:r>
      <w:r>
        <w:t>me, m</w:t>
      </w:r>
      <w:r>
        <w:rPr>
          <w:spacing w:val="1"/>
        </w:rPr>
        <w:t>o</w:t>
      </w:r>
      <w:r>
        <w:rPr>
          <w:spacing w:val="-2"/>
        </w:rPr>
        <w:t>n</w:t>
      </w:r>
      <w:r>
        <w:t>ey,</w:t>
      </w:r>
      <w:r>
        <w:rPr>
          <w:spacing w:val="2"/>
        </w:rPr>
        <w:t xml:space="preserve"> </w:t>
      </w:r>
      <w:r>
        <w:rPr>
          <w:spacing w:val="-1"/>
        </w:rPr>
        <w:t>s</w:t>
      </w:r>
      <w:r>
        <w:t>kil</w:t>
      </w:r>
      <w:r>
        <w:rPr>
          <w:spacing w:val="-1"/>
        </w:rPr>
        <w:t>l</w:t>
      </w:r>
      <w:r>
        <w:t>s,</w:t>
      </w:r>
      <w:r>
        <w:rPr>
          <w:spacing w:val="2"/>
        </w:rPr>
        <w:t xml:space="preserve"> </w:t>
      </w:r>
      <w:r>
        <w:t>i</w:t>
      </w:r>
      <w:r>
        <w:rPr>
          <w:spacing w:val="7"/>
        </w:rPr>
        <w:t>n</w:t>
      </w:r>
      <w:r>
        <w:t>-kind,</w:t>
      </w:r>
      <w:r>
        <w:rPr>
          <w:spacing w:val="2"/>
        </w:rPr>
        <w:t xml:space="preserve"> </w:t>
      </w:r>
      <w:r>
        <w:rPr>
          <w:spacing w:val="-1"/>
        </w:rPr>
        <w:t>others……</w:t>
      </w:r>
      <w:r>
        <w:t xml:space="preserve">) </w:t>
      </w:r>
    </w:p>
    <w:p w14:paraId="1D71C932" w14:textId="77777777" w:rsidR="00005007" w:rsidRDefault="00005007" w:rsidP="00DC4827">
      <w:pPr>
        <w:pStyle w:val="ListParagraph"/>
        <w:spacing w:line="360" w:lineRule="auto"/>
        <w:ind w:left="540" w:hanging="540"/>
      </w:pPr>
      <w:r>
        <w:rPr>
          <w:rFonts w:ascii="MS Gothic" w:eastAsia="MS Gothic" w:hAnsi="MS Gothic" w:cs="MS Gothic" w:hint="eastAsia"/>
          <w:spacing w:val="50"/>
        </w:rPr>
        <w:t>☐</w:t>
      </w:r>
      <w:r>
        <w:t>Time</w:t>
      </w:r>
      <w:r>
        <w:tab/>
      </w:r>
      <w:r>
        <w:rPr>
          <w:rFonts w:ascii="MS Gothic" w:eastAsia="MS Gothic" w:hAnsi="MS Gothic" w:cs="MS Gothic" w:hint="eastAsia"/>
          <w:spacing w:val="48"/>
        </w:rPr>
        <w:t>☐</w:t>
      </w:r>
      <w:r>
        <w:t>M</w:t>
      </w:r>
      <w:r>
        <w:rPr>
          <w:spacing w:val="1"/>
        </w:rPr>
        <w:t>o</w:t>
      </w:r>
      <w:r>
        <w:t>ney</w:t>
      </w:r>
      <w:r>
        <w:tab/>
      </w:r>
      <w:r>
        <w:rPr>
          <w:rFonts w:ascii="MS Gothic" w:eastAsia="MS Gothic" w:hAnsi="MS Gothic" w:cs="MS Gothic" w:hint="eastAsia"/>
          <w:spacing w:val="48"/>
        </w:rPr>
        <w:t>☐</w:t>
      </w:r>
      <w:r>
        <w:t>Skills</w:t>
      </w:r>
      <w:r>
        <w:tab/>
      </w:r>
      <w:r>
        <w:rPr>
          <w:rFonts w:ascii="MS Gothic" w:eastAsia="MS Gothic" w:hAnsi="MS Gothic" w:cs="MS Gothic" w:hint="eastAsia"/>
          <w:spacing w:val="50"/>
        </w:rPr>
        <w:t>☐</w:t>
      </w:r>
      <w:r>
        <w:t>In-kind</w:t>
      </w:r>
      <w:r>
        <w:tab/>
      </w:r>
      <w:r>
        <w:rPr>
          <w:rFonts w:ascii="MS Gothic" w:eastAsia="MS Gothic" w:hAnsi="MS Gothic" w:cs="MS Gothic" w:hint="eastAsia"/>
          <w:spacing w:val="48"/>
        </w:rPr>
        <w:t>☐</w:t>
      </w:r>
      <w:r>
        <w:rPr>
          <w:rFonts w:eastAsia="MS Gothic" w:cs="Times New Roman"/>
          <w:spacing w:val="48"/>
        </w:rPr>
        <w:t>other</w:t>
      </w:r>
      <w:r>
        <w:rPr>
          <w:spacing w:val="1"/>
        </w:rPr>
        <w:t>…</w:t>
      </w:r>
      <w:r>
        <w:t>…………</w:t>
      </w:r>
      <w:r>
        <w:rPr>
          <w:spacing w:val="1"/>
        </w:rPr>
        <w:t>……….</w:t>
      </w:r>
    </w:p>
    <w:p w14:paraId="31403B23" w14:textId="77777777" w:rsidR="00005007" w:rsidRDefault="00005007" w:rsidP="00DC4827">
      <w:pPr>
        <w:pStyle w:val="ListParagraph"/>
        <w:numPr>
          <w:ilvl w:val="0"/>
          <w:numId w:val="32"/>
        </w:numPr>
        <w:spacing w:line="360" w:lineRule="auto"/>
        <w:ind w:left="540" w:hanging="540"/>
      </w:pPr>
      <w:r>
        <w:t xml:space="preserve"> Are there motivations for local people to participate in the </w:t>
      </w:r>
      <w:r w:rsidR="00DD30DC">
        <w:t>management</w:t>
      </w:r>
      <w:r>
        <w:t xml:space="preserve"> process? What are some of the motivations?</w:t>
      </w:r>
    </w:p>
    <w:p w14:paraId="08297B7F" w14:textId="77777777" w:rsidR="00005007" w:rsidRDefault="00005007" w:rsidP="00DC4827">
      <w:pPr>
        <w:pStyle w:val="ListParagraph"/>
        <w:numPr>
          <w:ilvl w:val="0"/>
          <w:numId w:val="32"/>
        </w:numPr>
        <w:spacing w:line="360" w:lineRule="auto"/>
        <w:ind w:left="540" w:hanging="540"/>
      </w:pPr>
      <w:r>
        <w:t xml:space="preserve">Mention some of the benefits you have derived from the </w:t>
      </w:r>
      <w:r w:rsidR="00DD30DC">
        <w:t>management</w:t>
      </w:r>
      <w:r>
        <w:t xml:space="preserve"> </w:t>
      </w:r>
      <w:proofErr w:type="gramStart"/>
      <w:r>
        <w:t>process?</w:t>
      </w:r>
      <w:proofErr w:type="gramEnd"/>
    </w:p>
    <w:p w14:paraId="3A735914" w14:textId="77777777" w:rsidR="00005007" w:rsidRDefault="00005007" w:rsidP="00772DAC">
      <w:pPr>
        <w:spacing w:line="360" w:lineRule="auto"/>
        <w:ind w:left="0" w:firstLine="0"/>
      </w:pPr>
      <w:r>
        <w:t>…………………………………………………………………………………………………………………………………………………………………………………………………………………………………………………………………………………………………………………………………………………………………………………………………………</w:t>
      </w:r>
    </w:p>
    <w:p w14:paraId="762D38F7" w14:textId="77777777" w:rsidR="00005007" w:rsidRDefault="00005007" w:rsidP="00772DAC">
      <w:pPr>
        <w:pStyle w:val="ListParagraph"/>
        <w:ind w:left="0"/>
      </w:pPr>
    </w:p>
    <w:p w14:paraId="3FEF60BB" w14:textId="77777777" w:rsidR="00005007" w:rsidRDefault="00005007" w:rsidP="00772DAC">
      <w:pPr>
        <w:pStyle w:val="ListParagraph"/>
        <w:ind w:left="0"/>
        <w:rPr>
          <w:b/>
          <w:bCs/>
        </w:rPr>
      </w:pPr>
      <w:r>
        <w:rPr>
          <w:b/>
          <w:bCs/>
        </w:rPr>
        <w:t xml:space="preserve">SECTION C: CHALLENGES INHERENT IN THE </w:t>
      </w:r>
      <w:r w:rsidR="00845084">
        <w:rPr>
          <w:b/>
          <w:bCs/>
        </w:rPr>
        <w:t>MANAGEMENT</w:t>
      </w:r>
      <w:r>
        <w:rPr>
          <w:b/>
          <w:bCs/>
        </w:rPr>
        <w:t xml:space="preserve"> PROCESS</w:t>
      </w:r>
    </w:p>
    <w:p w14:paraId="5D5EA94B" w14:textId="77777777" w:rsidR="00005007" w:rsidRDefault="00005007" w:rsidP="00772DAC">
      <w:pPr>
        <w:pStyle w:val="ListParagraph"/>
        <w:numPr>
          <w:ilvl w:val="0"/>
          <w:numId w:val="32"/>
        </w:numPr>
        <w:spacing w:line="256" w:lineRule="auto"/>
        <w:ind w:left="0" w:firstLine="0"/>
      </w:pPr>
      <w:r>
        <w:t xml:space="preserve">List some of the challenges of the </w:t>
      </w:r>
      <w:r w:rsidR="00DD30DC">
        <w:t>management</w:t>
      </w:r>
      <w:r>
        <w:t xml:space="preserve"> process </w:t>
      </w:r>
    </w:p>
    <w:p w14:paraId="13918767" w14:textId="77777777" w:rsidR="00005007" w:rsidRDefault="00005007" w:rsidP="00772DAC">
      <w:pPr>
        <w:pStyle w:val="ListParagraph"/>
        <w:ind w:left="0"/>
      </w:pPr>
      <w:r>
        <w:t>………………………………………………………………………………………………………………………………………………………………………………………………………………………………………………………………………………………………………</w:t>
      </w:r>
    </w:p>
    <w:p w14:paraId="42A35001" w14:textId="77777777" w:rsidR="00524689" w:rsidRDefault="00524689" w:rsidP="00772DAC">
      <w:pPr>
        <w:pStyle w:val="ListParagraph"/>
        <w:ind w:left="0"/>
      </w:pPr>
    </w:p>
    <w:p w14:paraId="0E4111A1" w14:textId="77777777" w:rsidR="00524689" w:rsidRDefault="00524689" w:rsidP="00772DAC">
      <w:pPr>
        <w:pStyle w:val="ListParagraph"/>
        <w:ind w:left="0"/>
      </w:pPr>
    </w:p>
    <w:p w14:paraId="51043623" w14:textId="468C7D05" w:rsidR="00005007" w:rsidRDefault="00005007" w:rsidP="00772DAC">
      <w:pPr>
        <w:pStyle w:val="ListParagraph"/>
        <w:numPr>
          <w:ilvl w:val="0"/>
          <w:numId w:val="32"/>
        </w:numPr>
        <w:spacing w:line="360" w:lineRule="auto"/>
        <w:ind w:left="0" w:firstLine="0"/>
      </w:pPr>
      <w:r>
        <w:t xml:space="preserve">Suggest ways of improving the </w:t>
      </w:r>
      <w:r w:rsidR="00DD30DC">
        <w:t>management</w:t>
      </w:r>
      <w:r>
        <w:t xml:space="preserve"> process</w:t>
      </w:r>
    </w:p>
    <w:p w14:paraId="0FEC9735" w14:textId="54CCC8B8" w:rsidR="00005007" w:rsidRDefault="00005007" w:rsidP="00772DAC">
      <w:pPr>
        <w:pStyle w:val="Heading1"/>
        <w:ind w:left="0"/>
      </w:pPr>
      <w:bookmarkStart w:id="540" w:name="_Toc202197710"/>
      <w:r>
        <w:lastRenderedPageBreak/>
        <w:t>Append</w:t>
      </w:r>
      <w:r w:rsidR="00EE6D49">
        <w:t>i</w:t>
      </w:r>
      <w:r w:rsidR="009B7B51">
        <w:t>X</w:t>
      </w:r>
      <w:r>
        <w:t xml:space="preserve"> C</w:t>
      </w:r>
      <w:bookmarkEnd w:id="540"/>
    </w:p>
    <w:p w14:paraId="027191CB"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UNIVERSITY OF CAPE COAST </w:t>
      </w:r>
    </w:p>
    <w:p w14:paraId="59F2BB70"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SCHOOL FOR DEVELOPMENT STUDIES </w:t>
      </w:r>
    </w:p>
    <w:p w14:paraId="500D9559"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COLLEGE OF HUMANITIES AND LEGAL STUDIES </w:t>
      </w:r>
    </w:p>
    <w:p w14:paraId="34276A20" w14:textId="77777777" w:rsidR="00005007" w:rsidRDefault="00005007" w:rsidP="00772DAC">
      <w:pPr>
        <w:spacing w:after="0"/>
        <w:ind w:left="0" w:firstLine="0"/>
        <w:jc w:val="center"/>
        <w:rPr>
          <w:rFonts w:eastAsia="Times New Roman" w:cs="Times New Roman"/>
          <w:szCs w:val="24"/>
        </w:rPr>
      </w:pPr>
      <w:r>
        <w:rPr>
          <w:rFonts w:eastAsia="Times New Roman" w:cs="Times New Roman"/>
          <w:szCs w:val="24"/>
        </w:rPr>
        <w:t xml:space="preserve">DEPARTMENT OF INTEGRATED DEVELOPMENT STUDIES </w:t>
      </w:r>
    </w:p>
    <w:p w14:paraId="671F0B97" w14:textId="77777777" w:rsidR="00005007" w:rsidRPr="00DC4827" w:rsidRDefault="00005007" w:rsidP="00DC4827">
      <w:pPr>
        <w:pStyle w:val="Heading1"/>
        <w:ind w:left="0"/>
      </w:pPr>
      <w:bookmarkStart w:id="541" w:name="_Toc202197711"/>
      <w:r w:rsidRPr="00DC4827">
        <w:t>QUESTIONNAIRE</w:t>
      </w:r>
      <w:bookmarkEnd w:id="541"/>
      <w:r w:rsidRPr="00DC4827">
        <w:t xml:space="preserve"> </w:t>
      </w:r>
    </w:p>
    <w:p w14:paraId="2D0C8203" w14:textId="77777777" w:rsidR="00005007" w:rsidRDefault="00005007" w:rsidP="00772DAC">
      <w:pPr>
        <w:ind w:left="0" w:firstLine="0"/>
      </w:pPr>
      <w:r>
        <w:t>This questionnaire is a research instrument for my PhD thesis on “stakeholder collaboration and sustainable community-based forestry at the Bobiri and Southern Scarp Forest Reserves”, and it is mainly for academic purpose</w:t>
      </w:r>
      <w:r w:rsidR="009B7B51">
        <w:t>s</w:t>
      </w:r>
      <w:r>
        <w:t xml:space="preserve">. I assure you of </w:t>
      </w:r>
      <w:r w:rsidR="009B7B51">
        <w:t xml:space="preserve">the </w:t>
      </w:r>
      <w:r>
        <w:t>privacy and secrecy of your response. All information collected will be solely for academic purpose</w:t>
      </w:r>
      <w:r w:rsidR="009B7B51">
        <w:t>s</w:t>
      </w:r>
      <w:r>
        <w:t xml:space="preserve">. You can decide to stop answering these questions at any time you want. </w:t>
      </w:r>
    </w:p>
    <w:p w14:paraId="53E484FB" w14:textId="77777777" w:rsidR="00005007" w:rsidRDefault="00005007" w:rsidP="00772DAC">
      <w:pPr>
        <w:ind w:left="0" w:firstLine="0"/>
      </w:pPr>
      <w:r>
        <w:t>Do you agree to participate Yes.            No.</w:t>
      </w:r>
    </w:p>
    <w:p w14:paraId="00CE6D80" w14:textId="77777777" w:rsidR="00005007" w:rsidRDefault="00005007" w:rsidP="00772DAC">
      <w:pPr>
        <w:ind w:left="0" w:firstLine="0"/>
      </w:pPr>
      <w:r>
        <w:t>Date ………………….    Location ………………………GPS…………</w:t>
      </w:r>
    </w:p>
    <w:p w14:paraId="0A4B7296" w14:textId="77777777" w:rsidR="00005007" w:rsidRDefault="00005007" w:rsidP="00772DAC">
      <w:pPr>
        <w:ind w:left="0" w:firstLine="0"/>
        <w:rPr>
          <w:b/>
          <w:bCs/>
        </w:rPr>
      </w:pPr>
      <w:r>
        <w:rPr>
          <w:b/>
          <w:bCs/>
        </w:rPr>
        <w:t>SECTION A: SOCIO-DEMOGRAPHIC CHARACTERISTICS OF PARTICIPANTS</w:t>
      </w:r>
    </w:p>
    <w:p w14:paraId="0B77A8FB" w14:textId="77777777" w:rsidR="00005007" w:rsidRDefault="00005007" w:rsidP="00772DAC">
      <w:pPr>
        <w:pStyle w:val="ListParagraph"/>
        <w:numPr>
          <w:ilvl w:val="0"/>
          <w:numId w:val="33"/>
        </w:numPr>
        <w:spacing w:line="480" w:lineRule="auto"/>
        <w:ind w:left="0" w:firstLine="0"/>
      </w:pPr>
      <w:r>
        <w:t xml:space="preserve">Age ……………………… </w:t>
      </w:r>
    </w:p>
    <w:p w14:paraId="089A64EA" w14:textId="77777777" w:rsidR="00005007" w:rsidRDefault="00005007" w:rsidP="00772DAC">
      <w:pPr>
        <w:pStyle w:val="ListParagraph"/>
        <w:numPr>
          <w:ilvl w:val="0"/>
          <w:numId w:val="33"/>
        </w:numPr>
        <w:spacing w:line="480" w:lineRule="auto"/>
        <w:ind w:left="0" w:firstLine="0"/>
      </w:pPr>
      <w:r>
        <w:t>Duration of stay ………………</w:t>
      </w:r>
    </w:p>
    <w:p w14:paraId="261E17EC" w14:textId="77777777" w:rsidR="00005007" w:rsidRDefault="00005007" w:rsidP="00772DAC">
      <w:pPr>
        <w:pStyle w:val="ListParagraph"/>
        <w:numPr>
          <w:ilvl w:val="0"/>
          <w:numId w:val="33"/>
        </w:numPr>
        <w:spacing w:line="480" w:lineRule="auto"/>
        <w:ind w:left="0" w:firstLine="0"/>
      </w:pPr>
      <w:r>
        <w:t>Level of Education: Basic</w:t>
      </w:r>
      <w:proofErr w:type="gramStart"/>
      <w:r>
        <w:t>…..</w:t>
      </w:r>
      <w:proofErr w:type="gramEnd"/>
      <w:r>
        <w:t xml:space="preserve">  Secondary…….  Tertiary……. None…….</w:t>
      </w:r>
    </w:p>
    <w:p w14:paraId="6B888FB0" w14:textId="77777777" w:rsidR="00005007" w:rsidRDefault="00005007" w:rsidP="00772DAC">
      <w:pPr>
        <w:pStyle w:val="ListParagraph"/>
        <w:numPr>
          <w:ilvl w:val="0"/>
          <w:numId w:val="33"/>
        </w:numPr>
        <w:spacing w:line="480" w:lineRule="auto"/>
        <w:ind w:left="0" w:firstLine="0"/>
      </w:pPr>
      <w:r>
        <w:t>Access to forestry training        Yes………….   No………………</w:t>
      </w:r>
    </w:p>
    <w:p w14:paraId="70FD380D" w14:textId="77777777" w:rsidR="00005007" w:rsidRDefault="00005007" w:rsidP="00772DAC">
      <w:pPr>
        <w:pStyle w:val="ListParagraph"/>
        <w:numPr>
          <w:ilvl w:val="0"/>
          <w:numId w:val="33"/>
        </w:numPr>
        <w:spacing w:line="480" w:lineRule="auto"/>
        <w:ind w:left="0" w:firstLine="0"/>
      </w:pPr>
      <w:r>
        <w:t>Belong to a group Yes …………</w:t>
      </w:r>
      <w:proofErr w:type="gramStart"/>
      <w:r>
        <w:t>…..</w:t>
      </w:r>
      <w:proofErr w:type="gramEnd"/>
      <w:r>
        <w:t xml:space="preserve">   No……………………</w:t>
      </w:r>
      <w:proofErr w:type="gramStart"/>
      <w:r>
        <w:t>…..</w:t>
      </w:r>
      <w:proofErr w:type="gramEnd"/>
    </w:p>
    <w:p w14:paraId="3D5C3C8A" w14:textId="77777777" w:rsidR="00005007" w:rsidRDefault="00005007" w:rsidP="00772DAC">
      <w:pPr>
        <w:ind w:left="0" w:firstLine="0"/>
        <w:rPr>
          <w:b/>
          <w:bCs/>
        </w:rPr>
      </w:pPr>
      <w:r>
        <w:rPr>
          <w:b/>
          <w:bCs/>
        </w:rPr>
        <w:lastRenderedPageBreak/>
        <w:t>SECTION B: LOCAL LEVEL INSTITUTIONAL FRAMEWORK FOR STAKEHOLDER COLLABORATION</w:t>
      </w:r>
    </w:p>
    <w:p w14:paraId="168B50AE" w14:textId="77777777" w:rsidR="00005007" w:rsidRDefault="00005007" w:rsidP="00772DAC">
      <w:pPr>
        <w:ind w:left="0" w:firstLine="0"/>
      </w:pPr>
      <w:r>
        <w:t>8.  How long have you lived/worked here?..........................</w:t>
      </w:r>
    </w:p>
    <w:p w14:paraId="79A2CED1" w14:textId="77777777" w:rsidR="00005007" w:rsidRDefault="00005007" w:rsidP="00772DAC">
      <w:pPr>
        <w:ind w:left="0" w:firstLine="0"/>
      </w:pPr>
      <w:r>
        <w:t>9. Has there been changes in the state of the forest reserve during your time here? Yes…. No</w:t>
      </w:r>
    </w:p>
    <w:p w14:paraId="75E51D30" w14:textId="77777777" w:rsidR="00005007" w:rsidRDefault="00005007" w:rsidP="00772DAC">
      <w:pPr>
        <w:ind w:left="0" w:firstLine="0"/>
      </w:pPr>
      <w:r>
        <w:t>a. if yes what are they……………………………………………</w:t>
      </w:r>
      <w:proofErr w:type="gramStart"/>
      <w:r>
        <w:t>…..</w:t>
      </w:r>
      <w:proofErr w:type="gramEnd"/>
    </w:p>
    <w:p w14:paraId="719D9E9D" w14:textId="77777777" w:rsidR="00005007" w:rsidRDefault="00005007" w:rsidP="00772DAC">
      <w:pPr>
        <w:ind w:left="0" w:firstLine="0"/>
      </w:pPr>
      <w:r>
        <w:t>10. Are there strategic community-based forest management agreements in the reserve?      Yes ……  No……</w:t>
      </w:r>
      <w:proofErr w:type="gramStart"/>
      <w:r>
        <w:t>…..</w:t>
      </w:r>
      <w:proofErr w:type="gramEnd"/>
    </w:p>
    <w:p w14:paraId="46DAE7B1" w14:textId="77777777" w:rsidR="00005007" w:rsidRDefault="00005007" w:rsidP="00772DAC">
      <w:pPr>
        <w:ind w:left="0" w:firstLine="0"/>
      </w:pPr>
      <w:r>
        <w:t>a. If yes, how many such agreements are there (Including their dates of establishment, composition, compartments etc.)?.................................</w:t>
      </w:r>
    </w:p>
    <w:p w14:paraId="56F7587A" w14:textId="77777777" w:rsidR="00005007" w:rsidRDefault="00005007" w:rsidP="00772DAC">
      <w:pPr>
        <w:ind w:left="0" w:firstLine="0"/>
      </w:pPr>
      <w:r>
        <w:t xml:space="preserve">11.  Are there local norms/practises that regulate the participation of actors in the </w:t>
      </w:r>
      <w:r w:rsidR="00DD30DC">
        <w:t>management</w:t>
      </w:r>
      <w:r>
        <w:t xml:space="preserve"> process in the forest reserve?</w:t>
      </w:r>
    </w:p>
    <w:p w14:paraId="6A0A1EBA" w14:textId="77777777" w:rsidR="00005007" w:rsidRDefault="00005007" w:rsidP="00772DAC">
      <w:pPr>
        <w:ind w:left="0" w:firstLine="0"/>
      </w:pPr>
      <w:r>
        <w:t xml:space="preserve"> a. What are they? </w:t>
      </w:r>
    </w:p>
    <w:p w14:paraId="2149C0AE" w14:textId="77777777" w:rsidR="00005007" w:rsidRDefault="00005007" w:rsidP="00772DAC">
      <w:pPr>
        <w:ind w:left="0" w:firstLine="0"/>
      </w:pPr>
      <w:r>
        <w:t>12. Do you have roles in promoting CFM? Yes      No</w:t>
      </w:r>
    </w:p>
    <w:p w14:paraId="25719766" w14:textId="77777777" w:rsidR="00005007" w:rsidRDefault="00005007" w:rsidP="00772DAC">
      <w:pPr>
        <w:ind w:left="0" w:firstLine="0"/>
      </w:pPr>
      <w:r>
        <w:t>a. If yes what are they</w:t>
      </w:r>
      <w:proofErr w:type="gramStart"/>
      <w:r>
        <w:t>…..</w:t>
      </w:r>
      <w:proofErr w:type="gramEnd"/>
    </w:p>
    <w:p w14:paraId="11C9E2C6" w14:textId="77777777" w:rsidR="00005007" w:rsidRDefault="00005007" w:rsidP="00772DAC">
      <w:pPr>
        <w:ind w:left="0" w:firstLine="0"/>
      </w:pPr>
      <w:r>
        <w:t>13.</w:t>
      </w:r>
      <w:r>
        <w:rPr>
          <w:spacing w:val="65"/>
        </w:rPr>
        <w:t xml:space="preserve"> </w:t>
      </w:r>
      <w:r>
        <w:t>What</w:t>
      </w:r>
      <w:r>
        <w:rPr>
          <w:spacing w:val="17"/>
        </w:rPr>
        <w:t xml:space="preserve"> </w:t>
      </w:r>
      <w:r>
        <w:t>is</w:t>
      </w:r>
      <w:r>
        <w:rPr>
          <w:spacing w:val="15"/>
        </w:rPr>
        <w:t xml:space="preserve"> </w:t>
      </w:r>
      <w:r>
        <w:t>the</w:t>
      </w:r>
      <w:r>
        <w:rPr>
          <w:spacing w:val="14"/>
        </w:rPr>
        <w:t xml:space="preserve"> </w:t>
      </w:r>
      <w:r>
        <w:rPr>
          <w:spacing w:val="1"/>
        </w:rPr>
        <w:t>main</w:t>
      </w:r>
      <w:r>
        <w:rPr>
          <w:spacing w:val="13"/>
        </w:rPr>
        <w:t xml:space="preserve"> </w:t>
      </w:r>
      <w:r>
        <w:t>goal</w:t>
      </w:r>
      <w:r>
        <w:rPr>
          <w:spacing w:val="14"/>
        </w:rPr>
        <w:t xml:space="preserve"> </w:t>
      </w:r>
      <w:r>
        <w:rPr>
          <w:spacing w:val="1"/>
        </w:rPr>
        <w:t>of</w:t>
      </w:r>
      <w:r>
        <w:rPr>
          <w:spacing w:val="14"/>
        </w:rPr>
        <w:t xml:space="preserve"> </w:t>
      </w:r>
      <w:r>
        <w:t>your</w:t>
      </w:r>
      <w:r>
        <w:rPr>
          <w:spacing w:val="14"/>
        </w:rPr>
        <w:t xml:space="preserve"> </w:t>
      </w:r>
      <w:r>
        <w:rPr>
          <w:spacing w:val="1"/>
        </w:rPr>
        <w:t>o</w:t>
      </w:r>
      <w:r>
        <w:t>rgani</w:t>
      </w:r>
      <w:r>
        <w:rPr>
          <w:spacing w:val="-1"/>
        </w:rPr>
        <w:t>z</w:t>
      </w:r>
      <w:r>
        <w:t>ation/group</w:t>
      </w:r>
      <w:r>
        <w:rPr>
          <w:spacing w:val="17"/>
        </w:rPr>
        <w:t xml:space="preserve"> </w:t>
      </w:r>
      <w:r>
        <w:t>in</w:t>
      </w:r>
      <w:r>
        <w:rPr>
          <w:spacing w:val="14"/>
        </w:rPr>
        <w:t xml:space="preserve"> </w:t>
      </w:r>
      <w:r w:rsidR="00DD30DC">
        <w:rPr>
          <w:spacing w:val="-1"/>
        </w:rPr>
        <w:t>management</w:t>
      </w:r>
      <w:r>
        <w:t xml:space="preserve"> process?</w:t>
      </w:r>
      <w:r>
        <w:rPr>
          <w:spacing w:val="14"/>
        </w:rPr>
        <w:t xml:space="preserve"> </w:t>
      </w:r>
      <w:r>
        <w:t>Ec</w:t>
      </w:r>
      <w:r>
        <w:rPr>
          <w:spacing w:val="1"/>
        </w:rPr>
        <w:t>o</w:t>
      </w:r>
      <w:r>
        <w:rPr>
          <w:spacing w:val="-1"/>
        </w:rPr>
        <w:t>n</w:t>
      </w:r>
      <w:r>
        <w:t>om</w:t>
      </w:r>
      <w:r>
        <w:rPr>
          <w:spacing w:val="-1"/>
        </w:rPr>
        <w:t>i</w:t>
      </w:r>
      <w:r>
        <w:t>c,</w:t>
      </w:r>
      <w:r>
        <w:rPr>
          <w:spacing w:val="17"/>
        </w:rPr>
        <w:t xml:space="preserve"> </w:t>
      </w:r>
      <w:r>
        <w:rPr>
          <w:spacing w:val="-2"/>
        </w:rPr>
        <w:t>S</w:t>
      </w:r>
      <w:r>
        <w:rPr>
          <w:spacing w:val="1"/>
        </w:rPr>
        <w:t>o</w:t>
      </w:r>
      <w:r>
        <w:t>cio-cultural,</w:t>
      </w:r>
      <w:r>
        <w:rPr>
          <w:spacing w:val="14"/>
        </w:rPr>
        <w:t xml:space="preserve"> </w:t>
      </w:r>
      <w:r>
        <w:rPr>
          <w:spacing w:val="1"/>
        </w:rPr>
        <w:t>or</w:t>
      </w:r>
      <w:r>
        <w:t xml:space="preserve"> enviro</w:t>
      </w:r>
      <w:r>
        <w:rPr>
          <w:spacing w:val="-1"/>
        </w:rPr>
        <w:t>n</w:t>
      </w:r>
      <w:r>
        <w:t>me</w:t>
      </w:r>
      <w:r>
        <w:rPr>
          <w:spacing w:val="-2"/>
        </w:rPr>
        <w:t>n</w:t>
      </w:r>
      <w:r>
        <w:t>tal?</w:t>
      </w:r>
      <w:r>
        <w:rPr>
          <w:spacing w:val="1"/>
        </w:rPr>
        <w:t xml:space="preserve"> </w:t>
      </w:r>
      <w:r>
        <w:t>A</w:t>
      </w:r>
      <w:r>
        <w:rPr>
          <w:spacing w:val="-1"/>
        </w:rPr>
        <w:t>n</w:t>
      </w:r>
      <w:r>
        <w:t>d</w:t>
      </w:r>
      <w:r>
        <w:rPr>
          <w:spacing w:val="-1"/>
        </w:rPr>
        <w:t xml:space="preserve"> </w:t>
      </w:r>
      <w:r>
        <w:t>why</w:t>
      </w:r>
      <w:r>
        <w:rPr>
          <w:spacing w:val="-1"/>
        </w:rPr>
        <w:t xml:space="preserve"> </w:t>
      </w:r>
      <w:r>
        <w:rPr>
          <w:spacing w:val="-2"/>
        </w:rPr>
        <w:t>t</w:t>
      </w:r>
      <w:r>
        <w:rPr>
          <w:spacing w:val="-1"/>
        </w:rPr>
        <w:t>h</w:t>
      </w:r>
      <w:r>
        <w:t xml:space="preserve">ese </w:t>
      </w:r>
      <w:r>
        <w:rPr>
          <w:spacing w:val="-2"/>
        </w:rPr>
        <w:t>g</w:t>
      </w:r>
      <w:r>
        <w:rPr>
          <w:spacing w:val="1"/>
        </w:rPr>
        <w:t>o</w:t>
      </w:r>
      <w:r>
        <w:t>al/</w:t>
      </w:r>
      <w:r>
        <w:rPr>
          <w:spacing w:val="-2"/>
        </w:rPr>
        <w:t>g</w:t>
      </w:r>
      <w:r>
        <w:rPr>
          <w:spacing w:val="1"/>
        </w:rPr>
        <w:t>o</w:t>
      </w:r>
      <w:r>
        <w:t>als a</w:t>
      </w:r>
      <w:r>
        <w:rPr>
          <w:spacing w:val="-2"/>
        </w:rPr>
        <w:t>r</w:t>
      </w:r>
      <w:r>
        <w:t xml:space="preserve">e </w:t>
      </w:r>
      <w:r>
        <w:rPr>
          <w:spacing w:val="-2"/>
        </w:rPr>
        <w:t>i</w:t>
      </w:r>
      <w:r>
        <w:t>mp</w:t>
      </w:r>
      <w:r>
        <w:rPr>
          <w:spacing w:val="1"/>
        </w:rPr>
        <w:t>o</w:t>
      </w:r>
      <w:r>
        <w:t>r</w:t>
      </w:r>
      <w:r>
        <w:rPr>
          <w:spacing w:val="-1"/>
        </w:rPr>
        <w:t>t</w:t>
      </w:r>
      <w:r>
        <w:t>a</w:t>
      </w:r>
      <w:r>
        <w:rPr>
          <w:spacing w:val="-1"/>
        </w:rPr>
        <w:t>n</w:t>
      </w:r>
      <w:r>
        <w:t>t f</w:t>
      </w:r>
      <w:r>
        <w:rPr>
          <w:spacing w:val="1"/>
        </w:rPr>
        <w:t>o</w:t>
      </w:r>
      <w:r>
        <w:t>r</w:t>
      </w:r>
      <w:r>
        <w:rPr>
          <w:spacing w:val="-2"/>
        </w:rPr>
        <w:t xml:space="preserve"> </w:t>
      </w:r>
      <w:r>
        <w:rPr>
          <w:spacing w:val="-1"/>
        </w:rPr>
        <w:t>y</w:t>
      </w:r>
      <w:r>
        <w:t xml:space="preserve">our </w:t>
      </w:r>
      <w:r>
        <w:rPr>
          <w:spacing w:val="1"/>
        </w:rPr>
        <w:t>o</w:t>
      </w:r>
      <w:r>
        <w:t>rgani</w:t>
      </w:r>
      <w:r>
        <w:rPr>
          <w:spacing w:val="-1"/>
        </w:rPr>
        <w:t>z</w:t>
      </w:r>
      <w:r>
        <w:t>at</w:t>
      </w:r>
      <w:r>
        <w:rPr>
          <w:spacing w:val="-2"/>
        </w:rPr>
        <w:t>i</w:t>
      </w:r>
      <w:r>
        <w:t xml:space="preserve">on? </w:t>
      </w:r>
      <w:r>
        <w:rPr>
          <w:rFonts w:ascii="MS Gothic" w:eastAsia="MS Gothic" w:hAnsi="MS Gothic" w:cs="MS Gothic" w:hint="eastAsia"/>
          <w:spacing w:val="50"/>
        </w:rPr>
        <w:t>☐</w:t>
      </w:r>
      <w:r>
        <w:rPr>
          <w:spacing w:val="-1"/>
        </w:rPr>
        <w:t>E</w:t>
      </w:r>
      <w:r>
        <w:t>con</w:t>
      </w:r>
      <w:r>
        <w:rPr>
          <w:spacing w:val="-1"/>
        </w:rPr>
        <w:t>o</w:t>
      </w:r>
      <w:r>
        <w:t>mic</w:t>
      </w:r>
      <w:r>
        <w:tab/>
      </w:r>
      <w:r>
        <w:rPr>
          <w:rFonts w:ascii="MS Gothic" w:eastAsia="MS Gothic" w:hAnsi="MS Gothic" w:cs="MS Gothic" w:hint="eastAsia"/>
          <w:spacing w:val="50"/>
        </w:rPr>
        <w:t>☐</w:t>
      </w:r>
      <w:r>
        <w:t>S</w:t>
      </w:r>
      <w:r>
        <w:rPr>
          <w:spacing w:val="1"/>
        </w:rPr>
        <w:t>o</w:t>
      </w:r>
      <w:r>
        <w:t>cio-cultural</w:t>
      </w:r>
      <w:r>
        <w:tab/>
      </w:r>
      <w:r>
        <w:rPr>
          <w:rFonts w:ascii="MS Gothic" w:eastAsia="MS Gothic" w:hAnsi="MS Gothic" w:cs="MS Gothic" w:hint="eastAsia"/>
          <w:spacing w:val="50"/>
        </w:rPr>
        <w:t>☐</w:t>
      </w:r>
      <w:r>
        <w:t>E</w:t>
      </w:r>
      <w:r>
        <w:rPr>
          <w:spacing w:val="-1"/>
        </w:rPr>
        <w:t>n</w:t>
      </w:r>
      <w:r>
        <w:t>viro</w:t>
      </w:r>
      <w:r>
        <w:rPr>
          <w:spacing w:val="-1"/>
        </w:rPr>
        <w:t>n</w:t>
      </w:r>
      <w:r>
        <w:t>m</w:t>
      </w:r>
      <w:r>
        <w:rPr>
          <w:spacing w:val="-1"/>
        </w:rPr>
        <w:t>e</w:t>
      </w:r>
      <w:r>
        <w:t>nt Rea</w:t>
      </w:r>
      <w:r>
        <w:rPr>
          <w:spacing w:val="-1"/>
        </w:rPr>
        <w:t>s</w:t>
      </w:r>
      <w:r>
        <w:t>on</w:t>
      </w:r>
    </w:p>
    <w:p w14:paraId="090D7AAF" w14:textId="77777777" w:rsidR="00005007" w:rsidRDefault="00005007" w:rsidP="00772DAC">
      <w:pPr>
        <w:ind w:left="0" w:firstLine="0"/>
        <w:rPr>
          <w:spacing w:val="65"/>
        </w:rPr>
      </w:pPr>
      <w:r>
        <w:t>14.</w:t>
      </w:r>
      <w:r>
        <w:rPr>
          <w:spacing w:val="65"/>
        </w:rPr>
        <w:t xml:space="preserve"> </w:t>
      </w:r>
      <w:r>
        <w:t>Which stakeholders are present in the forest reserve</w:t>
      </w:r>
      <w:r>
        <w:rPr>
          <w:spacing w:val="65"/>
        </w:rPr>
        <w:t xml:space="preserve"> </w:t>
      </w:r>
    </w:p>
    <w:p w14:paraId="65283A41" w14:textId="77777777" w:rsidR="00005007" w:rsidRDefault="00005007" w:rsidP="00772DAC">
      <w:pPr>
        <w:ind w:left="0" w:firstLine="0"/>
      </w:pPr>
      <w:r>
        <w:t>15. Who</w:t>
      </w:r>
      <w:r>
        <w:rPr>
          <w:spacing w:val="18"/>
        </w:rPr>
        <w:t xml:space="preserve"> </w:t>
      </w:r>
      <w:r>
        <w:t>are</w:t>
      </w:r>
      <w:r>
        <w:rPr>
          <w:spacing w:val="19"/>
        </w:rPr>
        <w:t xml:space="preserve"> </w:t>
      </w:r>
      <w:r>
        <w:t>the</w:t>
      </w:r>
      <w:r>
        <w:rPr>
          <w:spacing w:val="17"/>
        </w:rPr>
        <w:t xml:space="preserve"> </w:t>
      </w:r>
      <w:r>
        <w:rPr>
          <w:spacing w:val="-1"/>
        </w:rPr>
        <w:t>s</w:t>
      </w:r>
      <w:r>
        <w:t>take</w:t>
      </w:r>
      <w:r>
        <w:rPr>
          <w:spacing w:val="-3"/>
        </w:rPr>
        <w:t>h</w:t>
      </w:r>
      <w:r>
        <w:t>olders</w:t>
      </w:r>
      <w:r>
        <w:rPr>
          <w:spacing w:val="20"/>
        </w:rPr>
        <w:t xml:space="preserve"> you or </w:t>
      </w:r>
      <w:r>
        <w:rPr>
          <w:spacing w:val="-1"/>
        </w:rPr>
        <w:t>y</w:t>
      </w:r>
      <w:r>
        <w:t>our</w:t>
      </w:r>
      <w:r>
        <w:rPr>
          <w:spacing w:val="17"/>
        </w:rPr>
        <w:t xml:space="preserve"> </w:t>
      </w:r>
      <w:r>
        <w:t>organisa</w:t>
      </w:r>
      <w:r>
        <w:rPr>
          <w:spacing w:val="-1"/>
        </w:rPr>
        <w:t>t</w:t>
      </w:r>
      <w:r>
        <w:t>ion/group</w:t>
      </w:r>
      <w:r>
        <w:rPr>
          <w:spacing w:val="19"/>
        </w:rPr>
        <w:t xml:space="preserve"> </w:t>
      </w:r>
      <w:r>
        <w:t>usually have</w:t>
      </w:r>
      <w:r>
        <w:rPr>
          <w:spacing w:val="19"/>
        </w:rPr>
        <w:t xml:space="preserve"> </w:t>
      </w:r>
      <w:r>
        <w:t>fac</w:t>
      </w:r>
      <w:r>
        <w:rPr>
          <w:spacing w:val="6"/>
        </w:rPr>
        <w:t>e</w:t>
      </w:r>
      <w:r>
        <w:t>-</w:t>
      </w:r>
      <w:r>
        <w:rPr>
          <w:spacing w:val="-1"/>
        </w:rPr>
        <w:t>t</w:t>
      </w:r>
      <w:r>
        <w:t>o-face dialog</w:t>
      </w:r>
      <w:r>
        <w:rPr>
          <w:spacing w:val="-1"/>
        </w:rPr>
        <w:t>u</w:t>
      </w:r>
      <w:r>
        <w:t>es w</w:t>
      </w:r>
      <w:r>
        <w:rPr>
          <w:spacing w:val="-2"/>
        </w:rPr>
        <w:t>i</w:t>
      </w:r>
      <w:r>
        <w:t>th duri</w:t>
      </w:r>
      <w:r>
        <w:rPr>
          <w:spacing w:val="-1"/>
        </w:rPr>
        <w:t>n</w:t>
      </w:r>
      <w:r>
        <w:t xml:space="preserve">g the </w:t>
      </w:r>
      <w:r w:rsidR="00DD30DC">
        <w:t>management</w:t>
      </w:r>
      <w:r>
        <w:t xml:space="preserve"> p</w:t>
      </w:r>
      <w:r>
        <w:rPr>
          <w:spacing w:val="-2"/>
        </w:rPr>
        <w:t>r</w:t>
      </w:r>
      <w:r>
        <w:t>oc</w:t>
      </w:r>
      <w:r>
        <w:rPr>
          <w:spacing w:val="-1"/>
        </w:rPr>
        <w:t>e</w:t>
      </w:r>
      <w:r>
        <w:t>ss?</w:t>
      </w:r>
    </w:p>
    <w:p w14:paraId="534FAFAC" w14:textId="77777777" w:rsidR="00005007" w:rsidRDefault="00005007" w:rsidP="00772DAC">
      <w:pPr>
        <w:ind w:left="0" w:firstLine="0"/>
      </w:pPr>
      <w:r>
        <w:lastRenderedPageBreak/>
        <w:t>16. H</w:t>
      </w:r>
      <w:r>
        <w:rPr>
          <w:spacing w:val="1"/>
        </w:rPr>
        <w:t>o</w:t>
      </w:r>
      <w:r>
        <w:t>w</w:t>
      </w:r>
      <w:r>
        <w:rPr>
          <w:spacing w:val="46"/>
        </w:rPr>
        <w:t xml:space="preserve"> </w:t>
      </w:r>
      <w:r>
        <w:rPr>
          <w:spacing w:val="1"/>
        </w:rPr>
        <w:t>o</w:t>
      </w:r>
      <w:r>
        <w:t>f</w:t>
      </w:r>
      <w:r>
        <w:rPr>
          <w:spacing w:val="-1"/>
        </w:rPr>
        <w:t>t</w:t>
      </w:r>
      <w:r>
        <w:t>en</w:t>
      </w:r>
      <w:r>
        <w:rPr>
          <w:spacing w:val="48"/>
        </w:rPr>
        <w:t xml:space="preserve"> </w:t>
      </w:r>
      <w:r>
        <w:t>are</w:t>
      </w:r>
      <w:r>
        <w:rPr>
          <w:spacing w:val="45"/>
        </w:rPr>
        <w:t xml:space="preserve"> </w:t>
      </w:r>
      <w:r>
        <w:t>those</w:t>
      </w:r>
      <w:r>
        <w:rPr>
          <w:spacing w:val="48"/>
        </w:rPr>
        <w:t xml:space="preserve"> </w:t>
      </w:r>
      <w:r>
        <w:t>f</w:t>
      </w:r>
      <w:r>
        <w:rPr>
          <w:spacing w:val="-1"/>
        </w:rPr>
        <w:t>a</w:t>
      </w:r>
      <w:r>
        <w:t>ce-to-fa</w:t>
      </w:r>
      <w:r>
        <w:rPr>
          <w:spacing w:val="-1"/>
        </w:rPr>
        <w:t>c</w:t>
      </w:r>
      <w:r>
        <w:t>e</w:t>
      </w:r>
      <w:r>
        <w:rPr>
          <w:spacing w:val="48"/>
        </w:rPr>
        <w:t xml:space="preserve"> </w:t>
      </w:r>
      <w:r>
        <w:t>dialogu</w:t>
      </w:r>
      <w:r>
        <w:rPr>
          <w:spacing w:val="-2"/>
        </w:rPr>
        <w:t>e</w:t>
      </w:r>
      <w:r>
        <w:t>s</w:t>
      </w:r>
      <w:r>
        <w:rPr>
          <w:spacing w:val="48"/>
        </w:rPr>
        <w:t xml:space="preserve"> </w:t>
      </w:r>
      <w:r>
        <w:rPr>
          <w:spacing w:val="-1"/>
        </w:rPr>
        <w:t>c</w:t>
      </w:r>
      <w:r>
        <w:t>ondu</w:t>
      </w:r>
      <w:r>
        <w:rPr>
          <w:spacing w:val="-2"/>
        </w:rPr>
        <w:t>c</w:t>
      </w:r>
      <w:r>
        <w:t>ted?</w:t>
      </w:r>
      <w:r>
        <w:rPr>
          <w:spacing w:val="50"/>
        </w:rPr>
        <w:t xml:space="preserve"> </w:t>
      </w:r>
    </w:p>
    <w:p w14:paraId="33132E14" w14:textId="77777777" w:rsidR="00005007" w:rsidRDefault="00005007" w:rsidP="00772DAC">
      <w:pPr>
        <w:ind w:left="0" w:firstLine="0"/>
      </w:pPr>
      <w:r>
        <w:rPr>
          <w:rFonts w:ascii="MS Gothic" w:eastAsia="MS Gothic" w:hAnsi="MS Gothic" w:cs="MS Gothic" w:hint="eastAsia"/>
          <w:spacing w:val="50"/>
        </w:rPr>
        <w:t>☐</w:t>
      </w:r>
      <w:r>
        <w:t>Once</w:t>
      </w:r>
      <w:r>
        <w:rPr>
          <w:spacing w:val="-2"/>
        </w:rPr>
        <w:t xml:space="preserve"> </w:t>
      </w:r>
      <w:r>
        <w:t xml:space="preserve">a </w:t>
      </w:r>
      <w:r>
        <w:rPr>
          <w:spacing w:val="-1"/>
        </w:rPr>
        <w:t>w</w:t>
      </w:r>
      <w:r>
        <w:t>e</w:t>
      </w:r>
      <w:r>
        <w:rPr>
          <w:spacing w:val="-2"/>
        </w:rPr>
        <w:t>e</w:t>
      </w:r>
      <w:r>
        <w:rPr>
          <w:spacing w:val="-1"/>
        </w:rPr>
        <w:t>k</w:t>
      </w:r>
      <w:r>
        <w:tab/>
      </w:r>
      <w:r>
        <w:rPr>
          <w:rFonts w:ascii="MS Gothic" w:eastAsia="MS Gothic" w:hAnsi="MS Gothic" w:cs="MS Gothic" w:hint="eastAsia"/>
          <w:spacing w:val="50"/>
        </w:rPr>
        <w:t>☐</w:t>
      </w:r>
      <w:r>
        <w:t>On</w:t>
      </w:r>
      <w:r>
        <w:rPr>
          <w:spacing w:val="-1"/>
        </w:rPr>
        <w:t>c</w:t>
      </w:r>
      <w:r>
        <w:t xml:space="preserve">e a </w:t>
      </w:r>
      <w:r>
        <w:rPr>
          <w:spacing w:val="-1"/>
        </w:rPr>
        <w:t>m</w:t>
      </w:r>
      <w:r>
        <w:t>onth</w:t>
      </w:r>
      <w:r>
        <w:rPr>
          <w:spacing w:val="-1"/>
        </w:rPr>
        <w:t xml:space="preserve"> or more</w:t>
      </w:r>
      <w:r>
        <w:tab/>
      </w:r>
      <w:r>
        <w:rPr>
          <w:rFonts w:ascii="MS Gothic" w:eastAsia="MS Gothic" w:hAnsi="MS Gothic" w:cs="MS Gothic" w:hint="eastAsia"/>
          <w:spacing w:val="47"/>
        </w:rPr>
        <w:t>☐</w:t>
      </w:r>
      <w:r>
        <w:t>A f</w:t>
      </w:r>
      <w:r>
        <w:rPr>
          <w:spacing w:val="-1"/>
        </w:rPr>
        <w:t>e</w:t>
      </w:r>
      <w:r>
        <w:t>w t</w:t>
      </w:r>
      <w:r>
        <w:rPr>
          <w:spacing w:val="-2"/>
        </w:rPr>
        <w:t>i</w:t>
      </w:r>
      <w:r>
        <w:t>m</w:t>
      </w:r>
      <w:r>
        <w:rPr>
          <w:spacing w:val="-1"/>
        </w:rPr>
        <w:t>e</w:t>
      </w:r>
      <w:r>
        <w:t>s a year</w:t>
      </w:r>
      <w:r>
        <w:tab/>
      </w:r>
      <w:r>
        <w:rPr>
          <w:rFonts w:ascii="MS Gothic" w:eastAsia="MS Gothic" w:hAnsi="MS Gothic" w:cs="MS Gothic" w:hint="eastAsia"/>
          <w:spacing w:val="50"/>
        </w:rPr>
        <w:t>☐</w:t>
      </w:r>
      <w:r>
        <w:t>O</w:t>
      </w:r>
      <w:r>
        <w:rPr>
          <w:spacing w:val="-1"/>
        </w:rPr>
        <w:t>n</w:t>
      </w:r>
      <w:r>
        <w:t>ce a</w:t>
      </w:r>
      <w:r>
        <w:rPr>
          <w:spacing w:val="-1"/>
        </w:rPr>
        <w:t xml:space="preserve"> </w:t>
      </w:r>
      <w:r>
        <w:t>y</w:t>
      </w:r>
      <w:r>
        <w:rPr>
          <w:spacing w:val="-1"/>
        </w:rPr>
        <w:t>e</w:t>
      </w:r>
      <w:r>
        <w:t>ar Rea</w:t>
      </w:r>
      <w:r>
        <w:rPr>
          <w:spacing w:val="-1"/>
        </w:rPr>
        <w:t>s</w:t>
      </w:r>
      <w:r>
        <w:t>on:</w:t>
      </w:r>
    </w:p>
    <w:p w14:paraId="01DB91E2" w14:textId="77777777" w:rsidR="00005007" w:rsidRDefault="00005007" w:rsidP="00772DAC">
      <w:pPr>
        <w:ind w:left="0" w:firstLine="0"/>
      </w:pPr>
      <w:r>
        <w:rPr>
          <w:szCs w:val="24"/>
        </w:rPr>
        <w:t xml:space="preserve">17. </w:t>
      </w:r>
      <w:r>
        <w:rPr>
          <w:spacing w:val="-1"/>
        </w:rPr>
        <w:t>H</w:t>
      </w:r>
      <w:r>
        <w:t>ow</w:t>
      </w:r>
      <w:r>
        <w:rPr>
          <w:spacing w:val="46"/>
        </w:rPr>
        <w:t xml:space="preserve"> </w:t>
      </w:r>
      <w:r>
        <w:rPr>
          <w:spacing w:val="-1"/>
        </w:rPr>
        <w:t>w</w:t>
      </w:r>
      <w:r>
        <w:t>ould</w:t>
      </w:r>
      <w:r>
        <w:rPr>
          <w:spacing w:val="47"/>
        </w:rPr>
        <w:t xml:space="preserve"> </w:t>
      </w:r>
      <w:r>
        <w:t>you</w:t>
      </w:r>
      <w:r>
        <w:rPr>
          <w:spacing w:val="48"/>
        </w:rPr>
        <w:t xml:space="preserve"> </w:t>
      </w:r>
      <w:r>
        <w:t>de</w:t>
      </w:r>
      <w:r>
        <w:rPr>
          <w:spacing w:val="-1"/>
        </w:rPr>
        <w:t>s</w:t>
      </w:r>
      <w:r>
        <w:t>cri</w:t>
      </w:r>
      <w:r>
        <w:rPr>
          <w:spacing w:val="-1"/>
        </w:rPr>
        <w:t>b</w:t>
      </w:r>
      <w:r>
        <w:t>e</w:t>
      </w:r>
      <w:r>
        <w:rPr>
          <w:spacing w:val="48"/>
        </w:rPr>
        <w:t xml:space="preserve"> </w:t>
      </w:r>
      <w:r>
        <w:t>the</w:t>
      </w:r>
      <w:r>
        <w:rPr>
          <w:spacing w:val="46"/>
        </w:rPr>
        <w:t xml:space="preserve"> </w:t>
      </w:r>
      <w:r>
        <w:t>quality</w:t>
      </w:r>
      <w:r>
        <w:rPr>
          <w:spacing w:val="46"/>
        </w:rPr>
        <w:t xml:space="preserve"> </w:t>
      </w:r>
      <w:r>
        <w:rPr>
          <w:spacing w:val="1"/>
        </w:rPr>
        <w:t>of</w:t>
      </w:r>
      <w:r>
        <w:t xml:space="preserve"> i</w:t>
      </w:r>
      <w:r>
        <w:rPr>
          <w:spacing w:val="-1"/>
        </w:rPr>
        <w:t>n</w:t>
      </w:r>
      <w:r>
        <w:t>teract</w:t>
      </w:r>
      <w:r>
        <w:rPr>
          <w:spacing w:val="-2"/>
        </w:rPr>
        <w:t>i</w:t>
      </w:r>
      <w:r>
        <w:t>ons (conflictua</w:t>
      </w:r>
      <w:r>
        <w:rPr>
          <w:spacing w:val="-2"/>
        </w:rPr>
        <w:t>l</w:t>
      </w:r>
      <w:r>
        <w:t>/p</w:t>
      </w:r>
      <w:r>
        <w:rPr>
          <w:spacing w:val="-2"/>
        </w:rPr>
        <w:t>r</w:t>
      </w:r>
      <w:r>
        <w:t>oducti</w:t>
      </w:r>
      <w:r>
        <w:rPr>
          <w:spacing w:val="-1"/>
        </w:rPr>
        <w:t>v</w:t>
      </w:r>
      <w:r>
        <w:t>e) among</w:t>
      </w:r>
      <w:r>
        <w:rPr>
          <w:spacing w:val="-1"/>
        </w:rPr>
        <w:t xml:space="preserve"> </w:t>
      </w:r>
      <w:r>
        <w:t>partic</w:t>
      </w:r>
      <w:r>
        <w:rPr>
          <w:spacing w:val="-1"/>
        </w:rPr>
        <w:t>ip</w:t>
      </w:r>
      <w:r>
        <w:rPr>
          <w:spacing w:val="-2"/>
        </w:rPr>
        <w:t>a</w:t>
      </w:r>
      <w:r>
        <w:t xml:space="preserve">nts in the </w:t>
      </w:r>
      <w:r>
        <w:rPr>
          <w:spacing w:val="-1"/>
        </w:rPr>
        <w:t>f</w:t>
      </w:r>
      <w:r>
        <w:t>ac</w:t>
      </w:r>
      <w:r>
        <w:rPr>
          <w:spacing w:val="2"/>
        </w:rPr>
        <w:t>e</w:t>
      </w:r>
      <w:r>
        <w:t>-</w:t>
      </w:r>
      <w:r>
        <w:rPr>
          <w:spacing w:val="-1"/>
        </w:rPr>
        <w:t>t</w:t>
      </w:r>
      <w:r>
        <w:t>o-fa</w:t>
      </w:r>
      <w:r>
        <w:rPr>
          <w:spacing w:val="-2"/>
        </w:rPr>
        <w:t>c</w:t>
      </w:r>
      <w:r>
        <w:t>e</w:t>
      </w:r>
      <w:r>
        <w:rPr>
          <w:spacing w:val="-2"/>
        </w:rPr>
        <w:t xml:space="preserve"> </w:t>
      </w:r>
      <w:r>
        <w:t>m</w:t>
      </w:r>
      <w:r>
        <w:rPr>
          <w:spacing w:val="-1"/>
        </w:rPr>
        <w:t>e</w:t>
      </w:r>
      <w:r>
        <w:rPr>
          <w:spacing w:val="-2"/>
        </w:rPr>
        <w:t>e</w:t>
      </w:r>
      <w:r>
        <w:t>ti</w:t>
      </w:r>
      <w:r>
        <w:rPr>
          <w:spacing w:val="-1"/>
        </w:rPr>
        <w:t>n</w:t>
      </w:r>
      <w:r>
        <w:t>gs? Provide reasons for your answer</w:t>
      </w:r>
    </w:p>
    <w:p w14:paraId="5F782BB2" w14:textId="77777777" w:rsidR="00005007" w:rsidRDefault="00005007" w:rsidP="00772DAC">
      <w:pPr>
        <w:ind w:left="0" w:firstLine="0"/>
      </w:pPr>
      <w:r>
        <w:rPr>
          <w:szCs w:val="24"/>
        </w:rPr>
        <w:t xml:space="preserve">18. </w:t>
      </w:r>
      <w:r>
        <w:t>Cho</w:t>
      </w:r>
      <w:r>
        <w:rPr>
          <w:spacing w:val="1"/>
        </w:rPr>
        <w:t>o</w:t>
      </w:r>
      <w:r>
        <w:t>se</w:t>
      </w:r>
      <w:r>
        <w:rPr>
          <w:spacing w:val="57"/>
        </w:rPr>
        <w:t xml:space="preserve"> </w:t>
      </w:r>
      <w:r>
        <w:t>f</w:t>
      </w:r>
      <w:r>
        <w:rPr>
          <w:spacing w:val="-2"/>
        </w:rPr>
        <w:t>r</w:t>
      </w:r>
      <w:r>
        <w:rPr>
          <w:spacing w:val="-1"/>
        </w:rPr>
        <w:t>o</w:t>
      </w:r>
      <w:r>
        <w:t>m</w:t>
      </w:r>
      <w:r>
        <w:rPr>
          <w:spacing w:val="57"/>
        </w:rPr>
        <w:t xml:space="preserve"> </w:t>
      </w:r>
      <w:r>
        <w:t>the</w:t>
      </w:r>
      <w:r>
        <w:rPr>
          <w:spacing w:val="55"/>
        </w:rPr>
        <w:t xml:space="preserve"> </w:t>
      </w:r>
      <w:r>
        <w:t>sta</w:t>
      </w:r>
      <w:r>
        <w:rPr>
          <w:spacing w:val="-1"/>
        </w:rPr>
        <w:t>k</w:t>
      </w:r>
      <w:r>
        <w:t>eh</w:t>
      </w:r>
      <w:r>
        <w:rPr>
          <w:spacing w:val="-1"/>
        </w:rPr>
        <w:t>o</w:t>
      </w:r>
      <w:r>
        <w:t>l</w:t>
      </w:r>
      <w:r>
        <w:rPr>
          <w:spacing w:val="-1"/>
        </w:rPr>
        <w:t>d</w:t>
      </w:r>
      <w:r>
        <w:t>ers,</w:t>
      </w:r>
      <w:r>
        <w:rPr>
          <w:spacing w:val="55"/>
        </w:rPr>
        <w:t xml:space="preserve"> </w:t>
      </w:r>
      <w:r>
        <w:t>w</w:t>
      </w:r>
      <w:r>
        <w:rPr>
          <w:spacing w:val="-2"/>
        </w:rPr>
        <w:t>h</w:t>
      </w:r>
      <w:r>
        <w:t>o</w:t>
      </w:r>
      <w:r>
        <w:rPr>
          <w:spacing w:val="59"/>
        </w:rPr>
        <w:t xml:space="preserve"> </w:t>
      </w:r>
      <w:r>
        <w:t>a</w:t>
      </w:r>
      <w:r>
        <w:rPr>
          <w:spacing w:val="-2"/>
        </w:rPr>
        <w:t>r</w:t>
      </w:r>
      <w:r>
        <w:t>e</w:t>
      </w:r>
      <w:r>
        <w:rPr>
          <w:spacing w:val="55"/>
        </w:rPr>
        <w:t xml:space="preserve"> </w:t>
      </w:r>
      <w:r>
        <w:t>the</w:t>
      </w:r>
      <w:r>
        <w:rPr>
          <w:spacing w:val="55"/>
        </w:rPr>
        <w:t xml:space="preserve"> </w:t>
      </w:r>
      <w:r>
        <w:t>lead</w:t>
      </w:r>
      <w:r>
        <w:rPr>
          <w:spacing w:val="57"/>
        </w:rPr>
        <w:t xml:space="preserve"> </w:t>
      </w:r>
      <w:r>
        <w:rPr>
          <w:spacing w:val="-1"/>
        </w:rPr>
        <w:t>s</w:t>
      </w:r>
      <w:r>
        <w:t>ta</w:t>
      </w:r>
      <w:r>
        <w:rPr>
          <w:spacing w:val="-1"/>
        </w:rPr>
        <w:t>k</w:t>
      </w:r>
      <w:r>
        <w:t>eholders</w:t>
      </w:r>
      <w:r>
        <w:rPr>
          <w:spacing w:val="55"/>
        </w:rPr>
        <w:t xml:space="preserve"> </w:t>
      </w:r>
      <w:r>
        <w:t>that</w:t>
      </w:r>
      <w:r>
        <w:rPr>
          <w:spacing w:val="56"/>
        </w:rPr>
        <w:t xml:space="preserve"> </w:t>
      </w:r>
      <w:r>
        <w:rPr>
          <w:spacing w:val="-2"/>
        </w:rPr>
        <w:t>l</w:t>
      </w:r>
      <w:r>
        <w:t>ead</w:t>
      </w:r>
      <w:r>
        <w:rPr>
          <w:spacing w:val="58"/>
        </w:rPr>
        <w:t xml:space="preserve"> </w:t>
      </w:r>
      <w:r>
        <w:t>/</w:t>
      </w:r>
      <w:r>
        <w:rPr>
          <w:spacing w:val="57"/>
        </w:rPr>
        <w:t xml:space="preserve"> </w:t>
      </w:r>
      <w:r>
        <w:t>can</w:t>
      </w:r>
      <w:r>
        <w:rPr>
          <w:spacing w:val="55"/>
        </w:rPr>
        <w:t xml:space="preserve"> </w:t>
      </w:r>
      <w:r>
        <w:t>lead</w:t>
      </w:r>
      <w:r>
        <w:rPr>
          <w:spacing w:val="55"/>
        </w:rPr>
        <w:t xml:space="preserve"> </w:t>
      </w:r>
      <w:r>
        <w:t xml:space="preserve">the </w:t>
      </w:r>
      <w:r w:rsidR="00DD30DC">
        <w:t>management</w:t>
      </w:r>
      <w:r>
        <w:rPr>
          <w:spacing w:val="-2"/>
        </w:rPr>
        <w:t xml:space="preserve"> </w:t>
      </w:r>
      <w:r>
        <w:t>pro</w:t>
      </w:r>
      <w:r>
        <w:rPr>
          <w:spacing w:val="-1"/>
        </w:rPr>
        <w:t>c</w:t>
      </w:r>
      <w:r>
        <w:t>ess</w:t>
      </w:r>
      <w:r>
        <w:rPr>
          <w:spacing w:val="1"/>
        </w:rPr>
        <w:t xml:space="preserve"> </w:t>
      </w:r>
      <w:r>
        <w:t>in</w:t>
      </w:r>
      <w:r>
        <w:rPr>
          <w:spacing w:val="-2"/>
        </w:rPr>
        <w:t xml:space="preserve"> </w:t>
      </w:r>
      <w:r>
        <w:t>the reserve?</w:t>
      </w:r>
    </w:p>
    <w:p w14:paraId="20312608" w14:textId="77777777" w:rsidR="00005007" w:rsidRDefault="00005007" w:rsidP="00772DAC">
      <w:pPr>
        <w:ind w:left="0" w:firstLine="0"/>
      </w:pPr>
      <w:r>
        <w:rPr>
          <w:szCs w:val="24"/>
        </w:rPr>
        <w:t>19.</w:t>
      </w:r>
      <w:r>
        <w:t xml:space="preserve"> </w:t>
      </w:r>
      <w:r>
        <w:rPr>
          <w:spacing w:val="1"/>
        </w:rPr>
        <w:t>Do</w:t>
      </w:r>
      <w:r>
        <w:rPr>
          <w:spacing w:val="16"/>
        </w:rPr>
        <w:t xml:space="preserve"> </w:t>
      </w:r>
      <w:r>
        <w:t>you</w:t>
      </w:r>
      <w:r>
        <w:rPr>
          <w:spacing w:val="14"/>
        </w:rPr>
        <w:t xml:space="preserve"> </w:t>
      </w:r>
      <w:r>
        <w:t>think</w:t>
      </w:r>
      <w:r>
        <w:rPr>
          <w:spacing w:val="14"/>
        </w:rPr>
        <w:t xml:space="preserve"> </w:t>
      </w:r>
      <w:r>
        <w:t>there</w:t>
      </w:r>
      <w:r>
        <w:rPr>
          <w:spacing w:val="14"/>
        </w:rPr>
        <w:t xml:space="preserve"> </w:t>
      </w:r>
      <w:r>
        <w:t>is</w:t>
      </w:r>
      <w:r>
        <w:rPr>
          <w:spacing w:val="15"/>
        </w:rPr>
        <w:t xml:space="preserve"> </w:t>
      </w:r>
      <w:r>
        <w:t>en</w:t>
      </w:r>
      <w:r>
        <w:rPr>
          <w:spacing w:val="1"/>
        </w:rPr>
        <w:t>o</w:t>
      </w:r>
      <w:r>
        <w:rPr>
          <w:spacing w:val="-2"/>
        </w:rPr>
        <w:t>u</w:t>
      </w:r>
      <w:r>
        <w:rPr>
          <w:spacing w:val="-1"/>
        </w:rPr>
        <w:t>gh</w:t>
      </w:r>
      <w:r>
        <w:rPr>
          <w:spacing w:val="1"/>
        </w:rPr>
        <w:t>/</w:t>
      </w:r>
      <w:r>
        <w:t>str</w:t>
      </w:r>
      <w:r>
        <w:rPr>
          <w:spacing w:val="1"/>
        </w:rPr>
        <w:t>o</w:t>
      </w:r>
      <w:r>
        <w:t>ng</w:t>
      </w:r>
      <w:r>
        <w:rPr>
          <w:spacing w:val="14"/>
        </w:rPr>
        <w:t xml:space="preserve"> </w:t>
      </w:r>
      <w:r>
        <w:t>leade</w:t>
      </w:r>
      <w:r>
        <w:rPr>
          <w:spacing w:val="-2"/>
        </w:rPr>
        <w:t>r</w:t>
      </w:r>
      <w:r>
        <w:t>ship</w:t>
      </w:r>
      <w:r>
        <w:rPr>
          <w:spacing w:val="16"/>
        </w:rPr>
        <w:t xml:space="preserve"> </w:t>
      </w:r>
      <w:r>
        <w:t>in</w:t>
      </w:r>
      <w:r>
        <w:rPr>
          <w:spacing w:val="16"/>
        </w:rPr>
        <w:t xml:space="preserve"> </w:t>
      </w:r>
      <w:r>
        <w:t>th</w:t>
      </w:r>
      <w:r>
        <w:rPr>
          <w:spacing w:val="-2"/>
        </w:rPr>
        <w:t>i</w:t>
      </w:r>
      <w:r>
        <w:t>s</w:t>
      </w:r>
      <w:r>
        <w:rPr>
          <w:spacing w:val="17"/>
        </w:rPr>
        <w:t xml:space="preserve"> </w:t>
      </w:r>
      <w:r>
        <w:rPr>
          <w:spacing w:val="-1"/>
        </w:rPr>
        <w:t>c</w:t>
      </w:r>
      <w:r>
        <w:t>olla</w:t>
      </w:r>
      <w:r>
        <w:rPr>
          <w:spacing w:val="-1"/>
        </w:rPr>
        <w:t>b</w:t>
      </w:r>
      <w:r>
        <w:rPr>
          <w:spacing w:val="1"/>
        </w:rPr>
        <w:t>o</w:t>
      </w:r>
      <w:r>
        <w:t>r</w:t>
      </w:r>
      <w:r>
        <w:rPr>
          <w:spacing w:val="-2"/>
        </w:rPr>
        <w:t>a</w:t>
      </w:r>
      <w:r>
        <w:t>tive</w:t>
      </w:r>
      <w:r>
        <w:rPr>
          <w:spacing w:val="14"/>
        </w:rPr>
        <w:t xml:space="preserve"> </w:t>
      </w:r>
      <w:r>
        <w:t>p</w:t>
      </w:r>
      <w:r>
        <w:rPr>
          <w:spacing w:val="-1"/>
        </w:rPr>
        <w:t>r</w:t>
      </w:r>
      <w:r>
        <w:t>oce</w:t>
      </w:r>
      <w:r>
        <w:rPr>
          <w:spacing w:val="-2"/>
        </w:rPr>
        <w:t>s</w:t>
      </w:r>
      <w:r>
        <w:t xml:space="preserve">s? </w:t>
      </w:r>
    </w:p>
    <w:p w14:paraId="7CB994A9" w14:textId="768923F5" w:rsidR="00CD3180" w:rsidRPr="00CD3180" w:rsidRDefault="00005007" w:rsidP="00CD3180">
      <w:pPr>
        <w:ind w:left="0" w:firstLine="0"/>
      </w:pPr>
      <w:r>
        <w:t>Yes … No.</w:t>
      </w:r>
      <w:r>
        <w:rPr>
          <w:spacing w:val="16"/>
        </w:rPr>
        <w:t xml:space="preserve"> </w:t>
      </w:r>
    </w:p>
    <w:p w14:paraId="798FD0A5" w14:textId="77777777" w:rsidR="002F7865" w:rsidRDefault="00005007" w:rsidP="002F7865">
      <w:pPr>
        <w:ind w:left="0" w:firstLine="0"/>
      </w:pPr>
      <w:r>
        <w:t>20.</w:t>
      </w:r>
      <w:r w:rsidR="002F7865">
        <w:t xml:space="preserve"> Who makes decisions related to local development in your area?</w:t>
      </w:r>
    </w:p>
    <w:p w14:paraId="1D4455AF" w14:textId="13C65443" w:rsidR="002F7865" w:rsidRDefault="002F7865" w:rsidP="002F7865">
      <w:pPr>
        <w:pStyle w:val="ListParagraph"/>
        <w:numPr>
          <w:ilvl w:val="0"/>
          <w:numId w:val="38"/>
        </w:numPr>
        <w:spacing w:line="480" w:lineRule="auto"/>
      </w:pPr>
      <w:r>
        <w:t>Have you participated in any decision-making activities in your area?</w:t>
      </w:r>
    </w:p>
    <w:p w14:paraId="6197EB45" w14:textId="7A135360" w:rsidR="002F7865" w:rsidRDefault="002F7865" w:rsidP="002F7865">
      <w:pPr>
        <w:pStyle w:val="ListParagraph"/>
        <w:numPr>
          <w:ilvl w:val="0"/>
          <w:numId w:val="38"/>
        </w:numPr>
        <w:spacing w:line="480" w:lineRule="auto"/>
      </w:pPr>
      <w:r>
        <w:t>Do you feel that you were able to influence decisions about development in your area through these forums?</w:t>
      </w:r>
    </w:p>
    <w:p w14:paraId="1C29A7F6" w14:textId="099A7392" w:rsidR="002F7865" w:rsidRDefault="002F7865" w:rsidP="002F7865">
      <w:pPr>
        <w:pStyle w:val="ListParagraph"/>
        <w:numPr>
          <w:ilvl w:val="0"/>
          <w:numId w:val="38"/>
        </w:numPr>
        <w:spacing w:line="480" w:lineRule="auto"/>
      </w:pPr>
      <w:r>
        <w:t xml:space="preserve">Has the way in which decisions related to development are made in your area changed during the past 5 years? </w:t>
      </w:r>
    </w:p>
    <w:p w14:paraId="051D3F72" w14:textId="77777777" w:rsidR="002F7865" w:rsidRDefault="002F7865" w:rsidP="002F7865">
      <w:pPr>
        <w:pStyle w:val="ListParagraph"/>
        <w:numPr>
          <w:ilvl w:val="0"/>
          <w:numId w:val="38"/>
        </w:numPr>
        <w:spacing w:line="480" w:lineRule="auto"/>
      </w:pPr>
      <w:r>
        <w:t>Do you feel that there are any forums in your where you are not invited to attend or participate?</w:t>
      </w:r>
    </w:p>
    <w:p w14:paraId="4E1798EF" w14:textId="77777777" w:rsidR="002F7865" w:rsidRDefault="002F7865" w:rsidP="002F7865">
      <w:pPr>
        <w:pStyle w:val="ListParagraph"/>
        <w:numPr>
          <w:ilvl w:val="0"/>
          <w:numId w:val="38"/>
        </w:numPr>
        <w:spacing w:line="480" w:lineRule="auto"/>
      </w:pPr>
      <w:r>
        <w:t>Are there any development planning forums being organized by community members without waiting for the government?</w:t>
      </w:r>
    </w:p>
    <w:p w14:paraId="7A52DC37" w14:textId="77777777" w:rsidR="002F7865" w:rsidRDefault="002F7865" w:rsidP="002F7865">
      <w:pPr>
        <w:pStyle w:val="ListParagraph"/>
        <w:numPr>
          <w:ilvl w:val="0"/>
          <w:numId w:val="38"/>
        </w:numPr>
        <w:spacing w:line="480" w:lineRule="auto"/>
      </w:pPr>
      <w:r>
        <w:t>Have people in your community ever demanded to participate in development?</w:t>
      </w:r>
    </w:p>
    <w:p w14:paraId="57D7308D" w14:textId="77777777" w:rsidR="002F7865" w:rsidRDefault="002F7865" w:rsidP="002F7865">
      <w:pPr>
        <w:pStyle w:val="ListParagraph"/>
        <w:numPr>
          <w:ilvl w:val="0"/>
          <w:numId w:val="38"/>
        </w:numPr>
        <w:spacing w:line="480" w:lineRule="auto"/>
      </w:pPr>
      <w:r>
        <w:lastRenderedPageBreak/>
        <w:t>What are the main obstacles that community members (i.e., women, youth, small farmers, etc.) face in official forums when they try to influence decision</w:t>
      </w:r>
      <w:r>
        <w:rPr>
          <w:rFonts w:cs="Times New Roman"/>
        </w:rPr>
        <w:t>-</w:t>
      </w:r>
      <w:r>
        <w:t>making, raise questions and demand accountability and transparency?</w:t>
      </w:r>
    </w:p>
    <w:p w14:paraId="756E73C0" w14:textId="77777777" w:rsidR="002F7865" w:rsidRDefault="002F7865" w:rsidP="002F7865">
      <w:pPr>
        <w:pStyle w:val="ListParagraph"/>
        <w:numPr>
          <w:ilvl w:val="0"/>
          <w:numId w:val="38"/>
        </w:numPr>
        <w:spacing w:line="480" w:lineRule="auto"/>
      </w:pPr>
      <w:r>
        <w:t xml:space="preserve">Have these obstacles become </w:t>
      </w:r>
      <w:proofErr w:type="gramStart"/>
      <w:r>
        <w:t>more or less during</w:t>
      </w:r>
      <w:proofErr w:type="gramEnd"/>
      <w:r>
        <w:t xml:space="preserve"> the past 5 years? Please explain.</w:t>
      </w:r>
    </w:p>
    <w:p w14:paraId="295B877C" w14:textId="77777777" w:rsidR="002F7865" w:rsidRDefault="002F7865" w:rsidP="002F7865">
      <w:pPr>
        <w:pStyle w:val="ListParagraph"/>
        <w:numPr>
          <w:ilvl w:val="0"/>
          <w:numId w:val="38"/>
        </w:numPr>
        <w:spacing w:line="480" w:lineRule="auto"/>
      </w:pPr>
      <w:r>
        <w:t xml:space="preserve">Which groups of people dominate discussions in these official forums? </w:t>
      </w:r>
    </w:p>
    <w:p w14:paraId="376967E7" w14:textId="055063B0" w:rsidR="002F7865" w:rsidRDefault="002F7865" w:rsidP="002F7865">
      <w:pPr>
        <w:pStyle w:val="ListParagraph"/>
        <w:numPr>
          <w:ilvl w:val="0"/>
          <w:numId w:val="38"/>
        </w:numPr>
        <w:spacing w:line="480" w:lineRule="auto"/>
      </w:pPr>
      <w:r>
        <w:t xml:space="preserve">What are the main unofficial/informal ways, outside of official forums, which you have available to make your views heard? </w:t>
      </w:r>
    </w:p>
    <w:p w14:paraId="61C3EA2C" w14:textId="77777777" w:rsidR="002F7865" w:rsidRDefault="002F7865" w:rsidP="002F7865">
      <w:pPr>
        <w:pStyle w:val="ListParagraph"/>
        <w:numPr>
          <w:ilvl w:val="0"/>
          <w:numId w:val="38"/>
        </w:numPr>
        <w:spacing w:line="480" w:lineRule="auto"/>
      </w:pPr>
      <w:r w:rsidRPr="00B700C5">
        <w:t>What are the reasons why you need these informal forums?</w:t>
      </w:r>
    </w:p>
    <w:p w14:paraId="33FB9159" w14:textId="77777777" w:rsidR="002F7865" w:rsidRDefault="002F7865" w:rsidP="002F7865">
      <w:pPr>
        <w:pStyle w:val="ListParagraph"/>
        <w:numPr>
          <w:ilvl w:val="0"/>
          <w:numId w:val="38"/>
        </w:numPr>
        <w:spacing w:line="480" w:lineRule="auto"/>
      </w:pPr>
      <w:r w:rsidRPr="00002887">
        <w:t>Who do you turn to first when you need help in any matter?</w:t>
      </w:r>
    </w:p>
    <w:p w14:paraId="5503C45E" w14:textId="77777777" w:rsidR="002F7865" w:rsidRDefault="002F7865" w:rsidP="002F7865">
      <w:pPr>
        <w:pStyle w:val="ListParagraph"/>
        <w:numPr>
          <w:ilvl w:val="0"/>
          <w:numId w:val="38"/>
        </w:numPr>
        <w:spacing w:line="480" w:lineRule="auto"/>
      </w:pPr>
      <w:r w:rsidRPr="00002887">
        <w:t>Which factor gives a person more influence</w:t>
      </w:r>
      <w:r>
        <w:t>?</w:t>
      </w:r>
    </w:p>
    <w:p w14:paraId="0C913D77" w14:textId="77777777" w:rsidR="002F7865" w:rsidRDefault="002F7865" w:rsidP="002F7865">
      <w:pPr>
        <w:pStyle w:val="ListParagraph"/>
        <w:numPr>
          <w:ilvl w:val="0"/>
          <w:numId w:val="38"/>
        </w:numPr>
        <w:spacing w:line="480" w:lineRule="auto"/>
      </w:pPr>
      <w:r>
        <w:t>Which of these structures has the most influence on development planning in your community? Choose from: IMF/World Bank; other international organizations; other countries; national government; political parties; NGOs/CBOs; religious leaders; village leadership; private sector; or other.</w:t>
      </w:r>
    </w:p>
    <w:p w14:paraId="3AEFC69D" w14:textId="77777777" w:rsidR="002F7865" w:rsidRDefault="002F7865" w:rsidP="002F7865">
      <w:pPr>
        <w:pStyle w:val="ListParagraph"/>
        <w:numPr>
          <w:ilvl w:val="0"/>
          <w:numId w:val="38"/>
        </w:numPr>
        <w:spacing w:line="480" w:lineRule="auto"/>
      </w:pPr>
      <w:r w:rsidRPr="00002887">
        <w:t>What is the reason for your answer?</w:t>
      </w:r>
    </w:p>
    <w:p w14:paraId="1BA33A59" w14:textId="77777777" w:rsidR="002F7865" w:rsidRDefault="002F7865" w:rsidP="002F7865">
      <w:pPr>
        <w:pStyle w:val="ListParagraph"/>
        <w:numPr>
          <w:ilvl w:val="0"/>
          <w:numId w:val="38"/>
        </w:numPr>
        <w:spacing w:line="480" w:lineRule="auto"/>
      </w:pPr>
      <w:r>
        <w:t>Development in your community is most influenced by decisions at what level? national, regional, district, local or household level?</w:t>
      </w:r>
    </w:p>
    <w:p w14:paraId="6CB999B0" w14:textId="1DB865B5" w:rsidR="00005007" w:rsidRPr="002F7865" w:rsidRDefault="00005007" w:rsidP="002F7865">
      <w:pPr>
        <w:pStyle w:val="ListParagraph"/>
        <w:numPr>
          <w:ilvl w:val="0"/>
          <w:numId w:val="38"/>
        </w:numPr>
        <w:rPr>
          <w:spacing w:val="33"/>
        </w:rPr>
      </w:pPr>
      <w:r>
        <w:t xml:space="preserve"> H</w:t>
      </w:r>
      <w:r w:rsidRPr="002F7865">
        <w:rPr>
          <w:spacing w:val="1"/>
        </w:rPr>
        <w:t>o</w:t>
      </w:r>
      <w:r>
        <w:t>w</w:t>
      </w:r>
      <w:r w:rsidRPr="002F7865">
        <w:rPr>
          <w:spacing w:val="32"/>
        </w:rPr>
        <w:t xml:space="preserve"> </w:t>
      </w:r>
      <w:r>
        <w:t>co</w:t>
      </w:r>
      <w:r w:rsidRPr="002F7865">
        <w:rPr>
          <w:spacing w:val="-1"/>
        </w:rPr>
        <w:t>m</w:t>
      </w:r>
      <w:r>
        <w:t>mit</w:t>
      </w:r>
      <w:r w:rsidRPr="002F7865">
        <w:rPr>
          <w:spacing w:val="-1"/>
        </w:rPr>
        <w:t>t</w:t>
      </w:r>
      <w:r>
        <w:t>ed</w:t>
      </w:r>
      <w:r w:rsidRPr="002F7865">
        <w:rPr>
          <w:spacing w:val="33"/>
        </w:rPr>
        <w:t xml:space="preserve"> </w:t>
      </w:r>
      <w:r>
        <w:t>a</w:t>
      </w:r>
      <w:r w:rsidRPr="002F7865">
        <w:rPr>
          <w:spacing w:val="-2"/>
        </w:rPr>
        <w:t>r</w:t>
      </w:r>
      <w:r>
        <w:t>e</w:t>
      </w:r>
      <w:r w:rsidRPr="002F7865">
        <w:rPr>
          <w:spacing w:val="31"/>
        </w:rPr>
        <w:t xml:space="preserve"> </w:t>
      </w:r>
      <w:r w:rsidRPr="002F7865">
        <w:rPr>
          <w:spacing w:val="1"/>
        </w:rPr>
        <w:t>yo</w:t>
      </w:r>
      <w:r>
        <w:t>u</w:t>
      </w:r>
      <w:r w:rsidRPr="002F7865">
        <w:rPr>
          <w:spacing w:val="31"/>
        </w:rPr>
        <w:t xml:space="preserve"> </w:t>
      </w:r>
      <w:r w:rsidRPr="002F7865">
        <w:rPr>
          <w:spacing w:val="-1"/>
        </w:rPr>
        <w:t>to</w:t>
      </w:r>
      <w:r w:rsidRPr="002F7865">
        <w:rPr>
          <w:spacing w:val="35"/>
        </w:rPr>
        <w:t xml:space="preserve"> </w:t>
      </w:r>
      <w:r>
        <w:t>this</w:t>
      </w:r>
      <w:r w:rsidRPr="002F7865">
        <w:rPr>
          <w:spacing w:val="31"/>
        </w:rPr>
        <w:t xml:space="preserve"> </w:t>
      </w:r>
      <w:r w:rsidR="00DD30DC">
        <w:t>management</w:t>
      </w:r>
      <w:r w:rsidRPr="002F7865">
        <w:rPr>
          <w:spacing w:val="33"/>
        </w:rPr>
        <w:t xml:space="preserve"> </w:t>
      </w:r>
      <w:r>
        <w:t>p</w:t>
      </w:r>
      <w:r w:rsidRPr="002F7865">
        <w:rPr>
          <w:spacing w:val="-2"/>
        </w:rPr>
        <w:t>r</w:t>
      </w:r>
      <w:r>
        <w:t>o</w:t>
      </w:r>
      <w:r w:rsidRPr="002F7865">
        <w:rPr>
          <w:spacing w:val="-1"/>
        </w:rPr>
        <w:t>c</w:t>
      </w:r>
      <w:r w:rsidRPr="002F7865">
        <w:rPr>
          <w:spacing w:val="-2"/>
        </w:rPr>
        <w:t>e</w:t>
      </w:r>
      <w:r>
        <w:t>ss?</w:t>
      </w:r>
      <w:r w:rsidRPr="002F7865">
        <w:rPr>
          <w:spacing w:val="33"/>
        </w:rPr>
        <w:t xml:space="preserve"> </w:t>
      </w:r>
    </w:p>
    <w:p w14:paraId="2749ECF9" w14:textId="77777777" w:rsidR="00005007" w:rsidRDefault="00005007" w:rsidP="00772DAC">
      <w:pPr>
        <w:ind w:left="0" w:firstLine="0"/>
      </w:pPr>
      <w:r>
        <w:rPr>
          <w:rFonts w:ascii="MS Gothic" w:eastAsia="MS Gothic" w:hAnsi="MS Gothic" w:cs="MS Gothic" w:hint="eastAsia"/>
        </w:rPr>
        <w:t>☐</w:t>
      </w:r>
      <w:r>
        <w:rPr>
          <w:rFonts w:ascii="MS Gothic" w:eastAsia="MS Gothic" w:hAnsi="MS Gothic" w:cs="MS Gothic" w:hint="eastAsia"/>
          <w:spacing w:val="-20"/>
        </w:rPr>
        <w:t xml:space="preserve"> </w:t>
      </w:r>
      <w:r>
        <w:rPr>
          <w:spacing w:val="-1"/>
        </w:rPr>
        <w:t>H</w:t>
      </w:r>
      <w:r>
        <w:t>ighly</w:t>
      </w:r>
      <w:r>
        <w:rPr>
          <w:spacing w:val="38"/>
        </w:rPr>
        <w:t xml:space="preserve"> </w:t>
      </w:r>
      <w:r>
        <w:rPr>
          <w:spacing w:val="-1"/>
        </w:rPr>
        <w:t>com</w:t>
      </w:r>
      <w:r>
        <w:rPr>
          <w:spacing w:val="1"/>
        </w:rPr>
        <w:t>m</w:t>
      </w:r>
      <w:r>
        <w:t>itted</w:t>
      </w:r>
      <w:r>
        <w:tab/>
      </w:r>
      <w:r>
        <w:rPr>
          <w:rFonts w:ascii="MS Gothic" w:eastAsia="MS Gothic" w:hAnsi="MS Gothic" w:cs="MS Gothic" w:hint="eastAsia"/>
        </w:rPr>
        <w:t>☐</w:t>
      </w:r>
      <w:r>
        <w:rPr>
          <w:rFonts w:ascii="MS Gothic" w:eastAsia="MS Gothic" w:hAnsi="MS Gothic" w:cs="MS Gothic" w:hint="eastAsia"/>
          <w:spacing w:val="-20"/>
        </w:rPr>
        <w:t xml:space="preserve"> </w:t>
      </w:r>
      <w:r>
        <w:t>R</w:t>
      </w:r>
      <w:r>
        <w:rPr>
          <w:spacing w:val="-3"/>
        </w:rPr>
        <w:t>a</w:t>
      </w:r>
      <w:r>
        <w:t>ther</w:t>
      </w:r>
      <w:r>
        <w:rPr>
          <w:spacing w:val="35"/>
        </w:rPr>
        <w:t xml:space="preserve"> </w:t>
      </w:r>
      <w:r>
        <w:t>commit</w:t>
      </w:r>
      <w:r>
        <w:rPr>
          <w:spacing w:val="-1"/>
        </w:rPr>
        <w:t>t</w:t>
      </w:r>
      <w:r>
        <w:t>ed</w:t>
      </w:r>
      <w:r>
        <w:tab/>
      </w:r>
      <w:r>
        <w:rPr>
          <w:rFonts w:ascii="MS Gothic" w:eastAsia="MS Gothic" w:hAnsi="MS Gothic" w:cs="MS Gothic" w:hint="eastAsia"/>
          <w:spacing w:val="85"/>
        </w:rPr>
        <w:t>☐</w:t>
      </w:r>
      <w:r>
        <w:t>Neutral</w:t>
      </w:r>
      <w:r>
        <w:tab/>
      </w:r>
      <w:r>
        <w:rPr>
          <w:rFonts w:ascii="MS Gothic" w:eastAsia="MS Gothic" w:hAnsi="MS Gothic" w:cs="MS Gothic" w:hint="eastAsia"/>
          <w:spacing w:val="86"/>
        </w:rPr>
        <w:t>☐</w:t>
      </w:r>
      <w:r>
        <w:t>R</w:t>
      </w:r>
      <w:r>
        <w:rPr>
          <w:spacing w:val="-1"/>
        </w:rPr>
        <w:t>a</w:t>
      </w:r>
      <w:r>
        <w:t>ther</w:t>
      </w:r>
      <w:r>
        <w:rPr>
          <w:spacing w:val="37"/>
        </w:rPr>
        <w:t xml:space="preserve"> </w:t>
      </w:r>
      <w:r>
        <w:t>not</w:t>
      </w:r>
      <w:r>
        <w:rPr>
          <w:spacing w:val="38"/>
        </w:rPr>
        <w:t xml:space="preserve"> </w:t>
      </w:r>
      <w:r>
        <w:rPr>
          <w:spacing w:val="-1"/>
        </w:rPr>
        <w:t>com</w:t>
      </w:r>
      <w:r>
        <w:rPr>
          <w:spacing w:val="1"/>
        </w:rPr>
        <w:t>m</w:t>
      </w:r>
      <w:r>
        <w:t>itt</w:t>
      </w:r>
      <w:r>
        <w:rPr>
          <w:spacing w:val="1"/>
        </w:rPr>
        <w:t>e</w:t>
      </w:r>
      <w:r>
        <w:t xml:space="preserve">d </w:t>
      </w:r>
      <w:r>
        <w:rPr>
          <w:rFonts w:ascii="MS Gothic" w:eastAsia="MS Gothic" w:hAnsi="MS Gothic" w:cs="MS Gothic" w:hint="eastAsia"/>
          <w:spacing w:val="50"/>
        </w:rPr>
        <w:t>☐</w:t>
      </w:r>
      <w:r>
        <w:t>Not</w:t>
      </w:r>
      <w:r>
        <w:rPr>
          <w:spacing w:val="-1"/>
        </w:rPr>
        <w:t xml:space="preserve"> </w:t>
      </w:r>
      <w:r>
        <w:t>at all</w:t>
      </w:r>
      <w:r>
        <w:rPr>
          <w:spacing w:val="-2"/>
        </w:rPr>
        <w:t xml:space="preserve"> </w:t>
      </w:r>
      <w:r>
        <w:t>c</w:t>
      </w:r>
      <w:r>
        <w:rPr>
          <w:spacing w:val="-1"/>
        </w:rPr>
        <w:t>om</w:t>
      </w:r>
      <w:r>
        <w:t>mi</w:t>
      </w:r>
      <w:r>
        <w:rPr>
          <w:spacing w:val="-1"/>
        </w:rPr>
        <w:t>t</w:t>
      </w:r>
      <w:r>
        <w:t>ted</w:t>
      </w:r>
    </w:p>
    <w:p w14:paraId="5A14E5FF" w14:textId="3508C3B9" w:rsidR="00005007" w:rsidRDefault="00005007" w:rsidP="002F7865">
      <w:pPr>
        <w:pStyle w:val="ListParagraph"/>
        <w:numPr>
          <w:ilvl w:val="0"/>
          <w:numId w:val="38"/>
        </w:numPr>
      </w:pPr>
      <w:r>
        <w:t>What</w:t>
      </w:r>
      <w:r w:rsidRPr="002F7865">
        <w:rPr>
          <w:spacing w:val="31"/>
        </w:rPr>
        <w:t xml:space="preserve"> </w:t>
      </w:r>
      <w:r>
        <w:t>kind</w:t>
      </w:r>
      <w:r w:rsidRPr="002F7865">
        <w:rPr>
          <w:spacing w:val="33"/>
        </w:rPr>
        <w:t xml:space="preserve"> </w:t>
      </w:r>
      <w:r w:rsidRPr="002F7865">
        <w:rPr>
          <w:spacing w:val="1"/>
        </w:rPr>
        <w:t>of</w:t>
      </w:r>
      <w:r w:rsidRPr="002F7865">
        <w:rPr>
          <w:spacing w:val="31"/>
        </w:rPr>
        <w:t xml:space="preserve"> </w:t>
      </w:r>
      <w:r>
        <w:t>comm</w:t>
      </w:r>
      <w:r w:rsidRPr="002F7865">
        <w:rPr>
          <w:spacing w:val="-2"/>
        </w:rPr>
        <w:t>it</w:t>
      </w:r>
      <w:r>
        <w:t>ment</w:t>
      </w:r>
      <w:r w:rsidRPr="002F7865">
        <w:rPr>
          <w:spacing w:val="31"/>
        </w:rPr>
        <w:t xml:space="preserve"> </w:t>
      </w:r>
      <w:r>
        <w:t>do</w:t>
      </w:r>
      <w:r w:rsidRPr="002F7865">
        <w:rPr>
          <w:spacing w:val="33"/>
        </w:rPr>
        <w:t xml:space="preserve"> </w:t>
      </w:r>
      <w:r>
        <w:t>you</w:t>
      </w:r>
      <w:r w:rsidRPr="002F7865">
        <w:rPr>
          <w:spacing w:val="33"/>
        </w:rPr>
        <w:t xml:space="preserve"> </w:t>
      </w:r>
      <w:r>
        <w:t>gi</w:t>
      </w:r>
      <w:r w:rsidRPr="002F7865">
        <w:rPr>
          <w:spacing w:val="-2"/>
        </w:rPr>
        <w:t>v</w:t>
      </w:r>
      <w:r>
        <w:t>e</w:t>
      </w:r>
      <w:r w:rsidRPr="002F7865">
        <w:rPr>
          <w:spacing w:val="32"/>
        </w:rPr>
        <w:t xml:space="preserve"> </w:t>
      </w:r>
      <w:r>
        <w:t>to collaborati</w:t>
      </w:r>
      <w:r w:rsidRPr="002F7865">
        <w:rPr>
          <w:spacing w:val="-1"/>
        </w:rPr>
        <w:t>ng</w:t>
      </w:r>
      <w:r>
        <w:t>?</w:t>
      </w:r>
      <w:r w:rsidRPr="002F7865">
        <w:rPr>
          <w:spacing w:val="3"/>
        </w:rPr>
        <w:t xml:space="preserve"> </w:t>
      </w:r>
      <w:r w:rsidRPr="002F7865">
        <w:rPr>
          <w:spacing w:val="-1"/>
        </w:rPr>
        <w:t>T</w:t>
      </w:r>
      <w:r>
        <w:t xml:space="preserve">ype </w:t>
      </w:r>
      <w:r w:rsidRPr="002F7865">
        <w:rPr>
          <w:spacing w:val="1"/>
        </w:rPr>
        <w:t>o</w:t>
      </w:r>
      <w:r>
        <w:t>f</w:t>
      </w:r>
      <w:r w:rsidRPr="002F7865">
        <w:rPr>
          <w:spacing w:val="3"/>
        </w:rPr>
        <w:t xml:space="preserve"> </w:t>
      </w:r>
      <w:r>
        <w:t>commi</w:t>
      </w:r>
      <w:r w:rsidRPr="002F7865">
        <w:rPr>
          <w:spacing w:val="-1"/>
        </w:rPr>
        <w:t>t</w:t>
      </w:r>
      <w:r>
        <w:t>ment can</w:t>
      </w:r>
      <w:r w:rsidRPr="002F7865">
        <w:rPr>
          <w:spacing w:val="2"/>
        </w:rPr>
        <w:t xml:space="preserve"> </w:t>
      </w:r>
      <w:r>
        <w:t>be</w:t>
      </w:r>
      <w:r w:rsidRPr="002F7865">
        <w:rPr>
          <w:spacing w:val="2"/>
        </w:rPr>
        <w:t xml:space="preserve"> </w:t>
      </w:r>
      <w:r>
        <w:t>in</w:t>
      </w:r>
      <w:r w:rsidRPr="002F7865">
        <w:rPr>
          <w:spacing w:val="1"/>
        </w:rPr>
        <w:t xml:space="preserve"> </w:t>
      </w:r>
      <w:r>
        <w:t>t</w:t>
      </w:r>
      <w:r w:rsidRPr="002F7865">
        <w:rPr>
          <w:spacing w:val="-2"/>
        </w:rPr>
        <w:t>h</w:t>
      </w:r>
      <w:r>
        <w:t>e</w:t>
      </w:r>
      <w:r w:rsidRPr="002F7865">
        <w:rPr>
          <w:spacing w:val="3"/>
        </w:rPr>
        <w:t xml:space="preserve"> </w:t>
      </w:r>
      <w:r>
        <w:t>form</w:t>
      </w:r>
      <w:r w:rsidRPr="002F7865">
        <w:rPr>
          <w:spacing w:val="1"/>
        </w:rPr>
        <w:t xml:space="preserve"> </w:t>
      </w:r>
      <w:r w:rsidRPr="002F7865">
        <w:rPr>
          <w:spacing w:val="2"/>
        </w:rPr>
        <w:t>o</w:t>
      </w:r>
      <w:r>
        <w:t>f</w:t>
      </w:r>
      <w:r w:rsidRPr="002F7865">
        <w:rPr>
          <w:spacing w:val="3"/>
        </w:rPr>
        <w:t xml:space="preserve"> </w:t>
      </w:r>
      <w:r>
        <w:t>re</w:t>
      </w:r>
      <w:r w:rsidRPr="002F7865">
        <w:rPr>
          <w:spacing w:val="-1"/>
        </w:rPr>
        <w:t>s</w:t>
      </w:r>
      <w:r>
        <w:t>ourc</w:t>
      </w:r>
      <w:r w:rsidRPr="002F7865">
        <w:rPr>
          <w:spacing w:val="-2"/>
        </w:rPr>
        <w:t>e</w:t>
      </w:r>
      <w:r>
        <w:t>s</w:t>
      </w:r>
      <w:r w:rsidRPr="002F7865">
        <w:rPr>
          <w:spacing w:val="2"/>
        </w:rPr>
        <w:t xml:space="preserve"> </w:t>
      </w:r>
      <w:r>
        <w:t>(t</w:t>
      </w:r>
      <w:r w:rsidRPr="002F7865">
        <w:rPr>
          <w:spacing w:val="-1"/>
        </w:rPr>
        <w:t>i</w:t>
      </w:r>
      <w:r>
        <w:t>me, m</w:t>
      </w:r>
      <w:r w:rsidRPr="002F7865">
        <w:rPr>
          <w:spacing w:val="1"/>
        </w:rPr>
        <w:t>o</w:t>
      </w:r>
      <w:r w:rsidRPr="002F7865">
        <w:rPr>
          <w:spacing w:val="-2"/>
        </w:rPr>
        <w:t>n</w:t>
      </w:r>
      <w:r>
        <w:t>ey,</w:t>
      </w:r>
      <w:r w:rsidRPr="002F7865">
        <w:rPr>
          <w:spacing w:val="2"/>
        </w:rPr>
        <w:t xml:space="preserve"> </w:t>
      </w:r>
      <w:r w:rsidRPr="002F7865">
        <w:rPr>
          <w:spacing w:val="-1"/>
        </w:rPr>
        <w:t>s</w:t>
      </w:r>
      <w:r>
        <w:t>kil</w:t>
      </w:r>
      <w:r w:rsidRPr="002F7865">
        <w:rPr>
          <w:spacing w:val="-1"/>
        </w:rPr>
        <w:t>l</w:t>
      </w:r>
      <w:r>
        <w:t>s,</w:t>
      </w:r>
      <w:r w:rsidRPr="002F7865">
        <w:rPr>
          <w:spacing w:val="2"/>
        </w:rPr>
        <w:t xml:space="preserve"> </w:t>
      </w:r>
      <w:r>
        <w:t>i</w:t>
      </w:r>
      <w:r w:rsidRPr="002F7865">
        <w:rPr>
          <w:spacing w:val="7"/>
        </w:rPr>
        <w:t>n</w:t>
      </w:r>
      <w:r>
        <w:t>-kind,</w:t>
      </w:r>
      <w:r w:rsidRPr="002F7865">
        <w:rPr>
          <w:spacing w:val="2"/>
        </w:rPr>
        <w:t xml:space="preserve"> </w:t>
      </w:r>
      <w:r w:rsidRPr="002F7865">
        <w:rPr>
          <w:spacing w:val="-1"/>
        </w:rPr>
        <w:t>others……</w:t>
      </w:r>
      <w:r>
        <w:t xml:space="preserve">) </w:t>
      </w:r>
    </w:p>
    <w:p w14:paraId="6EC843CC" w14:textId="77777777" w:rsidR="00005007" w:rsidRDefault="00005007" w:rsidP="00772DAC">
      <w:pPr>
        <w:ind w:left="0" w:firstLine="0"/>
      </w:pPr>
      <w:r>
        <w:rPr>
          <w:rFonts w:ascii="MS Gothic" w:eastAsia="MS Gothic" w:hAnsi="MS Gothic" w:cs="MS Gothic" w:hint="eastAsia"/>
          <w:spacing w:val="50"/>
        </w:rPr>
        <w:lastRenderedPageBreak/>
        <w:t>☐</w:t>
      </w:r>
      <w:r>
        <w:t>Time</w:t>
      </w:r>
      <w:r>
        <w:tab/>
      </w:r>
      <w:r>
        <w:rPr>
          <w:rFonts w:ascii="MS Gothic" w:eastAsia="MS Gothic" w:hAnsi="MS Gothic" w:cs="MS Gothic" w:hint="eastAsia"/>
          <w:spacing w:val="48"/>
        </w:rPr>
        <w:t>☐</w:t>
      </w:r>
      <w:r>
        <w:t>M</w:t>
      </w:r>
      <w:r>
        <w:rPr>
          <w:spacing w:val="1"/>
        </w:rPr>
        <w:t>o</w:t>
      </w:r>
      <w:r>
        <w:t>ney</w:t>
      </w:r>
      <w:r>
        <w:tab/>
      </w:r>
      <w:r>
        <w:rPr>
          <w:rFonts w:ascii="MS Gothic" w:eastAsia="MS Gothic" w:hAnsi="MS Gothic" w:cs="MS Gothic" w:hint="eastAsia"/>
          <w:spacing w:val="48"/>
        </w:rPr>
        <w:t>☐</w:t>
      </w:r>
      <w:r>
        <w:t>Skills</w:t>
      </w:r>
      <w:r>
        <w:tab/>
      </w:r>
      <w:r>
        <w:rPr>
          <w:rFonts w:ascii="MS Gothic" w:eastAsia="MS Gothic" w:hAnsi="MS Gothic" w:cs="MS Gothic" w:hint="eastAsia"/>
          <w:spacing w:val="50"/>
        </w:rPr>
        <w:t>☐</w:t>
      </w:r>
      <w:r>
        <w:t>In-kind</w:t>
      </w:r>
      <w:r>
        <w:tab/>
      </w:r>
      <w:r>
        <w:rPr>
          <w:rFonts w:ascii="MS Gothic" w:eastAsia="MS Gothic" w:hAnsi="MS Gothic" w:cs="MS Gothic" w:hint="eastAsia"/>
          <w:spacing w:val="48"/>
        </w:rPr>
        <w:t>☐</w:t>
      </w:r>
      <w:r>
        <w:rPr>
          <w:rFonts w:eastAsia="MS Gothic" w:cs="Times New Roman"/>
          <w:spacing w:val="48"/>
        </w:rPr>
        <w:t>other</w:t>
      </w:r>
      <w:r>
        <w:rPr>
          <w:spacing w:val="1"/>
        </w:rPr>
        <w:t>…</w:t>
      </w:r>
      <w:r>
        <w:t>…………</w:t>
      </w:r>
      <w:r>
        <w:rPr>
          <w:spacing w:val="1"/>
        </w:rPr>
        <w:t>……….</w:t>
      </w:r>
    </w:p>
    <w:p w14:paraId="13DDD2FC" w14:textId="1F006B33" w:rsidR="00005007" w:rsidRDefault="006F3C66" w:rsidP="00772DAC">
      <w:pPr>
        <w:ind w:left="0" w:firstLine="0"/>
      </w:pPr>
      <w:r>
        <w:t>39</w:t>
      </w:r>
      <w:r w:rsidR="00005007">
        <w:t xml:space="preserve">. Are there motivations for local people to participate in the </w:t>
      </w:r>
      <w:r w:rsidR="00DD30DC">
        <w:t>management</w:t>
      </w:r>
      <w:r w:rsidR="00005007">
        <w:t xml:space="preserve"> process? Yes</w:t>
      </w:r>
      <w:proofErr w:type="gramStart"/>
      <w:r w:rsidR="00005007">
        <w:t>….No…..</w:t>
      </w:r>
      <w:proofErr w:type="gramEnd"/>
    </w:p>
    <w:p w14:paraId="3FF3DA59" w14:textId="7B4E8FBD" w:rsidR="00005007" w:rsidRDefault="006F3C66" w:rsidP="00772DAC">
      <w:pPr>
        <w:ind w:left="0" w:firstLine="0"/>
      </w:pPr>
      <w:r>
        <w:t>40</w:t>
      </w:r>
      <w:r w:rsidR="00005007">
        <w:t xml:space="preserve">. List some of the benefits that have been derived from the </w:t>
      </w:r>
      <w:r w:rsidR="00DD30DC">
        <w:t>management</w:t>
      </w:r>
      <w:r w:rsidR="00005007">
        <w:t xml:space="preserve"> </w:t>
      </w:r>
      <w:proofErr w:type="gramStart"/>
      <w:r w:rsidR="00005007">
        <w:t>process?</w:t>
      </w:r>
      <w:proofErr w:type="gramEnd"/>
    </w:p>
    <w:p w14:paraId="195C4636" w14:textId="59E685A0" w:rsidR="0081629E" w:rsidRPr="0081629E" w:rsidRDefault="00005007" w:rsidP="00524689">
      <w:pPr>
        <w:ind w:left="0" w:firstLine="0"/>
      </w:pPr>
      <w:r>
        <w:t>………………………………………………………………………………………………………………………………………………………………………………………………………………………………………………………</w:t>
      </w:r>
      <w:r w:rsidR="00524689">
        <w:t>…………………………………………………………………………………</w:t>
      </w:r>
    </w:p>
    <w:p w14:paraId="3F709541" w14:textId="77777777" w:rsidR="00005007" w:rsidRDefault="00005007" w:rsidP="00772DAC">
      <w:pPr>
        <w:ind w:left="0" w:firstLine="0"/>
        <w:rPr>
          <w:b/>
          <w:bCs/>
        </w:rPr>
      </w:pPr>
      <w:r>
        <w:rPr>
          <w:b/>
          <w:bCs/>
        </w:rPr>
        <w:t xml:space="preserve">SECTION C: CHALLENGES INHERENT IN THE </w:t>
      </w:r>
      <w:r w:rsidR="00845084">
        <w:rPr>
          <w:b/>
          <w:bCs/>
        </w:rPr>
        <w:t>MANAGEMENT</w:t>
      </w:r>
      <w:r>
        <w:rPr>
          <w:b/>
          <w:bCs/>
        </w:rPr>
        <w:t xml:space="preserve"> PROCESS</w:t>
      </w:r>
    </w:p>
    <w:p w14:paraId="5D1AA951" w14:textId="67B9C832" w:rsidR="00005007" w:rsidRDefault="006F3C66" w:rsidP="00772DAC">
      <w:pPr>
        <w:ind w:left="0" w:firstLine="0"/>
      </w:pPr>
      <w:r>
        <w:t>41</w:t>
      </w:r>
      <w:r w:rsidR="00005007">
        <w:t xml:space="preserve">. List some of the challenges of the </w:t>
      </w:r>
      <w:r w:rsidR="00DD30DC">
        <w:t>management</w:t>
      </w:r>
      <w:r w:rsidR="00005007">
        <w:t xml:space="preserve"> process </w:t>
      </w:r>
    </w:p>
    <w:p w14:paraId="62DE65EF" w14:textId="596EA330" w:rsidR="00005007" w:rsidRDefault="00005007" w:rsidP="00772DAC">
      <w:pPr>
        <w:ind w:left="0" w:firstLine="0"/>
      </w:pPr>
      <w:r>
        <w:t>………………………………………………………………………………………………………………………………………………………………………………………………………………………………………………………</w:t>
      </w:r>
    </w:p>
    <w:p w14:paraId="08F9760B" w14:textId="1C20600C" w:rsidR="00005007" w:rsidRDefault="006F3C66" w:rsidP="00772DAC">
      <w:pPr>
        <w:spacing w:line="360" w:lineRule="auto"/>
        <w:ind w:left="0" w:firstLine="0"/>
      </w:pPr>
      <w:r>
        <w:t>42</w:t>
      </w:r>
      <w:r w:rsidR="00005007">
        <w:t xml:space="preserve">. Suggest ways of improving the </w:t>
      </w:r>
      <w:r w:rsidR="00DD30DC">
        <w:t>management</w:t>
      </w:r>
      <w:r w:rsidR="00005007">
        <w:t xml:space="preserve"> process</w:t>
      </w:r>
    </w:p>
    <w:p w14:paraId="65322CE8" w14:textId="77777777" w:rsidR="00005007" w:rsidRDefault="00005007" w:rsidP="00772DAC">
      <w:pPr>
        <w:spacing w:line="360" w:lineRule="auto"/>
        <w:ind w:left="0" w:firstLine="0"/>
      </w:pPr>
      <w:r>
        <w:t>………………………………………………………………………………………………………………………………………………………………………………………………………………………………………………………………………………………………………</w:t>
      </w:r>
    </w:p>
    <w:p w14:paraId="50F1A0DD" w14:textId="77777777" w:rsidR="00566F1D" w:rsidRDefault="00566F1D" w:rsidP="00566F1D">
      <w:pPr>
        <w:pStyle w:val="BodyText"/>
      </w:pPr>
    </w:p>
    <w:p w14:paraId="7BA12077" w14:textId="77777777" w:rsidR="00524689" w:rsidRDefault="00524689" w:rsidP="00566F1D">
      <w:pPr>
        <w:pStyle w:val="BodyText"/>
      </w:pPr>
    </w:p>
    <w:p w14:paraId="4FAEA874" w14:textId="77777777" w:rsidR="00005007" w:rsidRDefault="00005007" w:rsidP="0081629E">
      <w:pPr>
        <w:spacing w:after="0" w:line="360" w:lineRule="auto"/>
        <w:ind w:left="0" w:firstLine="0"/>
        <w:jc w:val="left"/>
        <w:rPr>
          <w:b/>
          <w:bCs/>
        </w:rPr>
      </w:pPr>
      <w:r>
        <w:rPr>
          <w:b/>
          <w:bCs/>
        </w:rPr>
        <w:lastRenderedPageBreak/>
        <w:t xml:space="preserve">SECTION D: MEASURING THE LEVEL OF COMMUNITY PARTICIPATION IN THE </w:t>
      </w:r>
      <w:r w:rsidR="00845084">
        <w:rPr>
          <w:b/>
          <w:bCs/>
        </w:rPr>
        <w:t>MANAGEMENT</w:t>
      </w:r>
      <w:r>
        <w:rPr>
          <w:b/>
          <w:bCs/>
        </w:rPr>
        <w:t xml:space="preserve"> PROCESS</w:t>
      </w:r>
    </w:p>
    <w:p w14:paraId="7A815236" w14:textId="014E00AA" w:rsidR="00005007" w:rsidRPr="006F3C66" w:rsidRDefault="00005007" w:rsidP="006F3C66">
      <w:pPr>
        <w:pStyle w:val="ListParagraph"/>
        <w:numPr>
          <w:ilvl w:val="0"/>
          <w:numId w:val="39"/>
        </w:numPr>
        <w:spacing w:after="0" w:line="360" w:lineRule="auto"/>
        <w:jc w:val="left"/>
        <w:rPr>
          <w:b/>
          <w:bCs/>
        </w:rPr>
      </w:pPr>
      <w:r w:rsidRPr="006F3C66">
        <w:rPr>
          <w:b/>
          <w:bCs/>
        </w:rPr>
        <w:t xml:space="preserve">TABLE 1: ACCESS </w:t>
      </w:r>
    </w:p>
    <w:p w14:paraId="4E3BED48" w14:textId="77777777" w:rsidR="00005007" w:rsidRDefault="00005007" w:rsidP="00566F1D">
      <w:pPr>
        <w:spacing w:after="0" w:line="360" w:lineRule="auto"/>
        <w:ind w:left="0" w:firstLine="0"/>
      </w:pPr>
      <w:r>
        <w:t xml:space="preserve">Access means channelling citizens to involve in the </w:t>
      </w:r>
      <w:r w:rsidR="00DD30DC">
        <w:t>management</w:t>
      </w:r>
      <w:r>
        <w:t xml:space="preserve"> process (policy formulation, implementation and evaluation and monitoring). Citizens will participate if the government provides access in each process with certain roles.</w:t>
      </w:r>
    </w:p>
    <w:tbl>
      <w:tblPr>
        <w:tblW w:w="5000" w:type="pct"/>
        <w:tblLook w:val="04A0" w:firstRow="1" w:lastRow="0" w:firstColumn="1" w:lastColumn="0" w:noHBand="0" w:noVBand="1"/>
      </w:tblPr>
      <w:tblGrid>
        <w:gridCol w:w="6786"/>
        <w:gridCol w:w="790"/>
      </w:tblGrid>
      <w:tr w:rsidR="00005007" w14:paraId="1676A3E1"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6C0AD32C" w14:textId="77777777" w:rsidR="00005007" w:rsidRDefault="00005007" w:rsidP="00772DAC">
            <w:pPr>
              <w:spacing w:line="360" w:lineRule="auto"/>
              <w:ind w:left="0" w:firstLine="0"/>
              <w:rPr>
                <w:b/>
                <w:bCs/>
              </w:rPr>
            </w:pPr>
            <w:r>
              <w:rPr>
                <w:b/>
                <w:bCs/>
              </w:rPr>
              <w:t xml:space="preserve">Indicator </w:t>
            </w:r>
          </w:p>
        </w:tc>
        <w:tc>
          <w:tcPr>
            <w:tcW w:w="440" w:type="pct"/>
            <w:tcBorders>
              <w:top w:val="single" w:sz="4" w:space="0" w:color="auto"/>
              <w:left w:val="single" w:sz="4" w:space="0" w:color="auto"/>
              <w:bottom w:val="single" w:sz="4" w:space="0" w:color="auto"/>
              <w:right w:val="single" w:sz="4" w:space="0" w:color="auto"/>
            </w:tcBorders>
            <w:hideMark/>
          </w:tcPr>
          <w:p w14:paraId="76542E06" w14:textId="77777777" w:rsidR="00005007" w:rsidRDefault="00005007" w:rsidP="00772DAC">
            <w:pPr>
              <w:spacing w:line="360" w:lineRule="auto"/>
              <w:ind w:left="0" w:firstLine="0"/>
              <w:rPr>
                <w:b/>
                <w:bCs/>
              </w:rPr>
            </w:pPr>
            <w:r>
              <w:rPr>
                <w:b/>
                <w:bCs/>
              </w:rPr>
              <w:t xml:space="preserve">Score </w:t>
            </w:r>
          </w:p>
        </w:tc>
      </w:tr>
      <w:tr w:rsidR="00005007" w14:paraId="258697AF"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6079A06A" w14:textId="14EF4898" w:rsidR="00005007" w:rsidRDefault="00005007" w:rsidP="006F3C66">
            <w:pPr>
              <w:pStyle w:val="ListParagraph"/>
              <w:numPr>
                <w:ilvl w:val="0"/>
                <w:numId w:val="40"/>
              </w:numPr>
              <w:spacing w:line="360" w:lineRule="auto"/>
              <w:jc w:val="left"/>
            </w:pPr>
            <w:r>
              <w:t>There is opportunity to engage</w:t>
            </w:r>
          </w:p>
        </w:tc>
        <w:tc>
          <w:tcPr>
            <w:tcW w:w="440" w:type="pct"/>
            <w:tcBorders>
              <w:top w:val="single" w:sz="4" w:space="0" w:color="auto"/>
              <w:left w:val="single" w:sz="4" w:space="0" w:color="auto"/>
              <w:bottom w:val="single" w:sz="4" w:space="0" w:color="auto"/>
              <w:right w:val="single" w:sz="4" w:space="0" w:color="auto"/>
            </w:tcBorders>
          </w:tcPr>
          <w:p w14:paraId="350BECC2" w14:textId="77777777" w:rsidR="00005007" w:rsidRDefault="00005007" w:rsidP="00772DAC">
            <w:pPr>
              <w:spacing w:line="360" w:lineRule="auto"/>
              <w:ind w:left="0" w:firstLine="0"/>
            </w:pPr>
          </w:p>
        </w:tc>
      </w:tr>
      <w:tr w:rsidR="00005007" w14:paraId="6FE3402A"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3775D9CF"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3F31ADBF" w14:textId="77777777" w:rsidR="00005007" w:rsidRDefault="00005007" w:rsidP="00772DAC">
            <w:pPr>
              <w:spacing w:line="360" w:lineRule="auto"/>
              <w:ind w:left="0" w:firstLine="0"/>
            </w:pPr>
          </w:p>
        </w:tc>
      </w:tr>
      <w:tr w:rsidR="00005007" w14:paraId="00D485D1"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7C218BE8" w14:textId="38AC6080" w:rsidR="00005007" w:rsidRDefault="00005007" w:rsidP="006F3C66">
            <w:pPr>
              <w:pStyle w:val="ListParagraph"/>
              <w:numPr>
                <w:ilvl w:val="0"/>
                <w:numId w:val="40"/>
              </w:numPr>
              <w:spacing w:line="360" w:lineRule="auto"/>
              <w:jc w:val="left"/>
            </w:pPr>
            <w:r>
              <w:t>You receive invitation to engage</w:t>
            </w:r>
          </w:p>
        </w:tc>
        <w:tc>
          <w:tcPr>
            <w:tcW w:w="440" w:type="pct"/>
            <w:tcBorders>
              <w:top w:val="single" w:sz="4" w:space="0" w:color="auto"/>
              <w:left w:val="single" w:sz="4" w:space="0" w:color="auto"/>
              <w:bottom w:val="single" w:sz="4" w:space="0" w:color="auto"/>
              <w:right w:val="single" w:sz="4" w:space="0" w:color="auto"/>
            </w:tcBorders>
          </w:tcPr>
          <w:p w14:paraId="2E013ED7" w14:textId="77777777" w:rsidR="00005007" w:rsidRDefault="00005007" w:rsidP="00772DAC">
            <w:pPr>
              <w:spacing w:line="360" w:lineRule="auto"/>
              <w:ind w:left="0" w:firstLine="0"/>
            </w:pPr>
          </w:p>
        </w:tc>
      </w:tr>
      <w:tr w:rsidR="00005007" w14:paraId="675B7DDE"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741E4FE1"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49EB6A58" w14:textId="77777777" w:rsidR="00005007" w:rsidRDefault="00005007" w:rsidP="00772DAC">
            <w:pPr>
              <w:spacing w:line="360" w:lineRule="auto"/>
              <w:ind w:left="0" w:firstLine="0"/>
            </w:pPr>
          </w:p>
        </w:tc>
      </w:tr>
      <w:tr w:rsidR="00005007" w14:paraId="6A5B68ED"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3BF8ADED" w14:textId="77777777" w:rsidR="00005007" w:rsidRDefault="00005007" w:rsidP="006F3C66">
            <w:pPr>
              <w:pStyle w:val="ListParagraph"/>
              <w:numPr>
                <w:ilvl w:val="0"/>
                <w:numId w:val="40"/>
              </w:numPr>
              <w:spacing w:line="360" w:lineRule="auto"/>
              <w:ind w:left="0" w:firstLine="0"/>
              <w:jc w:val="left"/>
            </w:pPr>
            <w:r>
              <w:t>Being informed about opportunity to engage</w:t>
            </w:r>
          </w:p>
        </w:tc>
        <w:tc>
          <w:tcPr>
            <w:tcW w:w="440" w:type="pct"/>
            <w:tcBorders>
              <w:top w:val="single" w:sz="4" w:space="0" w:color="auto"/>
              <w:left w:val="single" w:sz="4" w:space="0" w:color="auto"/>
              <w:bottom w:val="single" w:sz="4" w:space="0" w:color="auto"/>
              <w:right w:val="single" w:sz="4" w:space="0" w:color="auto"/>
            </w:tcBorders>
          </w:tcPr>
          <w:p w14:paraId="4E3535BD" w14:textId="77777777" w:rsidR="00005007" w:rsidRDefault="00005007" w:rsidP="00772DAC">
            <w:pPr>
              <w:spacing w:line="360" w:lineRule="auto"/>
              <w:ind w:left="0" w:firstLine="0"/>
            </w:pPr>
          </w:p>
        </w:tc>
      </w:tr>
      <w:tr w:rsidR="00005007" w14:paraId="4ED342BB"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4FD5410F"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432DCB0B" w14:textId="77777777" w:rsidR="00005007" w:rsidRDefault="00005007" w:rsidP="00772DAC">
            <w:pPr>
              <w:spacing w:line="360" w:lineRule="auto"/>
              <w:ind w:left="0" w:firstLine="0"/>
            </w:pPr>
          </w:p>
        </w:tc>
      </w:tr>
      <w:tr w:rsidR="00005007" w14:paraId="6746F052"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19B3E2B1" w14:textId="77777777" w:rsidR="00005007" w:rsidRDefault="00005007" w:rsidP="006F3C66">
            <w:pPr>
              <w:pStyle w:val="ListParagraph"/>
              <w:numPr>
                <w:ilvl w:val="0"/>
                <w:numId w:val="40"/>
              </w:numPr>
              <w:spacing w:line="360" w:lineRule="auto"/>
              <w:ind w:left="0" w:firstLine="0"/>
              <w:jc w:val="left"/>
            </w:pPr>
            <w:r>
              <w:t>Had opportunity to speak</w:t>
            </w:r>
          </w:p>
        </w:tc>
        <w:tc>
          <w:tcPr>
            <w:tcW w:w="440" w:type="pct"/>
            <w:tcBorders>
              <w:top w:val="single" w:sz="4" w:space="0" w:color="auto"/>
              <w:left w:val="single" w:sz="4" w:space="0" w:color="auto"/>
              <w:bottom w:val="single" w:sz="4" w:space="0" w:color="auto"/>
              <w:right w:val="single" w:sz="4" w:space="0" w:color="auto"/>
            </w:tcBorders>
          </w:tcPr>
          <w:p w14:paraId="250C6337" w14:textId="77777777" w:rsidR="00005007" w:rsidRDefault="00005007" w:rsidP="00772DAC">
            <w:pPr>
              <w:spacing w:line="360" w:lineRule="auto"/>
              <w:ind w:left="0" w:firstLine="0"/>
            </w:pPr>
          </w:p>
        </w:tc>
      </w:tr>
      <w:tr w:rsidR="00005007" w14:paraId="2EE7132D"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277E7499"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394BE042" w14:textId="77777777" w:rsidR="00005007" w:rsidRDefault="00005007" w:rsidP="00772DAC">
            <w:pPr>
              <w:spacing w:line="360" w:lineRule="auto"/>
              <w:ind w:left="0" w:firstLine="0"/>
            </w:pPr>
          </w:p>
        </w:tc>
      </w:tr>
      <w:tr w:rsidR="00005007" w14:paraId="5AEA9BF7"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71D77EF6" w14:textId="77777777" w:rsidR="00005007" w:rsidRDefault="00005007" w:rsidP="006F3C66">
            <w:pPr>
              <w:pStyle w:val="ListParagraph"/>
              <w:numPr>
                <w:ilvl w:val="0"/>
                <w:numId w:val="40"/>
              </w:numPr>
              <w:spacing w:line="360" w:lineRule="auto"/>
              <w:ind w:left="0" w:firstLine="0"/>
              <w:jc w:val="left"/>
            </w:pPr>
            <w:r>
              <w:t>Had opportunity to give advice</w:t>
            </w:r>
          </w:p>
        </w:tc>
        <w:tc>
          <w:tcPr>
            <w:tcW w:w="440" w:type="pct"/>
            <w:tcBorders>
              <w:top w:val="single" w:sz="4" w:space="0" w:color="auto"/>
              <w:left w:val="single" w:sz="4" w:space="0" w:color="auto"/>
              <w:bottom w:val="single" w:sz="4" w:space="0" w:color="auto"/>
              <w:right w:val="single" w:sz="4" w:space="0" w:color="auto"/>
            </w:tcBorders>
          </w:tcPr>
          <w:p w14:paraId="732E867F" w14:textId="77777777" w:rsidR="00005007" w:rsidRDefault="00005007" w:rsidP="00772DAC">
            <w:pPr>
              <w:spacing w:line="360" w:lineRule="auto"/>
              <w:ind w:left="0" w:firstLine="0"/>
            </w:pPr>
          </w:p>
        </w:tc>
      </w:tr>
      <w:tr w:rsidR="00005007" w14:paraId="3E43E5F7"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756E26DF"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1DD6388B" w14:textId="77777777" w:rsidR="00005007" w:rsidRDefault="00005007" w:rsidP="00772DAC">
            <w:pPr>
              <w:spacing w:line="360" w:lineRule="auto"/>
              <w:ind w:left="0" w:firstLine="0"/>
            </w:pPr>
          </w:p>
        </w:tc>
      </w:tr>
      <w:tr w:rsidR="00005007" w14:paraId="628F33AF"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4DDA1AC8" w14:textId="77777777" w:rsidR="00005007" w:rsidRDefault="00005007" w:rsidP="006F3C66">
            <w:pPr>
              <w:pStyle w:val="ListParagraph"/>
              <w:numPr>
                <w:ilvl w:val="0"/>
                <w:numId w:val="40"/>
              </w:numPr>
              <w:spacing w:line="360" w:lineRule="auto"/>
              <w:ind w:left="0" w:firstLine="0"/>
              <w:jc w:val="left"/>
            </w:pPr>
            <w:r>
              <w:t>Had opportunity to talk and negotiate</w:t>
            </w:r>
          </w:p>
        </w:tc>
        <w:tc>
          <w:tcPr>
            <w:tcW w:w="440" w:type="pct"/>
            <w:tcBorders>
              <w:top w:val="single" w:sz="4" w:space="0" w:color="auto"/>
              <w:left w:val="single" w:sz="4" w:space="0" w:color="auto"/>
              <w:bottom w:val="single" w:sz="4" w:space="0" w:color="auto"/>
              <w:right w:val="single" w:sz="4" w:space="0" w:color="auto"/>
            </w:tcBorders>
          </w:tcPr>
          <w:p w14:paraId="434253A2" w14:textId="77777777" w:rsidR="00005007" w:rsidRDefault="00005007" w:rsidP="00772DAC">
            <w:pPr>
              <w:spacing w:line="360" w:lineRule="auto"/>
              <w:ind w:left="0" w:firstLine="0"/>
            </w:pPr>
          </w:p>
        </w:tc>
      </w:tr>
      <w:tr w:rsidR="00005007" w14:paraId="254743EC"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2ABEA581"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6EE01309" w14:textId="77777777" w:rsidR="00005007" w:rsidRDefault="00005007" w:rsidP="00772DAC">
            <w:pPr>
              <w:spacing w:line="360" w:lineRule="auto"/>
              <w:ind w:left="0" w:firstLine="0"/>
            </w:pPr>
          </w:p>
        </w:tc>
      </w:tr>
      <w:tr w:rsidR="00005007" w14:paraId="10A7D92F"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3A056DC1" w14:textId="77777777" w:rsidR="00005007" w:rsidRDefault="00005007" w:rsidP="006F3C66">
            <w:pPr>
              <w:pStyle w:val="ListParagraph"/>
              <w:numPr>
                <w:ilvl w:val="0"/>
                <w:numId w:val="40"/>
              </w:numPr>
              <w:spacing w:line="360" w:lineRule="auto"/>
              <w:ind w:left="0" w:firstLine="0"/>
              <w:jc w:val="left"/>
            </w:pPr>
            <w:r>
              <w:t>Had opportunity to have role in decision-making</w:t>
            </w:r>
          </w:p>
        </w:tc>
        <w:tc>
          <w:tcPr>
            <w:tcW w:w="440" w:type="pct"/>
            <w:tcBorders>
              <w:top w:val="single" w:sz="4" w:space="0" w:color="auto"/>
              <w:left w:val="single" w:sz="4" w:space="0" w:color="auto"/>
              <w:bottom w:val="single" w:sz="4" w:space="0" w:color="auto"/>
              <w:right w:val="single" w:sz="4" w:space="0" w:color="auto"/>
            </w:tcBorders>
          </w:tcPr>
          <w:p w14:paraId="7D5067B7" w14:textId="77777777" w:rsidR="00005007" w:rsidRDefault="00005007" w:rsidP="00772DAC">
            <w:pPr>
              <w:spacing w:line="360" w:lineRule="auto"/>
              <w:ind w:left="0" w:firstLine="0"/>
            </w:pPr>
          </w:p>
        </w:tc>
      </w:tr>
      <w:tr w:rsidR="00005007" w14:paraId="736ED7F6"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1243A3BD" w14:textId="77777777" w:rsidR="00005007" w:rsidRDefault="00005007" w:rsidP="00772DAC">
            <w:pPr>
              <w:spacing w:line="360" w:lineRule="auto"/>
              <w:ind w:left="0" w:firstLine="0"/>
            </w:pPr>
            <w:r>
              <w:t>Why?</w:t>
            </w:r>
          </w:p>
        </w:tc>
        <w:tc>
          <w:tcPr>
            <w:tcW w:w="440" w:type="pct"/>
            <w:tcBorders>
              <w:top w:val="single" w:sz="4" w:space="0" w:color="auto"/>
              <w:left w:val="single" w:sz="4" w:space="0" w:color="auto"/>
              <w:bottom w:val="single" w:sz="4" w:space="0" w:color="auto"/>
              <w:right w:val="single" w:sz="4" w:space="0" w:color="auto"/>
            </w:tcBorders>
          </w:tcPr>
          <w:p w14:paraId="47ED3DF6" w14:textId="77777777" w:rsidR="00005007" w:rsidRDefault="00005007" w:rsidP="00772DAC">
            <w:pPr>
              <w:spacing w:line="360" w:lineRule="auto"/>
              <w:ind w:left="0" w:firstLine="0"/>
            </w:pPr>
          </w:p>
        </w:tc>
      </w:tr>
      <w:tr w:rsidR="00005007" w14:paraId="13658E69"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7E5FF126" w14:textId="77777777" w:rsidR="00005007" w:rsidRDefault="00005007" w:rsidP="00772DAC">
            <w:pPr>
              <w:spacing w:line="360" w:lineRule="auto"/>
              <w:ind w:left="0" w:firstLine="0"/>
            </w:pPr>
            <w:r>
              <w:t>Had opportunity to determine/decide</w:t>
            </w:r>
          </w:p>
        </w:tc>
        <w:tc>
          <w:tcPr>
            <w:tcW w:w="440" w:type="pct"/>
            <w:tcBorders>
              <w:top w:val="single" w:sz="4" w:space="0" w:color="auto"/>
              <w:left w:val="single" w:sz="4" w:space="0" w:color="auto"/>
              <w:bottom w:val="single" w:sz="4" w:space="0" w:color="auto"/>
              <w:right w:val="single" w:sz="4" w:space="0" w:color="auto"/>
            </w:tcBorders>
          </w:tcPr>
          <w:p w14:paraId="41B33784" w14:textId="77777777" w:rsidR="00005007" w:rsidRDefault="00005007" w:rsidP="00772DAC">
            <w:pPr>
              <w:spacing w:line="360" w:lineRule="auto"/>
              <w:ind w:left="0" w:firstLine="0"/>
            </w:pPr>
          </w:p>
        </w:tc>
      </w:tr>
      <w:tr w:rsidR="00005007" w14:paraId="5FBCBCA2"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3A150240" w14:textId="77777777" w:rsidR="00005007" w:rsidRDefault="00005007" w:rsidP="006F3C66">
            <w:pPr>
              <w:pStyle w:val="ListParagraph"/>
              <w:numPr>
                <w:ilvl w:val="0"/>
                <w:numId w:val="40"/>
              </w:numPr>
              <w:spacing w:line="360" w:lineRule="auto"/>
              <w:ind w:left="0" w:firstLine="0"/>
              <w:jc w:val="left"/>
            </w:pPr>
            <w:r>
              <w:t>Why?</w:t>
            </w:r>
          </w:p>
        </w:tc>
        <w:tc>
          <w:tcPr>
            <w:tcW w:w="440" w:type="pct"/>
            <w:tcBorders>
              <w:top w:val="single" w:sz="4" w:space="0" w:color="auto"/>
              <w:left w:val="single" w:sz="4" w:space="0" w:color="auto"/>
              <w:bottom w:val="single" w:sz="4" w:space="0" w:color="auto"/>
              <w:right w:val="single" w:sz="4" w:space="0" w:color="auto"/>
            </w:tcBorders>
          </w:tcPr>
          <w:p w14:paraId="53041C41" w14:textId="77777777" w:rsidR="00005007" w:rsidRDefault="00005007" w:rsidP="00772DAC">
            <w:pPr>
              <w:spacing w:line="360" w:lineRule="auto"/>
              <w:ind w:left="0" w:firstLine="0"/>
            </w:pPr>
          </w:p>
        </w:tc>
      </w:tr>
      <w:tr w:rsidR="00005007" w14:paraId="0A0B2A6B" w14:textId="77777777" w:rsidTr="00005007">
        <w:tc>
          <w:tcPr>
            <w:tcW w:w="4560" w:type="pct"/>
            <w:tcBorders>
              <w:top w:val="single" w:sz="4" w:space="0" w:color="auto"/>
              <w:left w:val="single" w:sz="4" w:space="0" w:color="auto"/>
              <w:bottom w:val="single" w:sz="4" w:space="0" w:color="auto"/>
              <w:right w:val="single" w:sz="4" w:space="0" w:color="auto"/>
            </w:tcBorders>
            <w:hideMark/>
          </w:tcPr>
          <w:p w14:paraId="669D7694" w14:textId="77777777" w:rsidR="00005007" w:rsidRDefault="00005007" w:rsidP="00772DAC">
            <w:pPr>
              <w:spacing w:line="360" w:lineRule="auto"/>
              <w:ind w:left="0" w:firstLine="0"/>
            </w:pPr>
            <w:r>
              <w:t xml:space="preserve">Total value </w:t>
            </w:r>
          </w:p>
        </w:tc>
        <w:tc>
          <w:tcPr>
            <w:tcW w:w="440" w:type="pct"/>
            <w:tcBorders>
              <w:top w:val="single" w:sz="4" w:space="0" w:color="auto"/>
              <w:left w:val="single" w:sz="4" w:space="0" w:color="auto"/>
              <w:bottom w:val="single" w:sz="4" w:space="0" w:color="auto"/>
              <w:right w:val="single" w:sz="4" w:space="0" w:color="auto"/>
            </w:tcBorders>
          </w:tcPr>
          <w:p w14:paraId="41DB02E7" w14:textId="77777777" w:rsidR="00005007" w:rsidRDefault="00005007" w:rsidP="00772DAC">
            <w:pPr>
              <w:spacing w:line="360" w:lineRule="auto"/>
              <w:ind w:left="0" w:firstLine="0"/>
            </w:pPr>
          </w:p>
        </w:tc>
      </w:tr>
    </w:tbl>
    <w:p w14:paraId="2F244EE9" w14:textId="77777777" w:rsidR="00BB6EA5" w:rsidRPr="00BB6EA5" w:rsidRDefault="00BB6EA5" w:rsidP="007113AF">
      <w:pPr>
        <w:pStyle w:val="BodyText"/>
        <w:ind w:left="0" w:firstLine="0"/>
      </w:pPr>
    </w:p>
    <w:p w14:paraId="1EF41085" w14:textId="77777777" w:rsidR="00005007" w:rsidRDefault="00005007" w:rsidP="00772DAC">
      <w:pPr>
        <w:ind w:left="0" w:firstLine="0"/>
        <w:rPr>
          <w:b/>
          <w:bCs/>
        </w:rPr>
      </w:pPr>
      <w:r>
        <w:rPr>
          <w:b/>
          <w:bCs/>
        </w:rPr>
        <w:lastRenderedPageBreak/>
        <w:t>TABLE 2: AWARENESS</w:t>
      </w:r>
    </w:p>
    <w:p w14:paraId="142A89EC" w14:textId="77777777" w:rsidR="00005007" w:rsidRDefault="00005007" w:rsidP="00772DAC">
      <w:pPr>
        <w:ind w:left="0" w:firstLine="0"/>
      </w:pPr>
      <w:r>
        <w:t>Awareness refers to citizens' knowledge of their position as part of a state system within the framework of democracy</w:t>
      </w:r>
    </w:p>
    <w:tbl>
      <w:tblPr>
        <w:tblW w:w="0" w:type="auto"/>
        <w:tblLook w:val="04A0" w:firstRow="1" w:lastRow="0" w:firstColumn="1" w:lastColumn="0" w:noHBand="0" w:noVBand="1"/>
      </w:tblPr>
      <w:tblGrid>
        <w:gridCol w:w="6786"/>
        <w:gridCol w:w="790"/>
      </w:tblGrid>
      <w:tr w:rsidR="00005007" w14:paraId="5835EDDB"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3EF9E0C7" w14:textId="77777777" w:rsidR="00005007" w:rsidRDefault="00005007" w:rsidP="00772DAC">
            <w:pPr>
              <w:spacing w:line="360" w:lineRule="auto"/>
              <w:ind w:left="0" w:firstLine="0"/>
              <w:rPr>
                <w:b/>
                <w:bCs/>
              </w:rPr>
            </w:pPr>
            <w:r>
              <w:rPr>
                <w:b/>
                <w:bCs/>
              </w:rPr>
              <w:t xml:space="preserve">Indicator </w:t>
            </w:r>
          </w:p>
        </w:tc>
        <w:tc>
          <w:tcPr>
            <w:tcW w:w="0" w:type="auto"/>
            <w:tcBorders>
              <w:top w:val="single" w:sz="4" w:space="0" w:color="auto"/>
              <w:left w:val="single" w:sz="4" w:space="0" w:color="auto"/>
              <w:bottom w:val="single" w:sz="4" w:space="0" w:color="auto"/>
              <w:right w:val="single" w:sz="4" w:space="0" w:color="auto"/>
            </w:tcBorders>
            <w:hideMark/>
          </w:tcPr>
          <w:p w14:paraId="1330F50F" w14:textId="77777777" w:rsidR="00005007" w:rsidRDefault="00005007" w:rsidP="00772DAC">
            <w:pPr>
              <w:spacing w:line="360" w:lineRule="auto"/>
              <w:ind w:left="0" w:firstLine="0"/>
              <w:rPr>
                <w:b/>
                <w:bCs/>
              </w:rPr>
            </w:pPr>
            <w:r>
              <w:rPr>
                <w:b/>
                <w:bCs/>
              </w:rPr>
              <w:t xml:space="preserve">Score </w:t>
            </w:r>
          </w:p>
        </w:tc>
      </w:tr>
      <w:tr w:rsidR="00005007" w14:paraId="6CC0A94C"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27F2C73F" w14:textId="77777777" w:rsidR="00005007" w:rsidRDefault="00005007" w:rsidP="006F3C66">
            <w:pPr>
              <w:pStyle w:val="ListParagraph"/>
              <w:numPr>
                <w:ilvl w:val="0"/>
                <w:numId w:val="40"/>
              </w:numPr>
              <w:spacing w:line="360" w:lineRule="auto"/>
              <w:ind w:left="0" w:firstLine="0"/>
              <w:jc w:val="left"/>
            </w:pPr>
            <w:r>
              <w:t xml:space="preserve">I care about social and governmental </w:t>
            </w:r>
          </w:p>
          <w:p w14:paraId="27D289D0" w14:textId="77777777" w:rsidR="00005007" w:rsidRDefault="00005007" w:rsidP="00772DAC">
            <w:pPr>
              <w:spacing w:line="360" w:lineRule="auto"/>
              <w:ind w:left="0" w:firstLine="0"/>
            </w:pPr>
            <w:r>
              <w:t>Activities</w:t>
            </w:r>
          </w:p>
        </w:tc>
        <w:tc>
          <w:tcPr>
            <w:tcW w:w="0" w:type="auto"/>
            <w:tcBorders>
              <w:top w:val="single" w:sz="4" w:space="0" w:color="auto"/>
              <w:left w:val="single" w:sz="4" w:space="0" w:color="auto"/>
              <w:bottom w:val="single" w:sz="4" w:space="0" w:color="auto"/>
              <w:right w:val="single" w:sz="4" w:space="0" w:color="auto"/>
            </w:tcBorders>
          </w:tcPr>
          <w:p w14:paraId="52FDC6CE" w14:textId="77777777" w:rsidR="00005007" w:rsidRDefault="00005007" w:rsidP="00772DAC">
            <w:pPr>
              <w:spacing w:line="360" w:lineRule="auto"/>
              <w:ind w:left="0" w:firstLine="0"/>
            </w:pPr>
          </w:p>
        </w:tc>
      </w:tr>
      <w:tr w:rsidR="00005007" w14:paraId="68307BF2"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362BA7FE" w14:textId="77777777" w:rsidR="00005007" w:rsidRDefault="00005007" w:rsidP="00772DAC">
            <w:pPr>
              <w:spacing w:line="360" w:lineRule="auto"/>
              <w:ind w:left="0" w:firstLine="0"/>
            </w:pPr>
            <w:r>
              <w:t>Why?</w:t>
            </w:r>
          </w:p>
        </w:tc>
        <w:tc>
          <w:tcPr>
            <w:tcW w:w="0" w:type="auto"/>
            <w:tcBorders>
              <w:top w:val="single" w:sz="4" w:space="0" w:color="auto"/>
              <w:left w:val="single" w:sz="4" w:space="0" w:color="auto"/>
              <w:bottom w:val="single" w:sz="4" w:space="0" w:color="auto"/>
              <w:right w:val="single" w:sz="4" w:space="0" w:color="auto"/>
            </w:tcBorders>
          </w:tcPr>
          <w:p w14:paraId="43D89DF4" w14:textId="77777777" w:rsidR="00005007" w:rsidRDefault="00005007" w:rsidP="00772DAC">
            <w:pPr>
              <w:spacing w:line="360" w:lineRule="auto"/>
              <w:ind w:left="0" w:firstLine="0"/>
            </w:pPr>
          </w:p>
        </w:tc>
      </w:tr>
      <w:tr w:rsidR="00005007" w14:paraId="2067FBEB"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270FD8BE" w14:textId="77777777" w:rsidR="00005007" w:rsidRDefault="00005007" w:rsidP="006F3C66">
            <w:pPr>
              <w:pStyle w:val="ListParagraph"/>
              <w:numPr>
                <w:ilvl w:val="0"/>
                <w:numId w:val="40"/>
              </w:numPr>
              <w:spacing w:line="360" w:lineRule="auto"/>
              <w:ind w:left="0" w:firstLine="0"/>
              <w:jc w:val="left"/>
            </w:pPr>
            <w:r>
              <w:t>Social and government activities fit with my interest</w:t>
            </w:r>
          </w:p>
        </w:tc>
        <w:tc>
          <w:tcPr>
            <w:tcW w:w="0" w:type="auto"/>
            <w:tcBorders>
              <w:top w:val="single" w:sz="4" w:space="0" w:color="auto"/>
              <w:left w:val="single" w:sz="4" w:space="0" w:color="auto"/>
              <w:bottom w:val="single" w:sz="4" w:space="0" w:color="auto"/>
              <w:right w:val="single" w:sz="4" w:space="0" w:color="auto"/>
            </w:tcBorders>
          </w:tcPr>
          <w:p w14:paraId="25FAC518" w14:textId="77777777" w:rsidR="00005007" w:rsidRDefault="00005007" w:rsidP="00772DAC">
            <w:pPr>
              <w:spacing w:line="360" w:lineRule="auto"/>
              <w:ind w:left="0" w:firstLine="0"/>
            </w:pPr>
          </w:p>
        </w:tc>
      </w:tr>
      <w:tr w:rsidR="00005007" w14:paraId="0D7210B7"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503823D0" w14:textId="77777777" w:rsidR="00005007" w:rsidRDefault="00005007" w:rsidP="00772DAC">
            <w:pPr>
              <w:spacing w:line="360" w:lineRule="auto"/>
              <w:ind w:left="0" w:firstLine="0"/>
            </w:pPr>
            <w:r>
              <w:t>Why?</w:t>
            </w:r>
          </w:p>
        </w:tc>
        <w:tc>
          <w:tcPr>
            <w:tcW w:w="0" w:type="auto"/>
            <w:tcBorders>
              <w:top w:val="single" w:sz="4" w:space="0" w:color="auto"/>
              <w:left w:val="single" w:sz="4" w:space="0" w:color="auto"/>
              <w:bottom w:val="single" w:sz="4" w:space="0" w:color="auto"/>
              <w:right w:val="single" w:sz="4" w:space="0" w:color="auto"/>
            </w:tcBorders>
          </w:tcPr>
          <w:p w14:paraId="14C2BA4E" w14:textId="77777777" w:rsidR="00005007" w:rsidRDefault="00005007" w:rsidP="00772DAC">
            <w:pPr>
              <w:spacing w:line="360" w:lineRule="auto"/>
              <w:ind w:left="0" w:firstLine="0"/>
            </w:pPr>
          </w:p>
        </w:tc>
      </w:tr>
      <w:tr w:rsidR="00005007" w14:paraId="1BE60175"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6BF7EFCE" w14:textId="77777777" w:rsidR="00005007" w:rsidRDefault="00005007" w:rsidP="006F3C66">
            <w:pPr>
              <w:pStyle w:val="ListParagraph"/>
              <w:numPr>
                <w:ilvl w:val="0"/>
                <w:numId w:val="40"/>
              </w:numPr>
              <w:spacing w:line="360" w:lineRule="auto"/>
              <w:ind w:left="0" w:firstLine="0"/>
              <w:jc w:val="left"/>
            </w:pPr>
            <w:r>
              <w:t>My involvement depends on my interest</w:t>
            </w:r>
          </w:p>
        </w:tc>
        <w:tc>
          <w:tcPr>
            <w:tcW w:w="0" w:type="auto"/>
            <w:tcBorders>
              <w:top w:val="single" w:sz="4" w:space="0" w:color="auto"/>
              <w:left w:val="single" w:sz="4" w:space="0" w:color="auto"/>
              <w:bottom w:val="single" w:sz="4" w:space="0" w:color="auto"/>
              <w:right w:val="single" w:sz="4" w:space="0" w:color="auto"/>
            </w:tcBorders>
          </w:tcPr>
          <w:p w14:paraId="21B79BF0" w14:textId="77777777" w:rsidR="00005007" w:rsidRDefault="00005007" w:rsidP="00772DAC">
            <w:pPr>
              <w:spacing w:line="360" w:lineRule="auto"/>
              <w:ind w:left="0" w:firstLine="0"/>
            </w:pPr>
          </w:p>
        </w:tc>
      </w:tr>
      <w:tr w:rsidR="00005007" w14:paraId="22D68103"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61D2B2FA" w14:textId="77777777" w:rsidR="00005007" w:rsidRDefault="00005007" w:rsidP="00772DAC">
            <w:pPr>
              <w:spacing w:line="360" w:lineRule="auto"/>
              <w:ind w:left="0" w:firstLine="0"/>
            </w:pPr>
            <w:r>
              <w:t xml:space="preserve">Why </w:t>
            </w:r>
          </w:p>
        </w:tc>
        <w:tc>
          <w:tcPr>
            <w:tcW w:w="0" w:type="auto"/>
            <w:tcBorders>
              <w:top w:val="single" w:sz="4" w:space="0" w:color="auto"/>
              <w:left w:val="single" w:sz="4" w:space="0" w:color="auto"/>
              <w:bottom w:val="single" w:sz="4" w:space="0" w:color="auto"/>
              <w:right w:val="single" w:sz="4" w:space="0" w:color="auto"/>
            </w:tcBorders>
          </w:tcPr>
          <w:p w14:paraId="6B2919FA" w14:textId="77777777" w:rsidR="00005007" w:rsidRDefault="00005007" w:rsidP="00772DAC">
            <w:pPr>
              <w:spacing w:line="360" w:lineRule="auto"/>
              <w:ind w:left="0" w:firstLine="0"/>
            </w:pPr>
          </w:p>
        </w:tc>
      </w:tr>
      <w:tr w:rsidR="00005007" w14:paraId="6DE299E8"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1A2006DD" w14:textId="77777777" w:rsidR="00005007" w:rsidRDefault="00005007" w:rsidP="006F3C66">
            <w:pPr>
              <w:pStyle w:val="ListParagraph"/>
              <w:numPr>
                <w:ilvl w:val="0"/>
                <w:numId w:val="40"/>
              </w:numPr>
              <w:spacing w:line="360" w:lineRule="auto"/>
              <w:ind w:left="0" w:firstLine="0"/>
              <w:jc w:val="left"/>
            </w:pPr>
            <w:r>
              <w:t>Not merely involved in social and government Activities</w:t>
            </w:r>
          </w:p>
        </w:tc>
        <w:tc>
          <w:tcPr>
            <w:tcW w:w="0" w:type="auto"/>
            <w:tcBorders>
              <w:top w:val="single" w:sz="4" w:space="0" w:color="auto"/>
              <w:left w:val="single" w:sz="4" w:space="0" w:color="auto"/>
              <w:bottom w:val="single" w:sz="4" w:space="0" w:color="auto"/>
              <w:right w:val="single" w:sz="4" w:space="0" w:color="auto"/>
            </w:tcBorders>
          </w:tcPr>
          <w:p w14:paraId="59B41DA8" w14:textId="77777777" w:rsidR="00005007" w:rsidRDefault="00005007" w:rsidP="00772DAC">
            <w:pPr>
              <w:spacing w:line="360" w:lineRule="auto"/>
              <w:ind w:left="0" w:firstLine="0"/>
            </w:pPr>
          </w:p>
        </w:tc>
      </w:tr>
      <w:tr w:rsidR="00005007" w14:paraId="3EBF3E20"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29375E5B" w14:textId="77777777" w:rsidR="00005007" w:rsidRDefault="00005007" w:rsidP="00772DAC">
            <w:pPr>
              <w:spacing w:line="360" w:lineRule="auto"/>
              <w:ind w:left="0" w:firstLine="0"/>
            </w:pPr>
            <w:r>
              <w:t>Why?</w:t>
            </w:r>
          </w:p>
        </w:tc>
        <w:tc>
          <w:tcPr>
            <w:tcW w:w="0" w:type="auto"/>
            <w:tcBorders>
              <w:top w:val="single" w:sz="4" w:space="0" w:color="auto"/>
              <w:left w:val="single" w:sz="4" w:space="0" w:color="auto"/>
              <w:bottom w:val="single" w:sz="4" w:space="0" w:color="auto"/>
              <w:right w:val="single" w:sz="4" w:space="0" w:color="auto"/>
            </w:tcBorders>
          </w:tcPr>
          <w:p w14:paraId="4C2B9350" w14:textId="77777777" w:rsidR="00005007" w:rsidRDefault="00005007" w:rsidP="00772DAC">
            <w:pPr>
              <w:spacing w:line="360" w:lineRule="auto"/>
              <w:ind w:left="0" w:firstLine="0"/>
            </w:pPr>
          </w:p>
        </w:tc>
      </w:tr>
      <w:tr w:rsidR="00005007" w14:paraId="5B8FD9B8"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49BF3834" w14:textId="77777777" w:rsidR="00005007" w:rsidRDefault="00005007" w:rsidP="006F3C66">
            <w:pPr>
              <w:pStyle w:val="ListParagraph"/>
              <w:numPr>
                <w:ilvl w:val="0"/>
                <w:numId w:val="40"/>
              </w:numPr>
              <w:spacing w:line="360" w:lineRule="auto"/>
              <w:ind w:left="0" w:firstLine="0"/>
              <w:jc w:val="left"/>
            </w:pPr>
            <w:r>
              <w:t>Involved in giving advice in social and government activities</w:t>
            </w:r>
          </w:p>
        </w:tc>
        <w:tc>
          <w:tcPr>
            <w:tcW w:w="0" w:type="auto"/>
            <w:tcBorders>
              <w:top w:val="single" w:sz="4" w:space="0" w:color="auto"/>
              <w:left w:val="single" w:sz="4" w:space="0" w:color="auto"/>
              <w:bottom w:val="single" w:sz="4" w:space="0" w:color="auto"/>
              <w:right w:val="single" w:sz="4" w:space="0" w:color="auto"/>
            </w:tcBorders>
          </w:tcPr>
          <w:p w14:paraId="47DBEFEB" w14:textId="77777777" w:rsidR="00005007" w:rsidRDefault="00005007" w:rsidP="00772DAC">
            <w:pPr>
              <w:spacing w:line="360" w:lineRule="auto"/>
              <w:ind w:left="0" w:firstLine="0"/>
            </w:pPr>
          </w:p>
        </w:tc>
      </w:tr>
      <w:tr w:rsidR="00005007" w14:paraId="5D0D0444"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38A04F65" w14:textId="77777777" w:rsidR="00005007" w:rsidRDefault="00005007" w:rsidP="00772DAC">
            <w:pPr>
              <w:spacing w:line="360" w:lineRule="auto"/>
              <w:ind w:left="0" w:firstLine="0"/>
            </w:pPr>
            <w:r>
              <w:t>Why?</w:t>
            </w:r>
          </w:p>
        </w:tc>
        <w:tc>
          <w:tcPr>
            <w:tcW w:w="0" w:type="auto"/>
            <w:tcBorders>
              <w:top w:val="single" w:sz="4" w:space="0" w:color="auto"/>
              <w:left w:val="single" w:sz="4" w:space="0" w:color="auto"/>
              <w:bottom w:val="single" w:sz="4" w:space="0" w:color="auto"/>
              <w:right w:val="single" w:sz="4" w:space="0" w:color="auto"/>
            </w:tcBorders>
          </w:tcPr>
          <w:p w14:paraId="7912B094" w14:textId="77777777" w:rsidR="00005007" w:rsidRDefault="00005007" w:rsidP="00772DAC">
            <w:pPr>
              <w:spacing w:line="360" w:lineRule="auto"/>
              <w:ind w:left="0" w:firstLine="0"/>
            </w:pPr>
          </w:p>
        </w:tc>
      </w:tr>
      <w:tr w:rsidR="00005007" w14:paraId="4F011BE5"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57699120" w14:textId="77777777" w:rsidR="00005007" w:rsidRDefault="00005007" w:rsidP="006F3C66">
            <w:pPr>
              <w:pStyle w:val="ListParagraph"/>
              <w:numPr>
                <w:ilvl w:val="0"/>
                <w:numId w:val="40"/>
              </w:numPr>
              <w:spacing w:line="360" w:lineRule="auto"/>
              <w:ind w:left="0" w:firstLine="0"/>
              <w:jc w:val="left"/>
            </w:pPr>
            <w:r>
              <w:t>Actively involved in social and government Activities</w:t>
            </w:r>
          </w:p>
        </w:tc>
        <w:tc>
          <w:tcPr>
            <w:tcW w:w="0" w:type="auto"/>
            <w:tcBorders>
              <w:top w:val="single" w:sz="4" w:space="0" w:color="auto"/>
              <w:left w:val="single" w:sz="4" w:space="0" w:color="auto"/>
              <w:bottom w:val="single" w:sz="4" w:space="0" w:color="auto"/>
              <w:right w:val="single" w:sz="4" w:space="0" w:color="auto"/>
            </w:tcBorders>
          </w:tcPr>
          <w:p w14:paraId="07F14C19" w14:textId="77777777" w:rsidR="00005007" w:rsidRDefault="00005007" w:rsidP="00772DAC">
            <w:pPr>
              <w:spacing w:line="360" w:lineRule="auto"/>
              <w:ind w:left="0" w:firstLine="0"/>
            </w:pPr>
          </w:p>
        </w:tc>
      </w:tr>
      <w:tr w:rsidR="00005007" w14:paraId="337F0090"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7897FE99" w14:textId="77777777" w:rsidR="00005007" w:rsidRDefault="00005007" w:rsidP="00772DAC">
            <w:pPr>
              <w:spacing w:line="360" w:lineRule="auto"/>
              <w:ind w:left="0" w:firstLine="0"/>
            </w:pPr>
            <w:r>
              <w:t xml:space="preserve">Why? </w:t>
            </w:r>
          </w:p>
        </w:tc>
        <w:tc>
          <w:tcPr>
            <w:tcW w:w="0" w:type="auto"/>
            <w:tcBorders>
              <w:top w:val="single" w:sz="4" w:space="0" w:color="auto"/>
              <w:left w:val="single" w:sz="4" w:space="0" w:color="auto"/>
              <w:bottom w:val="single" w:sz="4" w:space="0" w:color="auto"/>
              <w:right w:val="single" w:sz="4" w:space="0" w:color="auto"/>
            </w:tcBorders>
          </w:tcPr>
          <w:p w14:paraId="7A0F2EB0" w14:textId="77777777" w:rsidR="00005007" w:rsidRDefault="00005007" w:rsidP="00772DAC">
            <w:pPr>
              <w:spacing w:line="360" w:lineRule="auto"/>
              <w:ind w:left="0" w:firstLine="0"/>
            </w:pPr>
          </w:p>
        </w:tc>
      </w:tr>
      <w:tr w:rsidR="00005007" w14:paraId="490CF9CC"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2A455A13" w14:textId="77777777" w:rsidR="00005007" w:rsidRDefault="00005007" w:rsidP="006F3C66">
            <w:pPr>
              <w:pStyle w:val="ListParagraph"/>
              <w:numPr>
                <w:ilvl w:val="0"/>
                <w:numId w:val="40"/>
              </w:numPr>
              <w:spacing w:line="360" w:lineRule="auto"/>
              <w:ind w:left="0" w:firstLine="0"/>
              <w:jc w:val="left"/>
            </w:pPr>
            <w:r>
              <w:t>Actively involved and participated in social and government activities</w:t>
            </w:r>
          </w:p>
        </w:tc>
        <w:tc>
          <w:tcPr>
            <w:tcW w:w="0" w:type="auto"/>
            <w:tcBorders>
              <w:top w:val="single" w:sz="4" w:space="0" w:color="auto"/>
              <w:left w:val="single" w:sz="4" w:space="0" w:color="auto"/>
              <w:bottom w:val="single" w:sz="4" w:space="0" w:color="auto"/>
              <w:right w:val="single" w:sz="4" w:space="0" w:color="auto"/>
            </w:tcBorders>
          </w:tcPr>
          <w:p w14:paraId="419D4280" w14:textId="77777777" w:rsidR="00005007" w:rsidRDefault="00005007" w:rsidP="00772DAC">
            <w:pPr>
              <w:spacing w:line="360" w:lineRule="auto"/>
              <w:ind w:left="0" w:firstLine="0"/>
            </w:pPr>
          </w:p>
        </w:tc>
      </w:tr>
      <w:tr w:rsidR="00005007" w14:paraId="76FB882E"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11D7E406" w14:textId="77777777" w:rsidR="00005007" w:rsidRDefault="00005007" w:rsidP="00772DAC">
            <w:pPr>
              <w:spacing w:line="360" w:lineRule="auto"/>
              <w:ind w:left="0" w:firstLine="0"/>
            </w:pPr>
            <w:r>
              <w:t xml:space="preserve">Why? </w:t>
            </w:r>
          </w:p>
        </w:tc>
        <w:tc>
          <w:tcPr>
            <w:tcW w:w="0" w:type="auto"/>
            <w:tcBorders>
              <w:top w:val="single" w:sz="4" w:space="0" w:color="auto"/>
              <w:left w:val="single" w:sz="4" w:space="0" w:color="auto"/>
              <w:bottom w:val="single" w:sz="4" w:space="0" w:color="auto"/>
              <w:right w:val="single" w:sz="4" w:space="0" w:color="auto"/>
            </w:tcBorders>
          </w:tcPr>
          <w:p w14:paraId="225376A6" w14:textId="77777777" w:rsidR="00005007" w:rsidRDefault="00005007" w:rsidP="00772DAC">
            <w:pPr>
              <w:spacing w:line="360" w:lineRule="auto"/>
              <w:ind w:left="0" w:firstLine="0"/>
            </w:pPr>
          </w:p>
        </w:tc>
      </w:tr>
      <w:tr w:rsidR="00005007" w14:paraId="1BF74102"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2AA450A9" w14:textId="77777777" w:rsidR="00005007" w:rsidRDefault="00005007" w:rsidP="006F3C66">
            <w:pPr>
              <w:pStyle w:val="ListParagraph"/>
              <w:numPr>
                <w:ilvl w:val="0"/>
                <w:numId w:val="40"/>
              </w:numPr>
              <w:spacing w:line="360" w:lineRule="auto"/>
              <w:ind w:left="0" w:firstLine="0"/>
              <w:jc w:val="left"/>
            </w:pPr>
            <w:r>
              <w:t>Knowing their basic rights as citizen to involve and determine</w:t>
            </w:r>
          </w:p>
        </w:tc>
        <w:tc>
          <w:tcPr>
            <w:tcW w:w="0" w:type="auto"/>
            <w:tcBorders>
              <w:top w:val="single" w:sz="4" w:space="0" w:color="auto"/>
              <w:left w:val="single" w:sz="4" w:space="0" w:color="auto"/>
              <w:bottom w:val="single" w:sz="4" w:space="0" w:color="auto"/>
              <w:right w:val="single" w:sz="4" w:space="0" w:color="auto"/>
            </w:tcBorders>
          </w:tcPr>
          <w:p w14:paraId="7CB73849" w14:textId="77777777" w:rsidR="00005007" w:rsidRDefault="00005007" w:rsidP="00772DAC">
            <w:pPr>
              <w:spacing w:line="360" w:lineRule="auto"/>
              <w:ind w:left="0" w:firstLine="0"/>
            </w:pPr>
          </w:p>
        </w:tc>
      </w:tr>
      <w:tr w:rsidR="00005007" w14:paraId="5B98EA7A" w14:textId="77777777" w:rsidTr="00005007">
        <w:tc>
          <w:tcPr>
            <w:tcW w:w="0" w:type="auto"/>
            <w:tcBorders>
              <w:top w:val="single" w:sz="4" w:space="0" w:color="auto"/>
              <w:left w:val="single" w:sz="4" w:space="0" w:color="auto"/>
              <w:bottom w:val="single" w:sz="4" w:space="0" w:color="auto"/>
              <w:right w:val="single" w:sz="4" w:space="0" w:color="auto"/>
            </w:tcBorders>
            <w:hideMark/>
          </w:tcPr>
          <w:p w14:paraId="7785A032" w14:textId="77777777" w:rsidR="00005007" w:rsidRDefault="00005007" w:rsidP="00772DAC">
            <w:pPr>
              <w:spacing w:line="360" w:lineRule="auto"/>
              <w:ind w:left="0" w:firstLine="0"/>
            </w:pPr>
            <w:r>
              <w:t xml:space="preserve">Total value </w:t>
            </w:r>
          </w:p>
        </w:tc>
        <w:tc>
          <w:tcPr>
            <w:tcW w:w="0" w:type="auto"/>
            <w:tcBorders>
              <w:top w:val="single" w:sz="4" w:space="0" w:color="auto"/>
              <w:left w:val="single" w:sz="4" w:space="0" w:color="auto"/>
              <w:bottom w:val="single" w:sz="4" w:space="0" w:color="auto"/>
              <w:right w:val="single" w:sz="4" w:space="0" w:color="auto"/>
            </w:tcBorders>
          </w:tcPr>
          <w:p w14:paraId="5C5FA063" w14:textId="77777777" w:rsidR="00005007" w:rsidRDefault="00005007" w:rsidP="00772DAC">
            <w:pPr>
              <w:spacing w:line="360" w:lineRule="auto"/>
              <w:ind w:left="0" w:firstLine="0"/>
            </w:pPr>
          </w:p>
        </w:tc>
      </w:tr>
    </w:tbl>
    <w:p w14:paraId="14683579" w14:textId="77777777" w:rsidR="00005007" w:rsidRDefault="00005007" w:rsidP="00772DAC">
      <w:pPr>
        <w:ind w:left="0" w:firstLine="0"/>
        <w:rPr>
          <w:kern w:val="2"/>
        </w:rPr>
      </w:pPr>
    </w:p>
    <w:p w14:paraId="7CD80CB0" w14:textId="77777777" w:rsidR="00BB6EA5" w:rsidRPr="00BB6EA5" w:rsidRDefault="00BB6EA5" w:rsidP="00BB6EA5">
      <w:pPr>
        <w:pStyle w:val="BodyText"/>
      </w:pPr>
    </w:p>
    <w:p w14:paraId="076BC2D0" w14:textId="77777777" w:rsidR="00005007" w:rsidRDefault="00005007" w:rsidP="00772DAC">
      <w:pPr>
        <w:ind w:left="0" w:firstLine="0"/>
        <w:rPr>
          <w:b/>
          <w:bCs/>
        </w:rPr>
      </w:pPr>
      <w:r>
        <w:rPr>
          <w:b/>
          <w:bCs/>
        </w:rPr>
        <w:t xml:space="preserve">TABLE 3: CONTROL </w:t>
      </w:r>
    </w:p>
    <w:p w14:paraId="4C1D573D" w14:textId="77777777" w:rsidR="00005007" w:rsidRDefault="00005007" w:rsidP="00772DAC">
      <w:pPr>
        <w:ind w:left="0" w:firstLine="0"/>
      </w:pPr>
      <w:r>
        <w:t>This relates to the certainty of the position of decision-making power that the people have which then influences their participation rate.</w:t>
      </w:r>
    </w:p>
    <w:tbl>
      <w:tblPr>
        <w:tblW w:w="5000" w:type="pct"/>
        <w:tblLook w:val="04A0" w:firstRow="1" w:lastRow="0" w:firstColumn="1" w:lastColumn="0" w:noHBand="0" w:noVBand="1"/>
      </w:tblPr>
      <w:tblGrid>
        <w:gridCol w:w="6786"/>
        <w:gridCol w:w="790"/>
      </w:tblGrid>
      <w:tr w:rsidR="00005007" w14:paraId="4C6643EE"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1CA8A969" w14:textId="77777777" w:rsidR="00005007" w:rsidRDefault="00005007" w:rsidP="0081629E">
            <w:pPr>
              <w:spacing w:after="0" w:line="360" w:lineRule="auto"/>
              <w:ind w:left="0" w:firstLine="0"/>
              <w:rPr>
                <w:b/>
                <w:bCs/>
              </w:rPr>
            </w:pPr>
            <w:r>
              <w:rPr>
                <w:b/>
                <w:bCs/>
              </w:rPr>
              <w:t xml:space="preserve">Indicator </w:t>
            </w:r>
          </w:p>
        </w:tc>
        <w:tc>
          <w:tcPr>
            <w:tcW w:w="441" w:type="pct"/>
            <w:tcBorders>
              <w:top w:val="single" w:sz="4" w:space="0" w:color="auto"/>
              <w:left w:val="single" w:sz="4" w:space="0" w:color="auto"/>
              <w:bottom w:val="single" w:sz="4" w:space="0" w:color="auto"/>
              <w:right w:val="single" w:sz="4" w:space="0" w:color="auto"/>
            </w:tcBorders>
            <w:hideMark/>
          </w:tcPr>
          <w:p w14:paraId="0D77EA5A" w14:textId="77777777" w:rsidR="00005007" w:rsidRDefault="00005007" w:rsidP="0081629E">
            <w:pPr>
              <w:spacing w:after="0" w:line="360" w:lineRule="auto"/>
              <w:ind w:left="0" w:firstLine="0"/>
              <w:rPr>
                <w:b/>
                <w:bCs/>
              </w:rPr>
            </w:pPr>
            <w:r>
              <w:rPr>
                <w:b/>
                <w:bCs/>
              </w:rPr>
              <w:t xml:space="preserve">Score </w:t>
            </w:r>
          </w:p>
        </w:tc>
      </w:tr>
      <w:tr w:rsidR="00005007" w14:paraId="2348D684"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0A48D502" w14:textId="77777777" w:rsidR="00005007" w:rsidRDefault="00005007" w:rsidP="0081629E">
            <w:pPr>
              <w:pStyle w:val="ListParagraph"/>
              <w:numPr>
                <w:ilvl w:val="0"/>
                <w:numId w:val="40"/>
              </w:numPr>
              <w:spacing w:after="0" w:line="360" w:lineRule="auto"/>
              <w:ind w:left="0" w:firstLine="0"/>
              <w:jc w:val="left"/>
            </w:pPr>
            <w:r>
              <w:t>Government does not determine all developmental Activities</w:t>
            </w:r>
          </w:p>
        </w:tc>
        <w:tc>
          <w:tcPr>
            <w:tcW w:w="441" w:type="pct"/>
            <w:tcBorders>
              <w:top w:val="single" w:sz="4" w:space="0" w:color="auto"/>
              <w:left w:val="single" w:sz="4" w:space="0" w:color="auto"/>
              <w:bottom w:val="single" w:sz="4" w:space="0" w:color="auto"/>
              <w:right w:val="single" w:sz="4" w:space="0" w:color="auto"/>
            </w:tcBorders>
          </w:tcPr>
          <w:p w14:paraId="27207582" w14:textId="77777777" w:rsidR="00005007" w:rsidRDefault="00005007" w:rsidP="0081629E">
            <w:pPr>
              <w:spacing w:after="0" w:line="360" w:lineRule="auto"/>
              <w:ind w:left="0" w:firstLine="0"/>
            </w:pPr>
          </w:p>
        </w:tc>
      </w:tr>
      <w:tr w:rsidR="00005007" w14:paraId="3DA39326"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3C5A5B12"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7164A890" w14:textId="77777777" w:rsidR="00005007" w:rsidRDefault="00005007" w:rsidP="0081629E">
            <w:pPr>
              <w:spacing w:after="0" w:line="360" w:lineRule="auto"/>
              <w:ind w:left="0" w:firstLine="0"/>
            </w:pPr>
          </w:p>
        </w:tc>
      </w:tr>
      <w:tr w:rsidR="00005007" w14:paraId="4DBC149D"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4750F5F1" w14:textId="77777777" w:rsidR="00005007" w:rsidRDefault="00005007" w:rsidP="0081629E">
            <w:pPr>
              <w:pStyle w:val="ListParagraph"/>
              <w:numPr>
                <w:ilvl w:val="0"/>
                <w:numId w:val="40"/>
              </w:numPr>
              <w:spacing w:after="0" w:line="360" w:lineRule="auto"/>
              <w:ind w:left="0" w:firstLine="0"/>
              <w:jc w:val="left"/>
            </w:pPr>
            <w:r>
              <w:t>People were not just involved in determining developmental activities</w:t>
            </w:r>
          </w:p>
        </w:tc>
        <w:tc>
          <w:tcPr>
            <w:tcW w:w="441" w:type="pct"/>
            <w:tcBorders>
              <w:top w:val="single" w:sz="4" w:space="0" w:color="auto"/>
              <w:left w:val="single" w:sz="4" w:space="0" w:color="auto"/>
              <w:bottom w:val="single" w:sz="4" w:space="0" w:color="auto"/>
              <w:right w:val="single" w:sz="4" w:space="0" w:color="auto"/>
            </w:tcBorders>
          </w:tcPr>
          <w:p w14:paraId="07F7EFED" w14:textId="77777777" w:rsidR="00005007" w:rsidRDefault="00005007" w:rsidP="0081629E">
            <w:pPr>
              <w:spacing w:after="0" w:line="360" w:lineRule="auto"/>
              <w:ind w:left="0" w:firstLine="0"/>
            </w:pPr>
          </w:p>
        </w:tc>
      </w:tr>
      <w:tr w:rsidR="00005007" w14:paraId="183743A5"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436FA9BF"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2DCFCEA4" w14:textId="77777777" w:rsidR="00005007" w:rsidRDefault="00005007" w:rsidP="0081629E">
            <w:pPr>
              <w:spacing w:after="0" w:line="360" w:lineRule="auto"/>
              <w:ind w:left="0" w:firstLine="0"/>
            </w:pPr>
          </w:p>
        </w:tc>
      </w:tr>
      <w:tr w:rsidR="00005007" w14:paraId="1B03154D"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1B2AD128" w14:textId="77777777" w:rsidR="00005007" w:rsidRDefault="00005007" w:rsidP="0081629E">
            <w:pPr>
              <w:pStyle w:val="ListParagraph"/>
              <w:numPr>
                <w:ilvl w:val="0"/>
                <w:numId w:val="40"/>
              </w:numPr>
              <w:spacing w:after="0" w:line="360" w:lineRule="auto"/>
              <w:ind w:left="0" w:firstLine="0"/>
              <w:jc w:val="left"/>
            </w:pPr>
            <w:r>
              <w:t>Government does not only informed people about developmental activities</w:t>
            </w:r>
          </w:p>
        </w:tc>
        <w:tc>
          <w:tcPr>
            <w:tcW w:w="441" w:type="pct"/>
            <w:tcBorders>
              <w:top w:val="single" w:sz="4" w:space="0" w:color="auto"/>
              <w:left w:val="single" w:sz="4" w:space="0" w:color="auto"/>
              <w:bottom w:val="single" w:sz="4" w:space="0" w:color="auto"/>
              <w:right w:val="single" w:sz="4" w:space="0" w:color="auto"/>
            </w:tcBorders>
          </w:tcPr>
          <w:p w14:paraId="54A6B88E" w14:textId="77777777" w:rsidR="00005007" w:rsidRDefault="00005007" w:rsidP="0081629E">
            <w:pPr>
              <w:spacing w:after="0" w:line="360" w:lineRule="auto"/>
              <w:ind w:left="0" w:firstLine="0"/>
            </w:pPr>
          </w:p>
        </w:tc>
      </w:tr>
      <w:tr w:rsidR="00005007" w14:paraId="2BD4CE29"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6054EC29" w14:textId="77777777" w:rsidR="00005007" w:rsidRDefault="00005007" w:rsidP="0081629E">
            <w:pPr>
              <w:spacing w:after="0" w:line="360" w:lineRule="auto"/>
              <w:ind w:left="0" w:firstLine="0"/>
            </w:pPr>
            <w:r>
              <w:t xml:space="preserve">Why? </w:t>
            </w:r>
          </w:p>
        </w:tc>
        <w:tc>
          <w:tcPr>
            <w:tcW w:w="441" w:type="pct"/>
            <w:tcBorders>
              <w:top w:val="single" w:sz="4" w:space="0" w:color="auto"/>
              <w:left w:val="single" w:sz="4" w:space="0" w:color="auto"/>
              <w:bottom w:val="single" w:sz="4" w:space="0" w:color="auto"/>
              <w:right w:val="single" w:sz="4" w:space="0" w:color="auto"/>
            </w:tcBorders>
          </w:tcPr>
          <w:p w14:paraId="34F4BBC9" w14:textId="77777777" w:rsidR="00005007" w:rsidRDefault="00005007" w:rsidP="0081629E">
            <w:pPr>
              <w:spacing w:after="0" w:line="360" w:lineRule="auto"/>
              <w:ind w:left="0" w:firstLine="0"/>
            </w:pPr>
          </w:p>
        </w:tc>
      </w:tr>
      <w:tr w:rsidR="00005007" w14:paraId="058E2D5A"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1DF5C0F4" w14:textId="77777777" w:rsidR="00005007" w:rsidRDefault="00005007" w:rsidP="0081629E">
            <w:pPr>
              <w:pStyle w:val="ListParagraph"/>
              <w:numPr>
                <w:ilvl w:val="0"/>
                <w:numId w:val="40"/>
              </w:numPr>
              <w:spacing w:after="0" w:line="360" w:lineRule="auto"/>
              <w:ind w:left="0" w:firstLine="0"/>
              <w:jc w:val="left"/>
            </w:pPr>
            <w:r>
              <w:t>Government does not only involve few people in determining developmental activities</w:t>
            </w:r>
          </w:p>
        </w:tc>
        <w:tc>
          <w:tcPr>
            <w:tcW w:w="441" w:type="pct"/>
            <w:tcBorders>
              <w:top w:val="single" w:sz="4" w:space="0" w:color="auto"/>
              <w:left w:val="single" w:sz="4" w:space="0" w:color="auto"/>
              <w:bottom w:val="single" w:sz="4" w:space="0" w:color="auto"/>
              <w:right w:val="single" w:sz="4" w:space="0" w:color="auto"/>
            </w:tcBorders>
          </w:tcPr>
          <w:p w14:paraId="77F8241C" w14:textId="77777777" w:rsidR="00005007" w:rsidRDefault="00005007" w:rsidP="0081629E">
            <w:pPr>
              <w:spacing w:after="0" w:line="360" w:lineRule="auto"/>
              <w:ind w:left="0" w:firstLine="0"/>
            </w:pPr>
          </w:p>
        </w:tc>
      </w:tr>
      <w:tr w:rsidR="00005007" w14:paraId="3AC561A4"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3A6E8DD1"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3E4366A3" w14:textId="77777777" w:rsidR="00005007" w:rsidRDefault="00005007" w:rsidP="0081629E">
            <w:pPr>
              <w:spacing w:after="0" w:line="360" w:lineRule="auto"/>
              <w:ind w:left="0" w:firstLine="0"/>
            </w:pPr>
          </w:p>
        </w:tc>
      </w:tr>
      <w:tr w:rsidR="00005007" w14:paraId="131976F1"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413FB608" w14:textId="77777777" w:rsidR="00005007" w:rsidRDefault="00005007" w:rsidP="0081629E">
            <w:pPr>
              <w:pStyle w:val="ListParagraph"/>
              <w:numPr>
                <w:ilvl w:val="0"/>
                <w:numId w:val="40"/>
              </w:numPr>
              <w:spacing w:after="0" w:line="360" w:lineRule="auto"/>
              <w:ind w:left="0" w:firstLine="0"/>
              <w:jc w:val="left"/>
            </w:pPr>
            <w:r>
              <w:t>Government involved people in determining developmental activities</w:t>
            </w:r>
          </w:p>
        </w:tc>
        <w:tc>
          <w:tcPr>
            <w:tcW w:w="441" w:type="pct"/>
            <w:tcBorders>
              <w:top w:val="single" w:sz="4" w:space="0" w:color="auto"/>
              <w:left w:val="single" w:sz="4" w:space="0" w:color="auto"/>
              <w:bottom w:val="single" w:sz="4" w:space="0" w:color="auto"/>
              <w:right w:val="single" w:sz="4" w:space="0" w:color="auto"/>
            </w:tcBorders>
          </w:tcPr>
          <w:p w14:paraId="4437287F" w14:textId="77777777" w:rsidR="00005007" w:rsidRDefault="00005007" w:rsidP="0081629E">
            <w:pPr>
              <w:spacing w:after="0" w:line="360" w:lineRule="auto"/>
              <w:ind w:left="0" w:firstLine="0"/>
            </w:pPr>
          </w:p>
        </w:tc>
      </w:tr>
      <w:tr w:rsidR="00005007" w14:paraId="5C17D08F"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52F4B71E"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1121E340" w14:textId="77777777" w:rsidR="00005007" w:rsidRDefault="00005007" w:rsidP="0081629E">
            <w:pPr>
              <w:spacing w:after="0" w:line="360" w:lineRule="auto"/>
              <w:ind w:left="0" w:firstLine="0"/>
            </w:pPr>
          </w:p>
        </w:tc>
      </w:tr>
      <w:tr w:rsidR="00005007" w14:paraId="23515C62"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18A8F4A3" w14:textId="77777777" w:rsidR="00005007" w:rsidRDefault="00005007" w:rsidP="0081629E">
            <w:pPr>
              <w:pStyle w:val="ListParagraph"/>
              <w:numPr>
                <w:ilvl w:val="0"/>
                <w:numId w:val="40"/>
              </w:numPr>
              <w:spacing w:after="0" w:line="360" w:lineRule="auto"/>
              <w:ind w:left="0" w:firstLine="0"/>
              <w:jc w:val="left"/>
            </w:pPr>
            <w:r>
              <w:t xml:space="preserve">Government </w:t>
            </w:r>
            <w:proofErr w:type="gramStart"/>
            <w:r>
              <w:t>opened up</w:t>
            </w:r>
            <w:proofErr w:type="gramEnd"/>
            <w:r>
              <w:t xml:space="preserve"> a room for dialogue to determine developmental activities</w:t>
            </w:r>
          </w:p>
        </w:tc>
        <w:tc>
          <w:tcPr>
            <w:tcW w:w="441" w:type="pct"/>
            <w:tcBorders>
              <w:top w:val="single" w:sz="4" w:space="0" w:color="auto"/>
              <w:left w:val="single" w:sz="4" w:space="0" w:color="auto"/>
              <w:bottom w:val="single" w:sz="4" w:space="0" w:color="auto"/>
              <w:right w:val="single" w:sz="4" w:space="0" w:color="auto"/>
            </w:tcBorders>
          </w:tcPr>
          <w:p w14:paraId="24BDE044" w14:textId="77777777" w:rsidR="00005007" w:rsidRDefault="00005007" w:rsidP="0081629E">
            <w:pPr>
              <w:spacing w:after="0" w:line="360" w:lineRule="auto"/>
              <w:ind w:left="0" w:firstLine="0"/>
            </w:pPr>
          </w:p>
        </w:tc>
      </w:tr>
      <w:tr w:rsidR="00005007" w14:paraId="073AB200"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0351E09D"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7722A5AC" w14:textId="77777777" w:rsidR="00005007" w:rsidRDefault="00005007" w:rsidP="0081629E">
            <w:pPr>
              <w:spacing w:after="0" w:line="360" w:lineRule="auto"/>
              <w:ind w:left="0" w:firstLine="0"/>
            </w:pPr>
          </w:p>
        </w:tc>
      </w:tr>
      <w:tr w:rsidR="00005007" w14:paraId="43AD7F10"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71CB4D70" w14:textId="77777777" w:rsidR="00005007" w:rsidRDefault="00005007" w:rsidP="0081629E">
            <w:pPr>
              <w:pStyle w:val="ListParagraph"/>
              <w:numPr>
                <w:ilvl w:val="0"/>
                <w:numId w:val="40"/>
              </w:numPr>
              <w:spacing w:after="0" w:line="360" w:lineRule="auto"/>
              <w:ind w:left="0" w:firstLine="0"/>
              <w:jc w:val="left"/>
            </w:pPr>
            <w:r>
              <w:t>Government gave a room for people to determine developmental activities</w:t>
            </w:r>
          </w:p>
        </w:tc>
        <w:tc>
          <w:tcPr>
            <w:tcW w:w="441" w:type="pct"/>
            <w:tcBorders>
              <w:top w:val="single" w:sz="4" w:space="0" w:color="auto"/>
              <w:left w:val="single" w:sz="4" w:space="0" w:color="auto"/>
              <w:bottom w:val="single" w:sz="4" w:space="0" w:color="auto"/>
              <w:right w:val="single" w:sz="4" w:space="0" w:color="auto"/>
            </w:tcBorders>
          </w:tcPr>
          <w:p w14:paraId="1F66BEAC" w14:textId="77777777" w:rsidR="00005007" w:rsidRDefault="00005007" w:rsidP="0081629E">
            <w:pPr>
              <w:spacing w:after="0" w:line="360" w:lineRule="auto"/>
              <w:ind w:left="0" w:firstLine="0"/>
            </w:pPr>
          </w:p>
        </w:tc>
      </w:tr>
      <w:tr w:rsidR="00005007" w14:paraId="0CB7290D"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71F05397"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2BC3AC56" w14:textId="77777777" w:rsidR="00005007" w:rsidRDefault="00005007" w:rsidP="0081629E">
            <w:pPr>
              <w:spacing w:after="0" w:line="360" w:lineRule="auto"/>
              <w:ind w:left="0" w:firstLine="0"/>
            </w:pPr>
          </w:p>
        </w:tc>
      </w:tr>
      <w:tr w:rsidR="00005007" w14:paraId="00DDB59F"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69AE87F9" w14:textId="77777777" w:rsidR="00005007" w:rsidRDefault="00005007" w:rsidP="0081629E">
            <w:pPr>
              <w:pStyle w:val="ListParagraph"/>
              <w:numPr>
                <w:ilvl w:val="0"/>
                <w:numId w:val="40"/>
              </w:numPr>
              <w:spacing w:after="0" w:line="360" w:lineRule="auto"/>
              <w:ind w:left="0" w:firstLine="0"/>
              <w:jc w:val="left"/>
            </w:pPr>
            <w:r>
              <w:t>All developmental activities were determined by people</w:t>
            </w:r>
          </w:p>
        </w:tc>
        <w:tc>
          <w:tcPr>
            <w:tcW w:w="441" w:type="pct"/>
            <w:tcBorders>
              <w:top w:val="single" w:sz="4" w:space="0" w:color="auto"/>
              <w:left w:val="single" w:sz="4" w:space="0" w:color="auto"/>
              <w:bottom w:val="single" w:sz="4" w:space="0" w:color="auto"/>
              <w:right w:val="single" w:sz="4" w:space="0" w:color="auto"/>
            </w:tcBorders>
          </w:tcPr>
          <w:p w14:paraId="67A35AC2" w14:textId="77777777" w:rsidR="00005007" w:rsidRDefault="00005007" w:rsidP="0081629E">
            <w:pPr>
              <w:spacing w:after="0" w:line="360" w:lineRule="auto"/>
              <w:ind w:left="0" w:firstLine="0"/>
            </w:pPr>
          </w:p>
        </w:tc>
      </w:tr>
      <w:tr w:rsidR="00005007" w14:paraId="48A915B5"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548D52E0"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4CB14B78" w14:textId="77777777" w:rsidR="00005007" w:rsidRDefault="00005007" w:rsidP="0081629E">
            <w:pPr>
              <w:spacing w:after="0" w:line="360" w:lineRule="auto"/>
              <w:ind w:left="0" w:firstLine="0"/>
            </w:pPr>
          </w:p>
        </w:tc>
      </w:tr>
      <w:tr w:rsidR="00005007" w14:paraId="1CFFAD38"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19B295CD" w14:textId="77777777" w:rsidR="00005007" w:rsidRDefault="00005007" w:rsidP="0081629E">
            <w:pPr>
              <w:spacing w:after="0" w:line="360" w:lineRule="auto"/>
              <w:ind w:left="0" w:firstLine="0"/>
            </w:pPr>
            <w:r>
              <w:t xml:space="preserve">Total value </w:t>
            </w:r>
          </w:p>
        </w:tc>
        <w:tc>
          <w:tcPr>
            <w:tcW w:w="441" w:type="pct"/>
            <w:tcBorders>
              <w:top w:val="single" w:sz="4" w:space="0" w:color="auto"/>
              <w:left w:val="single" w:sz="4" w:space="0" w:color="auto"/>
              <w:bottom w:val="single" w:sz="4" w:space="0" w:color="auto"/>
              <w:right w:val="single" w:sz="4" w:space="0" w:color="auto"/>
            </w:tcBorders>
          </w:tcPr>
          <w:p w14:paraId="7329932A" w14:textId="77777777" w:rsidR="00005007" w:rsidRDefault="00005007" w:rsidP="0081629E">
            <w:pPr>
              <w:spacing w:after="0" w:line="360" w:lineRule="auto"/>
              <w:ind w:left="0" w:firstLine="0"/>
            </w:pPr>
          </w:p>
        </w:tc>
      </w:tr>
    </w:tbl>
    <w:p w14:paraId="17A4F3AB" w14:textId="77777777" w:rsidR="00005007" w:rsidRDefault="00005007" w:rsidP="00772DAC">
      <w:pPr>
        <w:ind w:left="0" w:firstLine="0"/>
        <w:rPr>
          <w:kern w:val="2"/>
        </w:rPr>
      </w:pPr>
    </w:p>
    <w:p w14:paraId="17B3965A" w14:textId="77777777" w:rsidR="0081629E" w:rsidRDefault="0081629E" w:rsidP="0081629E">
      <w:pPr>
        <w:pStyle w:val="BodyText"/>
      </w:pPr>
    </w:p>
    <w:p w14:paraId="5F9BBB22" w14:textId="77777777" w:rsidR="0081629E" w:rsidRPr="0081629E" w:rsidRDefault="0081629E" w:rsidP="0081629E">
      <w:pPr>
        <w:pStyle w:val="BodyText"/>
      </w:pPr>
    </w:p>
    <w:p w14:paraId="2E24B50C" w14:textId="77777777" w:rsidR="00005007" w:rsidRDefault="00005007" w:rsidP="00772DAC">
      <w:pPr>
        <w:ind w:left="0" w:firstLine="0"/>
        <w:rPr>
          <w:b/>
          <w:bCs/>
        </w:rPr>
      </w:pPr>
      <w:r>
        <w:rPr>
          <w:b/>
          <w:bCs/>
        </w:rPr>
        <w:t>TABLE 4: BENEFIT</w:t>
      </w:r>
    </w:p>
    <w:p w14:paraId="5142639A" w14:textId="77777777" w:rsidR="00005007" w:rsidRDefault="00005007" w:rsidP="00772DAC">
      <w:pPr>
        <w:ind w:left="0" w:firstLine="0"/>
      </w:pPr>
      <w:r>
        <w:t>People are likely to participate in development activities if they feel it will bring a positive impact (benefits) to them.</w:t>
      </w:r>
    </w:p>
    <w:tbl>
      <w:tblPr>
        <w:tblW w:w="5000" w:type="pct"/>
        <w:tblLook w:val="04A0" w:firstRow="1" w:lastRow="0" w:firstColumn="1" w:lastColumn="0" w:noHBand="0" w:noVBand="1"/>
      </w:tblPr>
      <w:tblGrid>
        <w:gridCol w:w="6786"/>
        <w:gridCol w:w="790"/>
      </w:tblGrid>
      <w:tr w:rsidR="00005007" w14:paraId="21D30DF1"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7AF3E767" w14:textId="77777777" w:rsidR="00005007" w:rsidRDefault="00005007" w:rsidP="0081629E">
            <w:pPr>
              <w:spacing w:after="0" w:line="360" w:lineRule="auto"/>
              <w:ind w:left="0" w:firstLine="0"/>
              <w:rPr>
                <w:b/>
                <w:bCs/>
              </w:rPr>
            </w:pPr>
            <w:r>
              <w:rPr>
                <w:b/>
                <w:bCs/>
              </w:rPr>
              <w:t xml:space="preserve">Indicator </w:t>
            </w:r>
          </w:p>
        </w:tc>
        <w:tc>
          <w:tcPr>
            <w:tcW w:w="441" w:type="pct"/>
            <w:tcBorders>
              <w:top w:val="single" w:sz="4" w:space="0" w:color="auto"/>
              <w:left w:val="single" w:sz="4" w:space="0" w:color="auto"/>
              <w:bottom w:val="single" w:sz="4" w:space="0" w:color="auto"/>
              <w:right w:val="single" w:sz="4" w:space="0" w:color="auto"/>
            </w:tcBorders>
            <w:hideMark/>
          </w:tcPr>
          <w:p w14:paraId="7A016029" w14:textId="77777777" w:rsidR="00005007" w:rsidRDefault="00005007" w:rsidP="0081629E">
            <w:pPr>
              <w:spacing w:after="0" w:line="360" w:lineRule="auto"/>
              <w:ind w:left="0" w:firstLine="0"/>
              <w:rPr>
                <w:b/>
                <w:bCs/>
              </w:rPr>
            </w:pPr>
            <w:r>
              <w:rPr>
                <w:b/>
                <w:bCs/>
              </w:rPr>
              <w:t xml:space="preserve">Score </w:t>
            </w:r>
          </w:p>
        </w:tc>
      </w:tr>
      <w:tr w:rsidR="00005007" w14:paraId="2E563EE8"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38CA9292" w14:textId="77777777" w:rsidR="00005007" w:rsidRDefault="00005007" w:rsidP="0081629E">
            <w:pPr>
              <w:pStyle w:val="ListParagraph"/>
              <w:numPr>
                <w:ilvl w:val="0"/>
                <w:numId w:val="40"/>
              </w:numPr>
              <w:spacing w:after="0" w:line="360" w:lineRule="auto"/>
              <w:ind w:left="0" w:firstLine="0"/>
            </w:pPr>
            <w:r>
              <w:t>People feel the benefits of development Activities</w:t>
            </w:r>
          </w:p>
        </w:tc>
        <w:tc>
          <w:tcPr>
            <w:tcW w:w="441" w:type="pct"/>
            <w:tcBorders>
              <w:top w:val="single" w:sz="4" w:space="0" w:color="auto"/>
              <w:left w:val="single" w:sz="4" w:space="0" w:color="auto"/>
              <w:bottom w:val="single" w:sz="4" w:space="0" w:color="auto"/>
              <w:right w:val="single" w:sz="4" w:space="0" w:color="auto"/>
            </w:tcBorders>
          </w:tcPr>
          <w:p w14:paraId="4E65B179" w14:textId="77777777" w:rsidR="00005007" w:rsidRDefault="00005007" w:rsidP="0081629E">
            <w:pPr>
              <w:spacing w:after="0" w:line="360" w:lineRule="auto"/>
              <w:ind w:left="0" w:firstLine="0"/>
            </w:pPr>
          </w:p>
        </w:tc>
      </w:tr>
      <w:tr w:rsidR="00005007" w14:paraId="0386ACD3"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3DB81CDA"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5B37B77A" w14:textId="77777777" w:rsidR="00005007" w:rsidRDefault="00005007" w:rsidP="0081629E">
            <w:pPr>
              <w:spacing w:after="0" w:line="360" w:lineRule="auto"/>
              <w:ind w:left="0" w:firstLine="0"/>
            </w:pPr>
          </w:p>
        </w:tc>
      </w:tr>
      <w:tr w:rsidR="00005007" w14:paraId="38AECFC8"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60A0C489" w14:textId="77777777" w:rsidR="00005007" w:rsidRDefault="00005007" w:rsidP="0081629E">
            <w:pPr>
              <w:pStyle w:val="ListParagraph"/>
              <w:numPr>
                <w:ilvl w:val="0"/>
                <w:numId w:val="40"/>
              </w:numPr>
              <w:spacing w:after="0" w:line="360" w:lineRule="auto"/>
              <w:ind w:left="0" w:firstLine="0"/>
            </w:pPr>
            <w:r>
              <w:t>Not only few or certain groups of people get advantages from development activities</w:t>
            </w:r>
          </w:p>
        </w:tc>
        <w:tc>
          <w:tcPr>
            <w:tcW w:w="441" w:type="pct"/>
            <w:tcBorders>
              <w:top w:val="single" w:sz="4" w:space="0" w:color="auto"/>
              <w:left w:val="single" w:sz="4" w:space="0" w:color="auto"/>
              <w:bottom w:val="single" w:sz="4" w:space="0" w:color="auto"/>
              <w:right w:val="single" w:sz="4" w:space="0" w:color="auto"/>
            </w:tcBorders>
          </w:tcPr>
          <w:p w14:paraId="12A0AA38" w14:textId="77777777" w:rsidR="00005007" w:rsidRDefault="00005007" w:rsidP="0081629E">
            <w:pPr>
              <w:spacing w:after="0" w:line="360" w:lineRule="auto"/>
              <w:ind w:left="0" w:firstLine="0"/>
            </w:pPr>
          </w:p>
        </w:tc>
      </w:tr>
      <w:tr w:rsidR="00005007" w14:paraId="31E79188"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2565F04B"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52C02F68" w14:textId="77777777" w:rsidR="00005007" w:rsidRDefault="00005007" w:rsidP="0081629E">
            <w:pPr>
              <w:spacing w:after="0" w:line="360" w:lineRule="auto"/>
              <w:ind w:left="0" w:firstLine="0"/>
            </w:pPr>
          </w:p>
        </w:tc>
      </w:tr>
      <w:tr w:rsidR="00005007" w14:paraId="5B1E590E"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1BC6E5B3" w14:textId="77777777" w:rsidR="00005007" w:rsidRDefault="00005007" w:rsidP="0081629E">
            <w:pPr>
              <w:pStyle w:val="ListParagraph"/>
              <w:numPr>
                <w:ilvl w:val="0"/>
                <w:numId w:val="40"/>
              </w:numPr>
              <w:spacing w:after="0" w:line="360" w:lineRule="auto"/>
              <w:ind w:left="0" w:firstLine="0"/>
            </w:pPr>
            <w:r>
              <w:t xml:space="preserve">People know the benefits of development activities from information provided by the government </w:t>
            </w:r>
            <w:proofErr w:type="gramStart"/>
            <w:r>
              <w:t>and also</w:t>
            </w:r>
            <w:proofErr w:type="gramEnd"/>
            <w:r>
              <w:t xml:space="preserve"> feel the benefits directly</w:t>
            </w:r>
          </w:p>
        </w:tc>
        <w:tc>
          <w:tcPr>
            <w:tcW w:w="441" w:type="pct"/>
            <w:tcBorders>
              <w:top w:val="single" w:sz="4" w:space="0" w:color="auto"/>
              <w:left w:val="single" w:sz="4" w:space="0" w:color="auto"/>
              <w:bottom w:val="single" w:sz="4" w:space="0" w:color="auto"/>
              <w:right w:val="single" w:sz="4" w:space="0" w:color="auto"/>
            </w:tcBorders>
          </w:tcPr>
          <w:p w14:paraId="3866CEF5" w14:textId="77777777" w:rsidR="00005007" w:rsidRDefault="00005007" w:rsidP="0081629E">
            <w:pPr>
              <w:spacing w:after="0" w:line="360" w:lineRule="auto"/>
              <w:ind w:left="0" w:firstLine="0"/>
            </w:pPr>
          </w:p>
        </w:tc>
      </w:tr>
      <w:tr w:rsidR="00005007" w14:paraId="634C5882"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364B55F0"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032CA897" w14:textId="77777777" w:rsidR="00005007" w:rsidRDefault="00005007" w:rsidP="0081629E">
            <w:pPr>
              <w:spacing w:after="0" w:line="360" w:lineRule="auto"/>
              <w:ind w:left="0" w:firstLine="0"/>
            </w:pPr>
          </w:p>
        </w:tc>
      </w:tr>
      <w:tr w:rsidR="00005007" w14:paraId="601AEF38"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02EC6127" w14:textId="77777777" w:rsidR="00005007" w:rsidRDefault="00005007" w:rsidP="0081629E">
            <w:pPr>
              <w:pStyle w:val="ListParagraph"/>
              <w:numPr>
                <w:ilvl w:val="0"/>
                <w:numId w:val="40"/>
              </w:numPr>
              <w:spacing w:after="0" w:line="360" w:lineRule="auto"/>
              <w:ind w:left="0" w:firstLine="0"/>
            </w:pPr>
            <w:r>
              <w:t>There are benefits and they solve the problem</w:t>
            </w:r>
          </w:p>
        </w:tc>
        <w:tc>
          <w:tcPr>
            <w:tcW w:w="441" w:type="pct"/>
            <w:tcBorders>
              <w:top w:val="single" w:sz="4" w:space="0" w:color="auto"/>
              <w:left w:val="single" w:sz="4" w:space="0" w:color="auto"/>
              <w:bottom w:val="single" w:sz="4" w:space="0" w:color="auto"/>
              <w:right w:val="single" w:sz="4" w:space="0" w:color="auto"/>
            </w:tcBorders>
          </w:tcPr>
          <w:p w14:paraId="4157CB31" w14:textId="77777777" w:rsidR="00005007" w:rsidRDefault="00005007" w:rsidP="0081629E">
            <w:pPr>
              <w:spacing w:after="0" w:line="360" w:lineRule="auto"/>
              <w:ind w:left="0" w:firstLine="0"/>
            </w:pPr>
          </w:p>
        </w:tc>
      </w:tr>
      <w:tr w:rsidR="00005007" w14:paraId="49A71762"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04580EB7"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41392E04" w14:textId="77777777" w:rsidR="00005007" w:rsidRDefault="00005007" w:rsidP="0081629E">
            <w:pPr>
              <w:spacing w:after="0" w:line="360" w:lineRule="auto"/>
              <w:ind w:left="0" w:firstLine="0"/>
            </w:pPr>
          </w:p>
        </w:tc>
      </w:tr>
      <w:tr w:rsidR="00005007" w14:paraId="5745C19A"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2A38F2D4" w14:textId="77777777" w:rsidR="00005007" w:rsidRDefault="00005007" w:rsidP="0081629E">
            <w:pPr>
              <w:pStyle w:val="ListParagraph"/>
              <w:numPr>
                <w:ilvl w:val="0"/>
                <w:numId w:val="40"/>
              </w:numPr>
              <w:spacing w:after="0" w:line="360" w:lineRule="auto"/>
              <w:ind w:left="0" w:firstLine="0"/>
            </w:pPr>
            <w:r>
              <w:t>There are benefits and they meet the expectations of the people</w:t>
            </w:r>
          </w:p>
        </w:tc>
        <w:tc>
          <w:tcPr>
            <w:tcW w:w="441" w:type="pct"/>
            <w:tcBorders>
              <w:top w:val="single" w:sz="4" w:space="0" w:color="auto"/>
              <w:left w:val="single" w:sz="4" w:space="0" w:color="auto"/>
              <w:bottom w:val="single" w:sz="4" w:space="0" w:color="auto"/>
              <w:right w:val="single" w:sz="4" w:space="0" w:color="auto"/>
            </w:tcBorders>
          </w:tcPr>
          <w:p w14:paraId="65C87BE4" w14:textId="77777777" w:rsidR="00005007" w:rsidRDefault="00005007" w:rsidP="0081629E">
            <w:pPr>
              <w:spacing w:after="0" w:line="360" w:lineRule="auto"/>
              <w:ind w:left="0" w:firstLine="0"/>
            </w:pPr>
          </w:p>
        </w:tc>
      </w:tr>
      <w:tr w:rsidR="00005007" w14:paraId="7E4A9BA7"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2A2120BD"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53F1CCCC" w14:textId="77777777" w:rsidR="00005007" w:rsidRDefault="00005007" w:rsidP="0081629E">
            <w:pPr>
              <w:spacing w:after="0" w:line="360" w:lineRule="auto"/>
              <w:ind w:left="0" w:firstLine="0"/>
            </w:pPr>
          </w:p>
        </w:tc>
      </w:tr>
      <w:tr w:rsidR="00005007" w14:paraId="5C8A008B"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0F4244F1" w14:textId="77777777" w:rsidR="00005007" w:rsidRDefault="00005007" w:rsidP="0081629E">
            <w:pPr>
              <w:pStyle w:val="ListParagraph"/>
              <w:numPr>
                <w:ilvl w:val="0"/>
                <w:numId w:val="40"/>
              </w:numPr>
              <w:spacing w:after="0" w:line="360" w:lineRule="auto"/>
              <w:ind w:left="0" w:firstLine="0"/>
            </w:pPr>
            <w:r>
              <w:t>The benefits of development already meet some of the expectations of the people</w:t>
            </w:r>
          </w:p>
        </w:tc>
        <w:tc>
          <w:tcPr>
            <w:tcW w:w="441" w:type="pct"/>
            <w:tcBorders>
              <w:top w:val="single" w:sz="4" w:space="0" w:color="auto"/>
              <w:left w:val="single" w:sz="4" w:space="0" w:color="auto"/>
              <w:bottom w:val="single" w:sz="4" w:space="0" w:color="auto"/>
              <w:right w:val="single" w:sz="4" w:space="0" w:color="auto"/>
            </w:tcBorders>
          </w:tcPr>
          <w:p w14:paraId="7C5B7AFC" w14:textId="77777777" w:rsidR="00005007" w:rsidRDefault="00005007" w:rsidP="0081629E">
            <w:pPr>
              <w:spacing w:after="0" w:line="360" w:lineRule="auto"/>
              <w:ind w:left="0" w:firstLine="0"/>
            </w:pPr>
          </w:p>
        </w:tc>
      </w:tr>
      <w:tr w:rsidR="00005007" w14:paraId="4DC0FEF7"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3543BD06"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02B75192" w14:textId="77777777" w:rsidR="00005007" w:rsidRDefault="00005007" w:rsidP="0081629E">
            <w:pPr>
              <w:spacing w:after="0" w:line="360" w:lineRule="auto"/>
              <w:ind w:left="0" w:firstLine="0"/>
            </w:pPr>
          </w:p>
        </w:tc>
      </w:tr>
      <w:tr w:rsidR="00005007" w14:paraId="273D3496"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00023B07" w14:textId="77777777" w:rsidR="00005007" w:rsidRDefault="00005007" w:rsidP="0081629E">
            <w:pPr>
              <w:pStyle w:val="ListParagraph"/>
              <w:numPr>
                <w:ilvl w:val="0"/>
                <w:numId w:val="40"/>
              </w:numPr>
              <w:spacing w:after="0" w:line="360" w:lineRule="auto"/>
              <w:ind w:left="0" w:firstLine="0"/>
            </w:pPr>
            <w:r>
              <w:t>Benefits of development activities meet the expectations of the people</w:t>
            </w:r>
          </w:p>
        </w:tc>
        <w:tc>
          <w:tcPr>
            <w:tcW w:w="441" w:type="pct"/>
            <w:tcBorders>
              <w:top w:val="single" w:sz="4" w:space="0" w:color="auto"/>
              <w:left w:val="single" w:sz="4" w:space="0" w:color="auto"/>
              <w:bottom w:val="single" w:sz="4" w:space="0" w:color="auto"/>
              <w:right w:val="single" w:sz="4" w:space="0" w:color="auto"/>
            </w:tcBorders>
          </w:tcPr>
          <w:p w14:paraId="709F383B" w14:textId="77777777" w:rsidR="00005007" w:rsidRDefault="00005007" w:rsidP="0081629E">
            <w:pPr>
              <w:spacing w:after="0" w:line="360" w:lineRule="auto"/>
              <w:ind w:left="0" w:firstLine="0"/>
            </w:pPr>
          </w:p>
        </w:tc>
      </w:tr>
      <w:tr w:rsidR="00005007" w14:paraId="597EB4F0"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72171736"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7AE25FB6" w14:textId="77777777" w:rsidR="00005007" w:rsidRDefault="00005007" w:rsidP="0081629E">
            <w:pPr>
              <w:spacing w:after="0" w:line="360" w:lineRule="auto"/>
              <w:ind w:left="0" w:firstLine="0"/>
            </w:pPr>
          </w:p>
        </w:tc>
      </w:tr>
      <w:tr w:rsidR="00005007" w14:paraId="56B66D17"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6CF043B6" w14:textId="77777777" w:rsidR="00005007" w:rsidRDefault="00005007" w:rsidP="0081629E">
            <w:pPr>
              <w:pStyle w:val="ListParagraph"/>
              <w:numPr>
                <w:ilvl w:val="0"/>
                <w:numId w:val="40"/>
              </w:numPr>
              <w:spacing w:after="0" w:line="360" w:lineRule="auto"/>
              <w:ind w:left="0" w:firstLine="0"/>
            </w:pPr>
            <w:r>
              <w:lastRenderedPageBreak/>
              <w:t>Benefits of development activities meet the expectations of the people, and it is managed by the community in a sustainable manner</w:t>
            </w:r>
          </w:p>
        </w:tc>
        <w:tc>
          <w:tcPr>
            <w:tcW w:w="441" w:type="pct"/>
            <w:tcBorders>
              <w:top w:val="single" w:sz="4" w:space="0" w:color="auto"/>
              <w:left w:val="single" w:sz="4" w:space="0" w:color="auto"/>
              <w:bottom w:val="single" w:sz="4" w:space="0" w:color="auto"/>
              <w:right w:val="single" w:sz="4" w:space="0" w:color="auto"/>
            </w:tcBorders>
          </w:tcPr>
          <w:p w14:paraId="586285DE" w14:textId="77777777" w:rsidR="00005007" w:rsidRDefault="00005007" w:rsidP="0081629E">
            <w:pPr>
              <w:spacing w:after="0" w:line="360" w:lineRule="auto"/>
              <w:ind w:left="0" w:firstLine="0"/>
            </w:pPr>
          </w:p>
        </w:tc>
      </w:tr>
      <w:tr w:rsidR="00005007" w14:paraId="65540A8D"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2F83E439" w14:textId="77777777" w:rsidR="00005007" w:rsidRDefault="00005007" w:rsidP="0081629E">
            <w:pPr>
              <w:spacing w:after="0" w:line="360" w:lineRule="auto"/>
              <w:ind w:left="0" w:firstLine="0"/>
            </w:pPr>
            <w:r>
              <w:t>Why?</w:t>
            </w:r>
          </w:p>
        </w:tc>
        <w:tc>
          <w:tcPr>
            <w:tcW w:w="441" w:type="pct"/>
            <w:tcBorders>
              <w:top w:val="single" w:sz="4" w:space="0" w:color="auto"/>
              <w:left w:val="single" w:sz="4" w:space="0" w:color="auto"/>
              <w:bottom w:val="single" w:sz="4" w:space="0" w:color="auto"/>
              <w:right w:val="single" w:sz="4" w:space="0" w:color="auto"/>
            </w:tcBorders>
          </w:tcPr>
          <w:p w14:paraId="71D72284" w14:textId="77777777" w:rsidR="00005007" w:rsidRDefault="00005007" w:rsidP="0081629E">
            <w:pPr>
              <w:spacing w:after="0" w:line="360" w:lineRule="auto"/>
              <w:ind w:left="0" w:firstLine="0"/>
            </w:pPr>
          </w:p>
        </w:tc>
      </w:tr>
      <w:tr w:rsidR="00005007" w14:paraId="03927684" w14:textId="77777777" w:rsidTr="00005007">
        <w:tc>
          <w:tcPr>
            <w:tcW w:w="4559" w:type="pct"/>
            <w:tcBorders>
              <w:top w:val="single" w:sz="4" w:space="0" w:color="auto"/>
              <w:left w:val="single" w:sz="4" w:space="0" w:color="auto"/>
              <w:bottom w:val="single" w:sz="4" w:space="0" w:color="auto"/>
              <w:right w:val="single" w:sz="4" w:space="0" w:color="auto"/>
            </w:tcBorders>
            <w:hideMark/>
          </w:tcPr>
          <w:p w14:paraId="6425B2F0" w14:textId="77777777" w:rsidR="00005007" w:rsidRDefault="00005007" w:rsidP="0081629E">
            <w:pPr>
              <w:spacing w:after="0" w:line="360" w:lineRule="auto"/>
              <w:ind w:left="0" w:firstLine="0"/>
            </w:pPr>
            <w:r>
              <w:t xml:space="preserve">Total value </w:t>
            </w:r>
          </w:p>
        </w:tc>
        <w:tc>
          <w:tcPr>
            <w:tcW w:w="441" w:type="pct"/>
            <w:tcBorders>
              <w:top w:val="single" w:sz="4" w:space="0" w:color="auto"/>
              <w:left w:val="single" w:sz="4" w:space="0" w:color="auto"/>
              <w:bottom w:val="single" w:sz="4" w:space="0" w:color="auto"/>
              <w:right w:val="single" w:sz="4" w:space="0" w:color="auto"/>
            </w:tcBorders>
          </w:tcPr>
          <w:p w14:paraId="154E9AB9" w14:textId="77777777" w:rsidR="00005007" w:rsidRDefault="00005007" w:rsidP="0081629E">
            <w:pPr>
              <w:spacing w:after="0" w:line="360" w:lineRule="auto"/>
              <w:ind w:left="0" w:firstLine="0"/>
            </w:pPr>
          </w:p>
        </w:tc>
      </w:tr>
    </w:tbl>
    <w:p w14:paraId="24D9481F" w14:textId="77777777" w:rsidR="00005007" w:rsidRPr="001F28FC" w:rsidRDefault="00005007" w:rsidP="00772DAC">
      <w:pPr>
        <w:ind w:left="0" w:firstLine="0"/>
        <w:rPr>
          <w:kern w:val="2"/>
        </w:rPr>
      </w:pPr>
    </w:p>
    <w:p w14:paraId="3EB0A082" w14:textId="77777777" w:rsidR="00005007" w:rsidRDefault="00005007" w:rsidP="00772DAC">
      <w:pPr>
        <w:pStyle w:val="ListParagraph"/>
        <w:ind w:left="0"/>
        <w:rPr>
          <w:b/>
          <w:bCs/>
        </w:rPr>
      </w:pPr>
    </w:p>
    <w:p w14:paraId="7ABE2873" w14:textId="77777777" w:rsidR="00005007" w:rsidRDefault="00005007" w:rsidP="00772DAC">
      <w:pPr>
        <w:pStyle w:val="BodyText"/>
        <w:ind w:left="0" w:firstLine="0"/>
        <w:rPr>
          <w:rFonts w:cs="Times New Roman"/>
          <w:szCs w:val="24"/>
        </w:rPr>
      </w:pPr>
    </w:p>
    <w:p w14:paraId="270A4B41" w14:textId="77777777" w:rsidR="00472D37" w:rsidRDefault="00472D37" w:rsidP="007113AF">
      <w:pPr>
        <w:pStyle w:val="Heading1"/>
        <w:ind w:left="0"/>
      </w:pPr>
      <w:bookmarkStart w:id="542" w:name="_Toc202197712"/>
    </w:p>
    <w:p w14:paraId="00F1E02C" w14:textId="77777777" w:rsidR="00472D37" w:rsidRDefault="00472D37" w:rsidP="00CD223F"/>
    <w:p w14:paraId="3E0A455C" w14:textId="77777777" w:rsidR="00472D37" w:rsidRDefault="00472D37" w:rsidP="00CD223F"/>
    <w:p w14:paraId="2EA977FF" w14:textId="77777777" w:rsidR="00472D37" w:rsidRDefault="00472D37" w:rsidP="00CD223F"/>
    <w:p w14:paraId="1618857C" w14:textId="77777777" w:rsidR="00472D37" w:rsidRDefault="00472D37" w:rsidP="00CD223F"/>
    <w:p w14:paraId="48493F3B" w14:textId="77777777" w:rsidR="00472D37" w:rsidRDefault="00472D37" w:rsidP="00CD223F"/>
    <w:p w14:paraId="017A8523" w14:textId="77777777" w:rsidR="00472D37" w:rsidRDefault="00472D37" w:rsidP="00CD223F"/>
    <w:p w14:paraId="7521A6DD" w14:textId="77777777" w:rsidR="00472D37" w:rsidRDefault="00472D37" w:rsidP="00CD223F"/>
    <w:p w14:paraId="7C67A7EA" w14:textId="77777777" w:rsidR="00472D37" w:rsidRDefault="00472D37" w:rsidP="00CD223F"/>
    <w:p w14:paraId="6ADDD404" w14:textId="77777777" w:rsidR="00472D37" w:rsidRDefault="00472D37" w:rsidP="00CD223F"/>
    <w:p w14:paraId="48B65ED1" w14:textId="77777777" w:rsidR="00472D37" w:rsidRDefault="00472D37" w:rsidP="00CD223F"/>
    <w:p w14:paraId="65363D7C" w14:textId="77777777" w:rsidR="00472D37" w:rsidRDefault="00472D37" w:rsidP="00CD223F"/>
    <w:p w14:paraId="13D32DA1" w14:textId="77777777" w:rsidR="00CD223F" w:rsidRDefault="00CD223F" w:rsidP="00CD223F"/>
    <w:p w14:paraId="07C3664A" w14:textId="08CF4D3F" w:rsidR="00122A25" w:rsidRDefault="00122A25" w:rsidP="007113AF">
      <w:pPr>
        <w:pStyle w:val="Heading1"/>
        <w:ind w:left="0"/>
      </w:pPr>
      <w:r>
        <w:lastRenderedPageBreak/>
        <w:t xml:space="preserve">Appendix </w:t>
      </w:r>
      <w:r w:rsidR="00A86B51">
        <w:t>D</w:t>
      </w:r>
      <w:bookmarkEnd w:id="542"/>
    </w:p>
    <w:p w14:paraId="4CD996EB" w14:textId="794CE00B" w:rsidR="007113AF" w:rsidRDefault="007113AF" w:rsidP="005E5803">
      <w:pPr>
        <w:ind w:hanging="3780"/>
        <w:rPr>
          <w:noProof/>
          <w:lang w:val="en-US"/>
        </w:rPr>
      </w:pPr>
    </w:p>
    <w:p w14:paraId="39343661" w14:textId="0453F193" w:rsidR="00700E94" w:rsidRPr="00700E94" w:rsidRDefault="00700E94" w:rsidP="00700E94">
      <w:pPr>
        <w:pStyle w:val="BodyText"/>
        <w:ind w:hanging="3000"/>
        <w:rPr>
          <w:lang w:val="en-US"/>
        </w:rPr>
      </w:pPr>
      <w:r>
        <w:rPr>
          <w:noProof/>
        </w:rPr>
        <w:drawing>
          <wp:inline distT="0" distB="0" distL="0" distR="0" wp14:anchorId="59454082" wp14:editId="59957746">
            <wp:extent cx="5749937" cy="7920000"/>
            <wp:effectExtent l="0" t="0" r="3175" b="5080"/>
            <wp:docPr id="1100450434" name="Picture 3" descr="Close-up of a paper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450434" name="Picture 3" descr="Close-up of a paper with text&#10;&#10;AI-generated content may be incorrect."/>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49937" cy="7920000"/>
                    </a:xfrm>
                    <a:prstGeom prst="rect">
                      <a:avLst/>
                    </a:prstGeom>
                    <a:noFill/>
                    <a:ln>
                      <a:noFill/>
                    </a:ln>
                  </pic:spPr>
                </pic:pic>
              </a:graphicData>
            </a:graphic>
          </wp:inline>
        </w:drawing>
      </w:r>
    </w:p>
    <w:p w14:paraId="1CB6FEB5" w14:textId="7E29BEBB" w:rsidR="005E5803" w:rsidRPr="005E5803" w:rsidRDefault="005E5803" w:rsidP="005E5803">
      <w:pPr>
        <w:ind w:hanging="3780"/>
      </w:pPr>
    </w:p>
    <w:sectPr w:rsidR="005E5803" w:rsidRPr="005E5803" w:rsidSect="0081629E">
      <w:type w:val="continuous"/>
      <w:pgSz w:w="11906" w:h="16838" w:code="9"/>
      <w:pgMar w:top="1440" w:right="1440" w:bottom="1440" w:left="28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7A083" w14:textId="77777777" w:rsidR="006458C9" w:rsidRDefault="006458C9" w:rsidP="00395776">
      <w:pPr>
        <w:spacing w:after="0" w:line="240" w:lineRule="auto"/>
      </w:pPr>
      <w:r>
        <w:separator/>
      </w:r>
    </w:p>
  </w:endnote>
  <w:endnote w:type="continuationSeparator" w:id="0">
    <w:p w14:paraId="7C569028" w14:textId="77777777" w:rsidR="006458C9" w:rsidRDefault="006458C9" w:rsidP="00395776">
      <w:pPr>
        <w:spacing w:after="0" w:line="240" w:lineRule="auto"/>
      </w:pPr>
      <w:r>
        <w:continuationSeparator/>
      </w:r>
    </w:p>
  </w:endnote>
  <w:endnote w:type="continuationNotice" w:id="1">
    <w:p w14:paraId="3C3DE648" w14:textId="77777777" w:rsidR="006458C9" w:rsidRDefault="006458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dvOTb0c9bf5d+20">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6ACAC" w14:textId="77777777" w:rsidR="00755789" w:rsidRDefault="00755789" w:rsidP="00772DAC">
    <w:pPr>
      <w:pStyle w:val="Footer"/>
      <w:tabs>
        <w:tab w:val="clear" w:pos="4513"/>
      </w:tabs>
      <w:ind w:left="0" w:firstLine="0"/>
    </w:pPr>
  </w:p>
  <w:p w14:paraId="469B1282" w14:textId="77777777" w:rsidR="00755789" w:rsidRDefault="00755789" w:rsidP="00772DAC">
    <w:pPr>
      <w:ind w:left="0" w:firstLine="0"/>
    </w:pPr>
  </w:p>
  <w:p w14:paraId="4621DEC4" w14:textId="77777777" w:rsidR="00755789" w:rsidRDefault="00755789" w:rsidP="00772DAC">
    <w:pPr>
      <w:ind w:left="0" w:firstLine="0"/>
    </w:pPr>
  </w:p>
  <w:p w14:paraId="1C6BE15E" w14:textId="77777777" w:rsidR="00755789" w:rsidRDefault="00755789" w:rsidP="00772DAC">
    <w:pPr>
      <w:ind w:left="0" w:firstLine="0"/>
    </w:pPr>
  </w:p>
  <w:p w14:paraId="71B196A8" w14:textId="77777777" w:rsidR="00755789" w:rsidRDefault="00755789" w:rsidP="00772DAC">
    <w:pPr>
      <w:ind w:left="0" w:firstLine="0"/>
    </w:pPr>
  </w:p>
  <w:p w14:paraId="44ED9E1F" w14:textId="77777777" w:rsidR="00755789" w:rsidRDefault="00755789" w:rsidP="00772DAC">
    <w:pPr>
      <w:ind w:left="0" w:firstLine="0"/>
    </w:pPr>
  </w:p>
  <w:p w14:paraId="6AD7E519" w14:textId="77777777" w:rsidR="00755789" w:rsidRDefault="00755789" w:rsidP="00772DAC">
    <w:pPr>
      <w:ind w:left="0" w:firstLine="0"/>
    </w:pPr>
  </w:p>
  <w:p w14:paraId="777CE81D" w14:textId="77777777" w:rsidR="00755789" w:rsidRDefault="00755789" w:rsidP="00772DAC">
    <w:pPr>
      <w:ind w:left="0" w:firstLine="0"/>
    </w:pPr>
  </w:p>
  <w:p w14:paraId="0DE1A071" w14:textId="77777777" w:rsidR="00755789" w:rsidRDefault="00755789" w:rsidP="00772DAC">
    <w:pPr>
      <w:ind w:left="0" w:firstLine="0"/>
    </w:pPr>
  </w:p>
  <w:p w14:paraId="23D4C4ED" w14:textId="77777777" w:rsidR="00755789" w:rsidRDefault="00755789" w:rsidP="00772DAC">
    <w:pPr>
      <w:ind w:left="0" w:firstLine="0"/>
    </w:pPr>
  </w:p>
  <w:p w14:paraId="34938294" w14:textId="77777777" w:rsidR="00755789" w:rsidRDefault="00755789" w:rsidP="00772DAC">
    <w:pPr>
      <w:ind w:left="0" w:firstLine="0"/>
    </w:pPr>
  </w:p>
  <w:p w14:paraId="1A053060" w14:textId="77777777" w:rsidR="00755789" w:rsidRDefault="00755789" w:rsidP="00772DAC">
    <w:pPr>
      <w:ind w:left="0" w:firstLine="0"/>
    </w:pPr>
  </w:p>
  <w:p w14:paraId="541D86B9" w14:textId="77777777" w:rsidR="00755789" w:rsidRDefault="00755789" w:rsidP="00772DAC">
    <w:pPr>
      <w:ind w:left="0" w:firstLine="0"/>
    </w:pPr>
  </w:p>
  <w:p w14:paraId="0BC65BB9" w14:textId="77777777" w:rsidR="00755789" w:rsidRDefault="00755789" w:rsidP="00772DAC">
    <w:pPr>
      <w:ind w:left="0" w:firstLine="0"/>
    </w:pPr>
  </w:p>
  <w:p w14:paraId="53B98CFE" w14:textId="77777777" w:rsidR="00755789" w:rsidRDefault="00755789" w:rsidP="00772DAC">
    <w:pPr>
      <w:ind w:left="0" w:firstLine="0"/>
    </w:pPr>
  </w:p>
  <w:p w14:paraId="1062BC60" w14:textId="77777777" w:rsidR="00755789" w:rsidRDefault="00755789" w:rsidP="00772DAC">
    <w:pPr>
      <w:ind w:left="0" w:firstLine="0"/>
    </w:pPr>
  </w:p>
  <w:p w14:paraId="36E16905" w14:textId="77777777" w:rsidR="00755789" w:rsidRDefault="00755789" w:rsidP="00772DAC">
    <w:pPr>
      <w:ind w:left="0" w:firstLine="0"/>
    </w:pPr>
  </w:p>
  <w:p w14:paraId="0086BCDD" w14:textId="77777777" w:rsidR="00755789" w:rsidRDefault="00755789" w:rsidP="00772DAC">
    <w:pPr>
      <w:ind w:lef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8253630"/>
      <w:docPartObj>
        <w:docPartGallery w:val="Page Numbers (Bottom of Page)"/>
        <w:docPartUnique/>
      </w:docPartObj>
    </w:sdtPr>
    <w:sdtEndPr>
      <w:rPr>
        <w:noProof/>
      </w:rPr>
    </w:sdtEndPr>
    <w:sdtContent>
      <w:p w14:paraId="6B205967" w14:textId="423509DB" w:rsidR="00755789" w:rsidRDefault="00755789" w:rsidP="00BB4078">
        <w:pPr>
          <w:pStyle w:val="Footer"/>
          <w:tabs>
            <w:tab w:val="clear" w:pos="4513"/>
          </w:tabs>
          <w:ind w:left="0" w:firstLine="0"/>
          <w:jc w:val="center"/>
        </w:pPr>
        <w:r>
          <w:fldChar w:fldCharType="begin"/>
        </w:r>
        <w:r>
          <w:instrText xml:space="preserve"> PAGE   \* MERGEFORMAT </w:instrText>
        </w:r>
        <w:r>
          <w:fldChar w:fldCharType="separate"/>
        </w:r>
        <w:r>
          <w:rPr>
            <w:noProof/>
          </w:rPr>
          <w:t>iii</w:t>
        </w:r>
        <w:r>
          <w:rPr>
            <w:noProof/>
          </w:rPr>
          <w:fldChar w:fldCharType="end"/>
        </w:r>
      </w:p>
    </w:sdtContent>
  </w:sdt>
  <w:p w14:paraId="5312BB7A" w14:textId="77777777" w:rsidR="00755789" w:rsidRDefault="0075578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48794" w14:textId="00FC9468" w:rsidR="00755789" w:rsidRDefault="00755789" w:rsidP="00E56CE7">
    <w:pPr>
      <w:pStyle w:val="Footer"/>
      <w:ind w:left="-90" w:firstLine="0"/>
      <w:jc w:val="center"/>
    </w:pPr>
  </w:p>
  <w:p w14:paraId="038CDB95" w14:textId="77777777" w:rsidR="00755789" w:rsidRDefault="0075578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2917172"/>
      <w:docPartObj>
        <w:docPartGallery w:val="Page Numbers (Bottom of Page)"/>
        <w:docPartUnique/>
      </w:docPartObj>
    </w:sdtPr>
    <w:sdtEndPr>
      <w:rPr>
        <w:noProof/>
      </w:rPr>
    </w:sdtEndPr>
    <w:sdtContent>
      <w:p w14:paraId="450A70C6" w14:textId="77777777" w:rsidR="00755789" w:rsidRDefault="00755789" w:rsidP="00BB4078">
        <w:pPr>
          <w:pStyle w:val="Footer"/>
          <w:tabs>
            <w:tab w:val="clear" w:pos="4513"/>
          </w:tabs>
          <w:ind w:left="0" w:firstLine="0"/>
          <w:jc w:val="center"/>
        </w:pPr>
        <w:r>
          <w:fldChar w:fldCharType="begin"/>
        </w:r>
        <w:r>
          <w:instrText xml:space="preserve"> PAGE   \* MERGEFORMAT </w:instrText>
        </w:r>
        <w:r>
          <w:fldChar w:fldCharType="separate"/>
        </w:r>
        <w:r w:rsidR="007661B9">
          <w:rPr>
            <w:noProof/>
          </w:rPr>
          <w:t>xii</w:t>
        </w:r>
        <w:r>
          <w:rPr>
            <w:noProof/>
          </w:rPr>
          <w:fldChar w:fldCharType="end"/>
        </w:r>
      </w:p>
    </w:sdtContent>
  </w:sdt>
  <w:p w14:paraId="3C9528BB" w14:textId="77777777" w:rsidR="00755789" w:rsidRDefault="0075578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DB710" w14:textId="77777777" w:rsidR="00755789" w:rsidRDefault="00755789" w:rsidP="00E56CE7">
    <w:pPr>
      <w:pStyle w:val="Footer"/>
      <w:ind w:left="-90" w:firstLine="0"/>
      <w:jc w:val="center"/>
    </w:pPr>
  </w:p>
  <w:p w14:paraId="0D54D76D" w14:textId="77777777" w:rsidR="00755789" w:rsidRDefault="007557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3D9B38" w14:textId="77777777" w:rsidR="006458C9" w:rsidRDefault="006458C9" w:rsidP="00395776">
      <w:pPr>
        <w:spacing w:after="0" w:line="240" w:lineRule="auto"/>
      </w:pPr>
      <w:r>
        <w:separator/>
      </w:r>
    </w:p>
  </w:footnote>
  <w:footnote w:type="continuationSeparator" w:id="0">
    <w:p w14:paraId="7322CF55" w14:textId="77777777" w:rsidR="006458C9" w:rsidRDefault="006458C9" w:rsidP="00395776">
      <w:pPr>
        <w:spacing w:after="0" w:line="240" w:lineRule="auto"/>
      </w:pPr>
      <w:r>
        <w:continuationSeparator/>
      </w:r>
    </w:p>
  </w:footnote>
  <w:footnote w:type="continuationNotice" w:id="1">
    <w:p w14:paraId="501AC1E4" w14:textId="77777777" w:rsidR="006458C9" w:rsidRDefault="006458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C7BDB" w14:textId="77777777" w:rsidR="00755789" w:rsidRDefault="00755789" w:rsidP="00060851">
    <w:pPr>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5353B"/>
    <w:multiLevelType w:val="hybridMultilevel"/>
    <w:tmpl w:val="0D5CCC16"/>
    <w:lvl w:ilvl="0" w:tplc="0809000F">
      <w:start w:val="2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833563"/>
    <w:multiLevelType w:val="hybridMultilevel"/>
    <w:tmpl w:val="BC98C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B242275"/>
    <w:multiLevelType w:val="hybridMultilevel"/>
    <w:tmpl w:val="8FD45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8B037A"/>
    <w:multiLevelType w:val="hybridMultilevel"/>
    <w:tmpl w:val="1B7E1E5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6421F10"/>
    <w:multiLevelType w:val="hybridMultilevel"/>
    <w:tmpl w:val="C944C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7A53A9"/>
    <w:multiLevelType w:val="hybridMultilevel"/>
    <w:tmpl w:val="A6A44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0745F5"/>
    <w:multiLevelType w:val="hybridMultilevel"/>
    <w:tmpl w:val="12907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003ABE"/>
    <w:multiLevelType w:val="hybridMultilevel"/>
    <w:tmpl w:val="901AD4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AF7894"/>
    <w:multiLevelType w:val="hybridMultilevel"/>
    <w:tmpl w:val="EA7C54D6"/>
    <w:lvl w:ilvl="0" w:tplc="0409000F">
      <w:start w:val="1"/>
      <w:numFmt w:val="decimal"/>
      <w:lvlText w:val="%1."/>
      <w:lvlJc w:val="left"/>
      <w:pPr>
        <w:ind w:left="720" w:hanging="360"/>
      </w:pPr>
    </w:lvl>
    <w:lvl w:ilvl="1" w:tplc="FEA0F394">
      <w:start w:val="1"/>
      <w:numFmt w:val="decimal"/>
      <w:lvlText w:val="%2"/>
      <w:lvlJc w:val="left"/>
      <w:pPr>
        <w:ind w:left="1440" w:hanging="360"/>
      </w:pPr>
      <w:rPr>
        <w:rFonts w:ascii="Times New Roman" w:eastAsiaTheme="minorHAnsi" w:hAnsi="Times New Roman" w:cstheme="minorBidi"/>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EC64C0"/>
    <w:multiLevelType w:val="hybridMultilevel"/>
    <w:tmpl w:val="0C405CC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3180BA0"/>
    <w:multiLevelType w:val="hybridMultilevel"/>
    <w:tmpl w:val="3D705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4C42FB"/>
    <w:multiLevelType w:val="hybridMultilevel"/>
    <w:tmpl w:val="6194DC22"/>
    <w:lvl w:ilvl="0" w:tplc="0409000F">
      <w:start w:val="1"/>
      <w:numFmt w:val="decimal"/>
      <w:lvlText w:val="%1."/>
      <w:lvlJc w:val="left"/>
      <w:pPr>
        <w:ind w:left="720" w:hanging="360"/>
      </w:pPr>
    </w:lvl>
    <w:lvl w:ilvl="1" w:tplc="90E4089C">
      <w:start w:val="1"/>
      <w:numFmt w:val="decimal"/>
      <w:lvlText w:val="%2"/>
      <w:lvlJc w:val="left"/>
      <w:pPr>
        <w:ind w:left="1440" w:hanging="360"/>
      </w:pPr>
      <w:rPr>
        <w:rFonts w:ascii="Times New Roman" w:eastAsiaTheme="minorHAnsi" w:hAnsi="Times New Roman" w:cstheme="minorBidi"/>
        <w:color w:val="auto"/>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634BF8"/>
    <w:multiLevelType w:val="hybridMultilevel"/>
    <w:tmpl w:val="736A19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27786D59"/>
    <w:multiLevelType w:val="hybridMultilevel"/>
    <w:tmpl w:val="771494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C1B35A1"/>
    <w:multiLevelType w:val="hybridMultilevel"/>
    <w:tmpl w:val="DAE04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985CE9"/>
    <w:multiLevelType w:val="hybridMultilevel"/>
    <w:tmpl w:val="2412294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6" w15:restartNumberingAfterBreak="0">
    <w:nsid w:val="34137162"/>
    <w:multiLevelType w:val="hybridMultilevel"/>
    <w:tmpl w:val="F5A41B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4BA05F2"/>
    <w:multiLevelType w:val="hybridMultilevel"/>
    <w:tmpl w:val="AB2C52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87233AA"/>
    <w:multiLevelType w:val="hybridMultilevel"/>
    <w:tmpl w:val="9B7C55F8"/>
    <w:lvl w:ilvl="0" w:tplc="9514CBB6">
      <w:start w:val="1"/>
      <w:numFmt w:val="decimal"/>
      <w:lvlText w:val="%1."/>
      <w:lvlJc w:val="left"/>
      <w:pPr>
        <w:ind w:left="1440" w:hanging="360"/>
      </w:pPr>
      <w:rPr>
        <w:rFonts w:ascii="Times New Roman" w:eastAsiaTheme="minorHAnsi" w:hAnsi="Times New Roman" w:cs="Times New Roman"/>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3B6B3222"/>
    <w:multiLevelType w:val="hybridMultilevel"/>
    <w:tmpl w:val="288E53E2"/>
    <w:lvl w:ilvl="0" w:tplc="5F9AEFFC">
      <w:start w:val="1"/>
      <w:numFmt w:val="decimal"/>
      <w:lvlText w:val="(%1)"/>
      <w:lvlJc w:val="left"/>
      <w:pPr>
        <w:ind w:left="2535" w:hanging="375"/>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0" w15:restartNumberingAfterBreak="0">
    <w:nsid w:val="3E893D59"/>
    <w:multiLevelType w:val="hybridMultilevel"/>
    <w:tmpl w:val="E4E2777A"/>
    <w:lvl w:ilvl="0" w:tplc="D4F0B254">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EAB6D2B"/>
    <w:multiLevelType w:val="hybridMultilevel"/>
    <w:tmpl w:val="7528F0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FB24802"/>
    <w:multiLevelType w:val="hybridMultilevel"/>
    <w:tmpl w:val="A8400F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FC07D2C"/>
    <w:multiLevelType w:val="hybridMultilevel"/>
    <w:tmpl w:val="AB685A20"/>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4" w15:restartNumberingAfterBreak="0">
    <w:nsid w:val="41F1006B"/>
    <w:multiLevelType w:val="hybridMultilevel"/>
    <w:tmpl w:val="FA6E0924"/>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50819D7"/>
    <w:multiLevelType w:val="hybridMultilevel"/>
    <w:tmpl w:val="07D27980"/>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6" w15:restartNumberingAfterBreak="0">
    <w:nsid w:val="4A1D739A"/>
    <w:multiLevelType w:val="hybridMultilevel"/>
    <w:tmpl w:val="B4DAC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07615B"/>
    <w:multiLevelType w:val="hybridMultilevel"/>
    <w:tmpl w:val="1B7E1E5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686132"/>
    <w:multiLevelType w:val="hybridMultilevel"/>
    <w:tmpl w:val="2EFCE3C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9" w15:restartNumberingAfterBreak="0">
    <w:nsid w:val="528D2E23"/>
    <w:multiLevelType w:val="hybridMultilevel"/>
    <w:tmpl w:val="1C2659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3CA381E"/>
    <w:multiLevelType w:val="hybridMultilevel"/>
    <w:tmpl w:val="8B9C7836"/>
    <w:lvl w:ilvl="0" w:tplc="9CE0B418">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1" w15:restartNumberingAfterBreak="0">
    <w:nsid w:val="5B63350D"/>
    <w:multiLevelType w:val="hybridMultilevel"/>
    <w:tmpl w:val="A828951C"/>
    <w:lvl w:ilvl="0" w:tplc="0809000F">
      <w:start w:val="4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5C696A26"/>
    <w:multiLevelType w:val="hybridMultilevel"/>
    <w:tmpl w:val="073A8D36"/>
    <w:lvl w:ilvl="0" w:tplc="45F2BA3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9181C28"/>
    <w:multiLevelType w:val="hybridMultilevel"/>
    <w:tmpl w:val="C47E8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0C6C08"/>
    <w:multiLevelType w:val="hybridMultilevel"/>
    <w:tmpl w:val="7C36B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630B2C"/>
    <w:multiLevelType w:val="hybridMultilevel"/>
    <w:tmpl w:val="7E9C900A"/>
    <w:lvl w:ilvl="0" w:tplc="65E465D0">
      <w:start w:val="1"/>
      <w:numFmt w:val="bullet"/>
      <w:lvlText w:val="•"/>
      <w:lvlJc w:val="left"/>
      <w:pPr>
        <w:tabs>
          <w:tab w:val="num" w:pos="720"/>
        </w:tabs>
        <w:ind w:left="720" w:hanging="360"/>
      </w:pPr>
      <w:rPr>
        <w:rFonts w:ascii="Arial" w:hAnsi="Arial" w:hint="default"/>
      </w:rPr>
    </w:lvl>
    <w:lvl w:ilvl="1" w:tplc="59AA21EE" w:tentative="1">
      <w:start w:val="1"/>
      <w:numFmt w:val="bullet"/>
      <w:lvlText w:val="•"/>
      <w:lvlJc w:val="left"/>
      <w:pPr>
        <w:tabs>
          <w:tab w:val="num" w:pos="1440"/>
        </w:tabs>
        <w:ind w:left="1440" w:hanging="360"/>
      </w:pPr>
      <w:rPr>
        <w:rFonts w:ascii="Arial" w:hAnsi="Arial" w:hint="default"/>
      </w:rPr>
    </w:lvl>
    <w:lvl w:ilvl="2" w:tplc="0CA09F72" w:tentative="1">
      <w:start w:val="1"/>
      <w:numFmt w:val="bullet"/>
      <w:lvlText w:val="•"/>
      <w:lvlJc w:val="left"/>
      <w:pPr>
        <w:tabs>
          <w:tab w:val="num" w:pos="2160"/>
        </w:tabs>
        <w:ind w:left="2160" w:hanging="360"/>
      </w:pPr>
      <w:rPr>
        <w:rFonts w:ascii="Arial" w:hAnsi="Arial" w:hint="default"/>
      </w:rPr>
    </w:lvl>
    <w:lvl w:ilvl="3" w:tplc="5DE463C0" w:tentative="1">
      <w:start w:val="1"/>
      <w:numFmt w:val="bullet"/>
      <w:lvlText w:val="•"/>
      <w:lvlJc w:val="left"/>
      <w:pPr>
        <w:tabs>
          <w:tab w:val="num" w:pos="2880"/>
        </w:tabs>
        <w:ind w:left="2880" w:hanging="360"/>
      </w:pPr>
      <w:rPr>
        <w:rFonts w:ascii="Arial" w:hAnsi="Arial" w:hint="default"/>
      </w:rPr>
    </w:lvl>
    <w:lvl w:ilvl="4" w:tplc="4EE2BCC2" w:tentative="1">
      <w:start w:val="1"/>
      <w:numFmt w:val="bullet"/>
      <w:lvlText w:val="•"/>
      <w:lvlJc w:val="left"/>
      <w:pPr>
        <w:tabs>
          <w:tab w:val="num" w:pos="3600"/>
        </w:tabs>
        <w:ind w:left="3600" w:hanging="360"/>
      </w:pPr>
      <w:rPr>
        <w:rFonts w:ascii="Arial" w:hAnsi="Arial" w:hint="default"/>
      </w:rPr>
    </w:lvl>
    <w:lvl w:ilvl="5" w:tplc="F6D600C0" w:tentative="1">
      <w:start w:val="1"/>
      <w:numFmt w:val="bullet"/>
      <w:lvlText w:val="•"/>
      <w:lvlJc w:val="left"/>
      <w:pPr>
        <w:tabs>
          <w:tab w:val="num" w:pos="4320"/>
        </w:tabs>
        <w:ind w:left="4320" w:hanging="360"/>
      </w:pPr>
      <w:rPr>
        <w:rFonts w:ascii="Arial" w:hAnsi="Arial" w:hint="default"/>
      </w:rPr>
    </w:lvl>
    <w:lvl w:ilvl="6" w:tplc="0D18BB24" w:tentative="1">
      <w:start w:val="1"/>
      <w:numFmt w:val="bullet"/>
      <w:lvlText w:val="•"/>
      <w:lvlJc w:val="left"/>
      <w:pPr>
        <w:tabs>
          <w:tab w:val="num" w:pos="5040"/>
        </w:tabs>
        <w:ind w:left="5040" w:hanging="360"/>
      </w:pPr>
      <w:rPr>
        <w:rFonts w:ascii="Arial" w:hAnsi="Arial" w:hint="default"/>
      </w:rPr>
    </w:lvl>
    <w:lvl w:ilvl="7" w:tplc="E536D976" w:tentative="1">
      <w:start w:val="1"/>
      <w:numFmt w:val="bullet"/>
      <w:lvlText w:val="•"/>
      <w:lvlJc w:val="left"/>
      <w:pPr>
        <w:tabs>
          <w:tab w:val="num" w:pos="5760"/>
        </w:tabs>
        <w:ind w:left="5760" w:hanging="360"/>
      </w:pPr>
      <w:rPr>
        <w:rFonts w:ascii="Arial" w:hAnsi="Arial" w:hint="default"/>
      </w:rPr>
    </w:lvl>
    <w:lvl w:ilvl="8" w:tplc="2BE6A228"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E4644EE"/>
    <w:multiLevelType w:val="hybridMultilevel"/>
    <w:tmpl w:val="7B862100"/>
    <w:lvl w:ilvl="0" w:tplc="0809000F">
      <w:start w:val="26"/>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70DE3CC1"/>
    <w:multiLevelType w:val="hybridMultilevel"/>
    <w:tmpl w:val="0B123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215298"/>
    <w:multiLevelType w:val="hybridMultilevel"/>
    <w:tmpl w:val="9E525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C01A57"/>
    <w:multiLevelType w:val="hybridMultilevel"/>
    <w:tmpl w:val="3EA6D92C"/>
    <w:lvl w:ilvl="0" w:tplc="2A463AF8">
      <w:start w:val="1"/>
      <w:numFmt w:val="bullet"/>
      <w:lvlText w:val="•"/>
      <w:lvlJc w:val="left"/>
      <w:pPr>
        <w:tabs>
          <w:tab w:val="num" w:pos="720"/>
        </w:tabs>
        <w:ind w:left="720" w:hanging="360"/>
      </w:pPr>
      <w:rPr>
        <w:rFonts w:ascii="Arial" w:hAnsi="Arial" w:hint="default"/>
      </w:rPr>
    </w:lvl>
    <w:lvl w:ilvl="1" w:tplc="A6361258" w:tentative="1">
      <w:start w:val="1"/>
      <w:numFmt w:val="bullet"/>
      <w:lvlText w:val="•"/>
      <w:lvlJc w:val="left"/>
      <w:pPr>
        <w:tabs>
          <w:tab w:val="num" w:pos="1440"/>
        </w:tabs>
        <w:ind w:left="1440" w:hanging="360"/>
      </w:pPr>
      <w:rPr>
        <w:rFonts w:ascii="Arial" w:hAnsi="Arial" w:hint="default"/>
      </w:rPr>
    </w:lvl>
    <w:lvl w:ilvl="2" w:tplc="215C2234" w:tentative="1">
      <w:start w:val="1"/>
      <w:numFmt w:val="bullet"/>
      <w:lvlText w:val="•"/>
      <w:lvlJc w:val="left"/>
      <w:pPr>
        <w:tabs>
          <w:tab w:val="num" w:pos="2160"/>
        </w:tabs>
        <w:ind w:left="2160" w:hanging="360"/>
      </w:pPr>
      <w:rPr>
        <w:rFonts w:ascii="Arial" w:hAnsi="Arial" w:hint="default"/>
      </w:rPr>
    </w:lvl>
    <w:lvl w:ilvl="3" w:tplc="87EC0872" w:tentative="1">
      <w:start w:val="1"/>
      <w:numFmt w:val="bullet"/>
      <w:lvlText w:val="•"/>
      <w:lvlJc w:val="left"/>
      <w:pPr>
        <w:tabs>
          <w:tab w:val="num" w:pos="2880"/>
        </w:tabs>
        <w:ind w:left="2880" w:hanging="360"/>
      </w:pPr>
      <w:rPr>
        <w:rFonts w:ascii="Arial" w:hAnsi="Arial" w:hint="default"/>
      </w:rPr>
    </w:lvl>
    <w:lvl w:ilvl="4" w:tplc="798EC1E6" w:tentative="1">
      <w:start w:val="1"/>
      <w:numFmt w:val="bullet"/>
      <w:lvlText w:val="•"/>
      <w:lvlJc w:val="left"/>
      <w:pPr>
        <w:tabs>
          <w:tab w:val="num" w:pos="3600"/>
        </w:tabs>
        <w:ind w:left="3600" w:hanging="360"/>
      </w:pPr>
      <w:rPr>
        <w:rFonts w:ascii="Arial" w:hAnsi="Arial" w:hint="default"/>
      </w:rPr>
    </w:lvl>
    <w:lvl w:ilvl="5" w:tplc="104EFDBE" w:tentative="1">
      <w:start w:val="1"/>
      <w:numFmt w:val="bullet"/>
      <w:lvlText w:val="•"/>
      <w:lvlJc w:val="left"/>
      <w:pPr>
        <w:tabs>
          <w:tab w:val="num" w:pos="4320"/>
        </w:tabs>
        <w:ind w:left="4320" w:hanging="360"/>
      </w:pPr>
      <w:rPr>
        <w:rFonts w:ascii="Arial" w:hAnsi="Arial" w:hint="default"/>
      </w:rPr>
    </w:lvl>
    <w:lvl w:ilvl="6" w:tplc="EF3C5326" w:tentative="1">
      <w:start w:val="1"/>
      <w:numFmt w:val="bullet"/>
      <w:lvlText w:val="•"/>
      <w:lvlJc w:val="left"/>
      <w:pPr>
        <w:tabs>
          <w:tab w:val="num" w:pos="5040"/>
        </w:tabs>
        <w:ind w:left="5040" w:hanging="360"/>
      </w:pPr>
      <w:rPr>
        <w:rFonts w:ascii="Arial" w:hAnsi="Arial" w:hint="default"/>
      </w:rPr>
    </w:lvl>
    <w:lvl w:ilvl="7" w:tplc="6912506C" w:tentative="1">
      <w:start w:val="1"/>
      <w:numFmt w:val="bullet"/>
      <w:lvlText w:val="•"/>
      <w:lvlJc w:val="left"/>
      <w:pPr>
        <w:tabs>
          <w:tab w:val="num" w:pos="5760"/>
        </w:tabs>
        <w:ind w:left="5760" w:hanging="360"/>
      </w:pPr>
      <w:rPr>
        <w:rFonts w:ascii="Arial" w:hAnsi="Arial" w:hint="default"/>
      </w:rPr>
    </w:lvl>
    <w:lvl w:ilvl="8" w:tplc="BA44629C"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60A216E"/>
    <w:multiLevelType w:val="hybridMultilevel"/>
    <w:tmpl w:val="3A2646A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B9742D"/>
    <w:multiLevelType w:val="hybridMultilevel"/>
    <w:tmpl w:val="538A2D70"/>
    <w:lvl w:ilvl="0" w:tplc="92508158">
      <w:start w:val="1"/>
      <w:numFmt w:val="bullet"/>
      <w:lvlText w:val=""/>
      <w:lvlJc w:val="left"/>
      <w:pPr>
        <w:tabs>
          <w:tab w:val="num" w:pos="720"/>
        </w:tabs>
        <w:ind w:left="720" w:hanging="360"/>
      </w:pPr>
      <w:rPr>
        <w:rFonts w:ascii="Wingdings" w:hAnsi="Wingdings" w:hint="default"/>
      </w:rPr>
    </w:lvl>
    <w:lvl w:ilvl="1" w:tplc="A4BC6228">
      <w:start w:val="1"/>
      <w:numFmt w:val="bullet"/>
      <w:lvlText w:val=""/>
      <w:lvlJc w:val="left"/>
      <w:pPr>
        <w:tabs>
          <w:tab w:val="num" w:pos="1440"/>
        </w:tabs>
        <w:ind w:left="1440" w:hanging="360"/>
      </w:pPr>
      <w:rPr>
        <w:rFonts w:ascii="Wingdings" w:hAnsi="Wingdings" w:hint="default"/>
      </w:rPr>
    </w:lvl>
    <w:lvl w:ilvl="2" w:tplc="13645F72" w:tentative="1">
      <w:start w:val="1"/>
      <w:numFmt w:val="bullet"/>
      <w:lvlText w:val=""/>
      <w:lvlJc w:val="left"/>
      <w:pPr>
        <w:tabs>
          <w:tab w:val="num" w:pos="2160"/>
        </w:tabs>
        <w:ind w:left="2160" w:hanging="360"/>
      </w:pPr>
      <w:rPr>
        <w:rFonts w:ascii="Wingdings" w:hAnsi="Wingdings" w:hint="default"/>
      </w:rPr>
    </w:lvl>
    <w:lvl w:ilvl="3" w:tplc="02886A42" w:tentative="1">
      <w:start w:val="1"/>
      <w:numFmt w:val="bullet"/>
      <w:lvlText w:val=""/>
      <w:lvlJc w:val="left"/>
      <w:pPr>
        <w:tabs>
          <w:tab w:val="num" w:pos="2880"/>
        </w:tabs>
        <w:ind w:left="2880" w:hanging="360"/>
      </w:pPr>
      <w:rPr>
        <w:rFonts w:ascii="Wingdings" w:hAnsi="Wingdings" w:hint="default"/>
      </w:rPr>
    </w:lvl>
    <w:lvl w:ilvl="4" w:tplc="FC4A4BB2" w:tentative="1">
      <w:start w:val="1"/>
      <w:numFmt w:val="bullet"/>
      <w:lvlText w:val=""/>
      <w:lvlJc w:val="left"/>
      <w:pPr>
        <w:tabs>
          <w:tab w:val="num" w:pos="3600"/>
        </w:tabs>
        <w:ind w:left="3600" w:hanging="360"/>
      </w:pPr>
      <w:rPr>
        <w:rFonts w:ascii="Wingdings" w:hAnsi="Wingdings" w:hint="default"/>
      </w:rPr>
    </w:lvl>
    <w:lvl w:ilvl="5" w:tplc="73D8AB5C" w:tentative="1">
      <w:start w:val="1"/>
      <w:numFmt w:val="bullet"/>
      <w:lvlText w:val=""/>
      <w:lvlJc w:val="left"/>
      <w:pPr>
        <w:tabs>
          <w:tab w:val="num" w:pos="4320"/>
        </w:tabs>
        <w:ind w:left="4320" w:hanging="360"/>
      </w:pPr>
      <w:rPr>
        <w:rFonts w:ascii="Wingdings" w:hAnsi="Wingdings" w:hint="default"/>
      </w:rPr>
    </w:lvl>
    <w:lvl w:ilvl="6" w:tplc="7F44E780" w:tentative="1">
      <w:start w:val="1"/>
      <w:numFmt w:val="bullet"/>
      <w:lvlText w:val=""/>
      <w:lvlJc w:val="left"/>
      <w:pPr>
        <w:tabs>
          <w:tab w:val="num" w:pos="5040"/>
        </w:tabs>
        <w:ind w:left="5040" w:hanging="360"/>
      </w:pPr>
      <w:rPr>
        <w:rFonts w:ascii="Wingdings" w:hAnsi="Wingdings" w:hint="default"/>
      </w:rPr>
    </w:lvl>
    <w:lvl w:ilvl="7" w:tplc="9CB43310" w:tentative="1">
      <w:start w:val="1"/>
      <w:numFmt w:val="bullet"/>
      <w:lvlText w:val=""/>
      <w:lvlJc w:val="left"/>
      <w:pPr>
        <w:tabs>
          <w:tab w:val="num" w:pos="5760"/>
        </w:tabs>
        <w:ind w:left="5760" w:hanging="360"/>
      </w:pPr>
      <w:rPr>
        <w:rFonts w:ascii="Wingdings" w:hAnsi="Wingdings" w:hint="default"/>
      </w:rPr>
    </w:lvl>
    <w:lvl w:ilvl="8" w:tplc="731C7292"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FAF24F1"/>
    <w:multiLevelType w:val="hybridMultilevel"/>
    <w:tmpl w:val="C3DC8236"/>
    <w:lvl w:ilvl="0" w:tplc="45F2BA3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4224766">
    <w:abstractNumId w:val="27"/>
  </w:num>
  <w:num w:numId="2" w16cid:durableId="173956789">
    <w:abstractNumId w:val="13"/>
  </w:num>
  <w:num w:numId="3" w16cid:durableId="1557085846">
    <w:abstractNumId w:val="18"/>
  </w:num>
  <w:num w:numId="4" w16cid:durableId="1423648761">
    <w:abstractNumId w:val="5"/>
  </w:num>
  <w:num w:numId="5" w16cid:durableId="1899969949">
    <w:abstractNumId w:val="19"/>
  </w:num>
  <w:num w:numId="6" w16cid:durableId="35350836">
    <w:abstractNumId w:val="39"/>
  </w:num>
  <w:num w:numId="7" w16cid:durableId="1987514561">
    <w:abstractNumId w:val="35"/>
  </w:num>
  <w:num w:numId="8" w16cid:durableId="314187484">
    <w:abstractNumId w:val="23"/>
  </w:num>
  <w:num w:numId="9" w16cid:durableId="435253969">
    <w:abstractNumId w:val="18"/>
    <w:lvlOverride w:ilvl="0">
      <w:startOverride w:val="1"/>
    </w:lvlOverride>
    <w:lvlOverride w:ilvl="1"/>
    <w:lvlOverride w:ilvl="2"/>
    <w:lvlOverride w:ilvl="3"/>
    <w:lvlOverride w:ilvl="4"/>
    <w:lvlOverride w:ilvl="5"/>
    <w:lvlOverride w:ilvl="6"/>
    <w:lvlOverride w:ilvl="7"/>
    <w:lvlOverride w:ilvl="8"/>
  </w:num>
  <w:num w:numId="10" w16cid:durableId="1555504390">
    <w:abstractNumId w:val="3"/>
  </w:num>
  <w:num w:numId="11" w16cid:durableId="1457605275">
    <w:abstractNumId w:val="32"/>
  </w:num>
  <w:num w:numId="12" w16cid:durableId="685904507">
    <w:abstractNumId w:val="38"/>
  </w:num>
  <w:num w:numId="13" w16cid:durableId="1798180462">
    <w:abstractNumId w:val="22"/>
  </w:num>
  <w:num w:numId="14" w16cid:durableId="1235894757">
    <w:abstractNumId w:val="21"/>
  </w:num>
  <w:num w:numId="15" w16cid:durableId="14540573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20999820">
    <w:abstractNumId w:val="29"/>
  </w:num>
  <w:num w:numId="17" w16cid:durableId="621112198">
    <w:abstractNumId w:val="37"/>
  </w:num>
  <w:num w:numId="18" w16cid:durableId="855575825">
    <w:abstractNumId w:val="14"/>
  </w:num>
  <w:num w:numId="19" w16cid:durableId="1686857332">
    <w:abstractNumId w:val="26"/>
  </w:num>
  <w:num w:numId="20" w16cid:durableId="1912889351">
    <w:abstractNumId w:val="2"/>
  </w:num>
  <w:num w:numId="21" w16cid:durableId="1200434801">
    <w:abstractNumId w:val="10"/>
  </w:num>
  <w:num w:numId="22" w16cid:durableId="781068654">
    <w:abstractNumId w:val="4"/>
  </w:num>
  <w:num w:numId="23" w16cid:durableId="775560458">
    <w:abstractNumId w:val="33"/>
  </w:num>
  <w:num w:numId="24" w16cid:durableId="1779106210">
    <w:abstractNumId w:val="6"/>
  </w:num>
  <w:num w:numId="25" w16cid:durableId="972561647">
    <w:abstractNumId w:val="1"/>
  </w:num>
  <w:num w:numId="26" w16cid:durableId="461460737">
    <w:abstractNumId w:val="42"/>
  </w:num>
  <w:num w:numId="27" w16cid:durableId="680619204">
    <w:abstractNumId w:val="30"/>
  </w:num>
  <w:num w:numId="28" w16cid:durableId="498429367">
    <w:abstractNumId w:val="40"/>
  </w:num>
  <w:num w:numId="29" w16cid:durableId="2052916690">
    <w:abstractNumId w:val="15"/>
  </w:num>
  <w:num w:numId="30" w16cid:durableId="1150560373">
    <w:abstractNumId w:val="25"/>
  </w:num>
  <w:num w:numId="31" w16cid:durableId="392656940">
    <w:abstractNumId w:val="28"/>
  </w:num>
  <w:num w:numId="32" w16cid:durableId="159246495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960162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08537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839388349">
    <w:abstractNumId w:val="36"/>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18782397">
    <w:abstractNumId w:val="20"/>
  </w:num>
  <w:num w:numId="37" w16cid:durableId="575669633">
    <w:abstractNumId w:val="17"/>
  </w:num>
  <w:num w:numId="38" w16cid:durableId="1859811702">
    <w:abstractNumId w:val="0"/>
  </w:num>
  <w:num w:numId="39" w16cid:durableId="1873762388">
    <w:abstractNumId w:val="24"/>
  </w:num>
  <w:num w:numId="40" w16cid:durableId="1073963564">
    <w:abstractNumId w:val="31"/>
  </w:num>
  <w:num w:numId="41" w16cid:durableId="975372774">
    <w:abstractNumId w:val="34"/>
  </w:num>
  <w:num w:numId="42" w16cid:durableId="1740857902">
    <w:abstractNumId w:val="16"/>
  </w:num>
  <w:num w:numId="43" w16cid:durableId="1525898255">
    <w:abstractNumId w:val="8"/>
  </w:num>
  <w:num w:numId="44" w16cid:durableId="1327055734">
    <w:abstractNumId w:val="11"/>
  </w:num>
  <w:num w:numId="45" w16cid:durableId="1274825627">
    <w:abstractNumId w:val="7"/>
  </w:num>
  <w:num w:numId="46" w16cid:durableId="701395963">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OxNDM3sDSzMLUwsDBU0lEKTi0uzszPAykwNDetBQAbOJaXLgAAAA=="/>
  </w:docVars>
  <w:rsids>
    <w:rsidRoot w:val="00BA2327"/>
    <w:rsid w:val="00000AB4"/>
    <w:rsid w:val="00000CFA"/>
    <w:rsid w:val="0000114D"/>
    <w:rsid w:val="000012F2"/>
    <w:rsid w:val="00002150"/>
    <w:rsid w:val="000023EA"/>
    <w:rsid w:val="00002A44"/>
    <w:rsid w:val="00002CB9"/>
    <w:rsid w:val="00003C1F"/>
    <w:rsid w:val="00004B9F"/>
    <w:rsid w:val="00005007"/>
    <w:rsid w:val="00007807"/>
    <w:rsid w:val="00010F00"/>
    <w:rsid w:val="00010F68"/>
    <w:rsid w:val="000111C1"/>
    <w:rsid w:val="00011E14"/>
    <w:rsid w:val="00013B21"/>
    <w:rsid w:val="00014198"/>
    <w:rsid w:val="000141FB"/>
    <w:rsid w:val="000149B2"/>
    <w:rsid w:val="0001599C"/>
    <w:rsid w:val="00015FE7"/>
    <w:rsid w:val="00016962"/>
    <w:rsid w:val="000170CB"/>
    <w:rsid w:val="00017D3F"/>
    <w:rsid w:val="00017E26"/>
    <w:rsid w:val="000204A6"/>
    <w:rsid w:val="00020B2C"/>
    <w:rsid w:val="0002112A"/>
    <w:rsid w:val="000213E5"/>
    <w:rsid w:val="00021D4D"/>
    <w:rsid w:val="00022B0B"/>
    <w:rsid w:val="000238F7"/>
    <w:rsid w:val="00024158"/>
    <w:rsid w:val="0002573A"/>
    <w:rsid w:val="000265B9"/>
    <w:rsid w:val="00030132"/>
    <w:rsid w:val="00030DCB"/>
    <w:rsid w:val="00030F31"/>
    <w:rsid w:val="000318E0"/>
    <w:rsid w:val="00032451"/>
    <w:rsid w:val="0003377D"/>
    <w:rsid w:val="0003458D"/>
    <w:rsid w:val="00036055"/>
    <w:rsid w:val="00036E12"/>
    <w:rsid w:val="00037555"/>
    <w:rsid w:val="000375AF"/>
    <w:rsid w:val="000418E7"/>
    <w:rsid w:val="00042DFC"/>
    <w:rsid w:val="00043416"/>
    <w:rsid w:val="0004342D"/>
    <w:rsid w:val="00043658"/>
    <w:rsid w:val="00043988"/>
    <w:rsid w:val="00043C6B"/>
    <w:rsid w:val="00046381"/>
    <w:rsid w:val="00046515"/>
    <w:rsid w:val="00046B45"/>
    <w:rsid w:val="00046D73"/>
    <w:rsid w:val="00050376"/>
    <w:rsid w:val="00050740"/>
    <w:rsid w:val="000516CA"/>
    <w:rsid w:val="0005547C"/>
    <w:rsid w:val="00055593"/>
    <w:rsid w:val="00055B76"/>
    <w:rsid w:val="00056927"/>
    <w:rsid w:val="00057824"/>
    <w:rsid w:val="000604E0"/>
    <w:rsid w:val="00060851"/>
    <w:rsid w:val="00061650"/>
    <w:rsid w:val="00062FD2"/>
    <w:rsid w:val="00063233"/>
    <w:rsid w:val="0006347F"/>
    <w:rsid w:val="000644D2"/>
    <w:rsid w:val="000658EA"/>
    <w:rsid w:val="00066D76"/>
    <w:rsid w:val="00067A2D"/>
    <w:rsid w:val="000707F1"/>
    <w:rsid w:val="00070AE6"/>
    <w:rsid w:val="000719A9"/>
    <w:rsid w:val="000720F5"/>
    <w:rsid w:val="0007210C"/>
    <w:rsid w:val="00073205"/>
    <w:rsid w:val="00074089"/>
    <w:rsid w:val="000750CA"/>
    <w:rsid w:val="0007627F"/>
    <w:rsid w:val="0008066E"/>
    <w:rsid w:val="00082132"/>
    <w:rsid w:val="00083689"/>
    <w:rsid w:val="00083AC1"/>
    <w:rsid w:val="00084A18"/>
    <w:rsid w:val="00084CED"/>
    <w:rsid w:val="0008562E"/>
    <w:rsid w:val="000860FE"/>
    <w:rsid w:val="000861F1"/>
    <w:rsid w:val="00087275"/>
    <w:rsid w:val="000873C4"/>
    <w:rsid w:val="000875C3"/>
    <w:rsid w:val="0009049D"/>
    <w:rsid w:val="00092079"/>
    <w:rsid w:val="00092A5E"/>
    <w:rsid w:val="00092F5F"/>
    <w:rsid w:val="000938B1"/>
    <w:rsid w:val="000947CC"/>
    <w:rsid w:val="00094FB0"/>
    <w:rsid w:val="000A080A"/>
    <w:rsid w:val="000A0BFE"/>
    <w:rsid w:val="000A1DBB"/>
    <w:rsid w:val="000A2292"/>
    <w:rsid w:val="000A2BF7"/>
    <w:rsid w:val="000A3348"/>
    <w:rsid w:val="000A5051"/>
    <w:rsid w:val="000A69F5"/>
    <w:rsid w:val="000A73D2"/>
    <w:rsid w:val="000B0499"/>
    <w:rsid w:val="000B0664"/>
    <w:rsid w:val="000B0B33"/>
    <w:rsid w:val="000B141A"/>
    <w:rsid w:val="000B274D"/>
    <w:rsid w:val="000B3953"/>
    <w:rsid w:val="000B5476"/>
    <w:rsid w:val="000B6554"/>
    <w:rsid w:val="000B6AEC"/>
    <w:rsid w:val="000B73B7"/>
    <w:rsid w:val="000B7535"/>
    <w:rsid w:val="000B7E38"/>
    <w:rsid w:val="000C1C57"/>
    <w:rsid w:val="000C2A11"/>
    <w:rsid w:val="000C414B"/>
    <w:rsid w:val="000C5339"/>
    <w:rsid w:val="000C75E3"/>
    <w:rsid w:val="000C7814"/>
    <w:rsid w:val="000C7937"/>
    <w:rsid w:val="000C7EC5"/>
    <w:rsid w:val="000D0A89"/>
    <w:rsid w:val="000D14AF"/>
    <w:rsid w:val="000D1957"/>
    <w:rsid w:val="000D3BFE"/>
    <w:rsid w:val="000D3DB6"/>
    <w:rsid w:val="000D41CF"/>
    <w:rsid w:val="000D4299"/>
    <w:rsid w:val="000D4965"/>
    <w:rsid w:val="000D4C72"/>
    <w:rsid w:val="000D4D85"/>
    <w:rsid w:val="000D5400"/>
    <w:rsid w:val="000D5C36"/>
    <w:rsid w:val="000D6C27"/>
    <w:rsid w:val="000D7C39"/>
    <w:rsid w:val="000E0C47"/>
    <w:rsid w:val="000E0E3C"/>
    <w:rsid w:val="000E0FFB"/>
    <w:rsid w:val="000E1961"/>
    <w:rsid w:val="000E231A"/>
    <w:rsid w:val="000E2B2C"/>
    <w:rsid w:val="000E2CA0"/>
    <w:rsid w:val="000E476C"/>
    <w:rsid w:val="000E49DC"/>
    <w:rsid w:val="000E4E8D"/>
    <w:rsid w:val="000E4F55"/>
    <w:rsid w:val="000E5135"/>
    <w:rsid w:val="000E5486"/>
    <w:rsid w:val="000E600A"/>
    <w:rsid w:val="000E67EB"/>
    <w:rsid w:val="000E68E6"/>
    <w:rsid w:val="000E6D01"/>
    <w:rsid w:val="000E79DD"/>
    <w:rsid w:val="000E7AF5"/>
    <w:rsid w:val="000F2EDA"/>
    <w:rsid w:val="000F3D72"/>
    <w:rsid w:val="000F3DB7"/>
    <w:rsid w:val="000F4DCF"/>
    <w:rsid w:val="000F4FD1"/>
    <w:rsid w:val="000F555F"/>
    <w:rsid w:val="000F5EBC"/>
    <w:rsid w:val="000F616A"/>
    <w:rsid w:val="000F61B9"/>
    <w:rsid w:val="000F67AA"/>
    <w:rsid w:val="000F6C31"/>
    <w:rsid w:val="000F7DE8"/>
    <w:rsid w:val="0010099A"/>
    <w:rsid w:val="00100BE7"/>
    <w:rsid w:val="00103425"/>
    <w:rsid w:val="0010343A"/>
    <w:rsid w:val="001036E7"/>
    <w:rsid w:val="00105844"/>
    <w:rsid w:val="001100CE"/>
    <w:rsid w:val="001104F9"/>
    <w:rsid w:val="001108BE"/>
    <w:rsid w:val="00111795"/>
    <w:rsid w:val="00111A0A"/>
    <w:rsid w:val="00111B0D"/>
    <w:rsid w:val="00113BB8"/>
    <w:rsid w:val="001147E5"/>
    <w:rsid w:val="00115CC1"/>
    <w:rsid w:val="00115CDD"/>
    <w:rsid w:val="00116A23"/>
    <w:rsid w:val="0011711D"/>
    <w:rsid w:val="00117EC7"/>
    <w:rsid w:val="00121486"/>
    <w:rsid w:val="001216E8"/>
    <w:rsid w:val="001227B9"/>
    <w:rsid w:val="00122880"/>
    <w:rsid w:val="00122A25"/>
    <w:rsid w:val="00122C5E"/>
    <w:rsid w:val="00122C9C"/>
    <w:rsid w:val="001238C7"/>
    <w:rsid w:val="00123907"/>
    <w:rsid w:val="00123915"/>
    <w:rsid w:val="00124DF5"/>
    <w:rsid w:val="00125FFE"/>
    <w:rsid w:val="00126EF5"/>
    <w:rsid w:val="001277ED"/>
    <w:rsid w:val="0013055F"/>
    <w:rsid w:val="00130F1C"/>
    <w:rsid w:val="001314D1"/>
    <w:rsid w:val="00131C11"/>
    <w:rsid w:val="00131FCD"/>
    <w:rsid w:val="0013207E"/>
    <w:rsid w:val="00133C2D"/>
    <w:rsid w:val="00133D9A"/>
    <w:rsid w:val="00134066"/>
    <w:rsid w:val="0013495E"/>
    <w:rsid w:val="0013566B"/>
    <w:rsid w:val="001361E0"/>
    <w:rsid w:val="001363B4"/>
    <w:rsid w:val="00137308"/>
    <w:rsid w:val="00137B11"/>
    <w:rsid w:val="00140D7B"/>
    <w:rsid w:val="00141C88"/>
    <w:rsid w:val="00143917"/>
    <w:rsid w:val="00143E2B"/>
    <w:rsid w:val="0014435E"/>
    <w:rsid w:val="00144801"/>
    <w:rsid w:val="00144F35"/>
    <w:rsid w:val="00144FE1"/>
    <w:rsid w:val="00145AB7"/>
    <w:rsid w:val="00146E27"/>
    <w:rsid w:val="00147835"/>
    <w:rsid w:val="00151629"/>
    <w:rsid w:val="001516BF"/>
    <w:rsid w:val="00151BA4"/>
    <w:rsid w:val="00152296"/>
    <w:rsid w:val="00152A38"/>
    <w:rsid w:val="00153337"/>
    <w:rsid w:val="00153BAB"/>
    <w:rsid w:val="001547B4"/>
    <w:rsid w:val="00154C92"/>
    <w:rsid w:val="001553D0"/>
    <w:rsid w:val="0015626F"/>
    <w:rsid w:val="001565A2"/>
    <w:rsid w:val="00157794"/>
    <w:rsid w:val="001578CF"/>
    <w:rsid w:val="00160C64"/>
    <w:rsid w:val="00161288"/>
    <w:rsid w:val="00161A79"/>
    <w:rsid w:val="00161FF0"/>
    <w:rsid w:val="0016280A"/>
    <w:rsid w:val="00162A13"/>
    <w:rsid w:val="00162F08"/>
    <w:rsid w:val="00163866"/>
    <w:rsid w:val="00163C65"/>
    <w:rsid w:val="00163EDE"/>
    <w:rsid w:val="00164850"/>
    <w:rsid w:val="00164F40"/>
    <w:rsid w:val="001653C7"/>
    <w:rsid w:val="00165ACD"/>
    <w:rsid w:val="00167450"/>
    <w:rsid w:val="001709DB"/>
    <w:rsid w:val="00170F1F"/>
    <w:rsid w:val="001718A3"/>
    <w:rsid w:val="00171DAC"/>
    <w:rsid w:val="001721EE"/>
    <w:rsid w:val="00173383"/>
    <w:rsid w:val="00174887"/>
    <w:rsid w:val="00174E93"/>
    <w:rsid w:val="00177CC4"/>
    <w:rsid w:val="00181652"/>
    <w:rsid w:val="00181983"/>
    <w:rsid w:val="001825F4"/>
    <w:rsid w:val="00182BF9"/>
    <w:rsid w:val="00184453"/>
    <w:rsid w:val="001849B5"/>
    <w:rsid w:val="00185EA0"/>
    <w:rsid w:val="00186E14"/>
    <w:rsid w:val="00186FBE"/>
    <w:rsid w:val="00187F04"/>
    <w:rsid w:val="00190A85"/>
    <w:rsid w:val="00190C8B"/>
    <w:rsid w:val="001913FA"/>
    <w:rsid w:val="00191A6B"/>
    <w:rsid w:val="00192E04"/>
    <w:rsid w:val="001934FE"/>
    <w:rsid w:val="00193DB5"/>
    <w:rsid w:val="00194079"/>
    <w:rsid w:val="0019433C"/>
    <w:rsid w:val="001964C3"/>
    <w:rsid w:val="00196A5C"/>
    <w:rsid w:val="00196AB3"/>
    <w:rsid w:val="001A02EC"/>
    <w:rsid w:val="001A065B"/>
    <w:rsid w:val="001A1A02"/>
    <w:rsid w:val="001A2445"/>
    <w:rsid w:val="001A2FB8"/>
    <w:rsid w:val="001A3571"/>
    <w:rsid w:val="001A3574"/>
    <w:rsid w:val="001A4106"/>
    <w:rsid w:val="001A4919"/>
    <w:rsid w:val="001A5BDC"/>
    <w:rsid w:val="001A5DC8"/>
    <w:rsid w:val="001A693D"/>
    <w:rsid w:val="001A7921"/>
    <w:rsid w:val="001B0244"/>
    <w:rsid w:val="001B0ACF"/>
    <w:rsid w:val="001B0DD5"/>
    <w:rsid w:val="001B0EBB"/>
    <w:rsid w:val="001B1941"/>
    <w:rsid w:val="001B1BF1"/>
    <w:rsid w:val="001B2BEA"/>
    <w:rsid w:val="001B4CA4"/>
    <w:rsid w:val="001B5F57"/>
    <w:rsid w:val="001B6037"/>
    <w:rsid w:val="001B63EE"/>
    <w:rsid w:val="001B7CF6"/>
    <w:rsid w:val="001C0254"/>
    <w:rsid w:val="001C2EA6"/>
    <w:rsid w:val="001C2F1B"/>
    <w:rsid w:val="001C3CA5"/>
    <w:rsid w:val="001C7442"/>
    <w:rsid w:val="001C77BA"/>
    <w:rsid w:val="001C7E78"/>
    <w:rsid w:val="001D141A"/>
    <w:rsid w:val="001D1C17"/>
    <w:rsid w:val="001D2161"/>
    <w:rsid w:val="001D403E"/>
    <w:rsid w:val="001D4C08"/>
    <w:rsid w:val="001D5792"/>
    <w:rsid w:val="001D6B1F"/>
    <w:rsid w:val="001D78A0"/>
    <w:rsid w:val="001E125E"/>
    <w:rsid w:val="001E22CE"/>
    <w:rsid w:val="001E23AF"/>
    <w:rsid w:val="001E2AC8"/>
    <w:rsid w:val="001E2B50"/>
    <w:rsid w:val="001E3E97"/>
    <w:rsid w:val="001E4093"/>
    <w:rsid w:val="001E47FB"/>
    <w:rsid w:val="001E49F4"/>
    <w:rsid w:val="001E4E2A"/>
    <w:rsid w:val="001E590A"/>
    <w:rsid w:val="001E5ABF"/>
    <w:rsid w:val="001E6192"/>
    <w:rsid w:val="001E6EEF"/>
    <w:rsid w:val="001E72B7"/>
    <w:rsid w:val="001E747C"/>
    <w:rsid w:val="001F0945"/>
    <w:rsid w:val="001F1646"/>
    <w:rsid w:val="001F28FC"/>
    <w:rsid w:val="001F2F03"/>
    <w:rsid w:val="001F4121"/>
    <w:rsid w:val="001F4C3A"/>
    <w:rsid w:val="001F4EF0"/>
    <w:rsid w:val="001F4FAB"/>
    <w:rsid w:val="001F565B"/>
    <w:rsid w:val="001F5AF2"/>
    <w:rsid w:val="001F6180"/>
    <w:rsid w:val="001F75A2"/>
    <w:rsid w:val="002000E0"/>
    <w:rsid w:val="00200C72"/>
    <w:rsid w:val="0020132C"/>
    <w:rsid w:val="00201561"/>
    <w:rsid w:val="00201AE1"/>
    <w:rsid w:val="002028AD"/>
    <w:rsid w:val="0020366A"/>
    <w:rsid w:val="002043AC"/>
    <w:rsid w:val="00204F48"/>
    <w:rsid w:val="0020565F"/>
    <w:rsid w:val="00206718"/>
    <w:rsid w:val="00207932"/>
    <w:rsid w:val="002105B1"/>
    <w:rsid w:val="002112D8"/>
    <w:rsid w:val="0021233B"/>
    <w:rsid w:val="002129FB"/>
    <w:rsid w:val="00212C10"/>
    <w:rsid w:val="00213816"/>
    <w:rsid w:val="002138F3"/>
    <w:rsid w:val="00213A57"/>
    <w:rsid w:val="002140DE"/>
    <w:rsid w:val="00214B06"/>
    <w:rsid w:val="00214D51"/>
    <w:rsid w:val="002159CC"/>
    <w:rsid w:val="00216268"/>
    <w:rsid w:val="00216320"/>
    <w:rsid w:val="0021649D"/>
    <w:rsid w:val="002205FC"/>
    <w:rsid w:val="00220735"/>
    <w:rsid w:val="00220EBB"/>
    <w:rsid w:val="00220FD8"/>
    <w:rsid w:val="002212B5"/>
    <w:rsid w:val="00221D56"/>
    <w:rsid w:val="00221E94"/>
    <w:rsid w:val="0022295B"/>
    <w:rsid w:val="002249EF"/>
    <w:rsid w:val="0022512F"/>
    <w:rsid w:val="0022599C"/>
    <w:rsid w:val="00225A92"/>
    <w:rsid w:val="00225C1E"/>
    <w:rsid w:val="002277F9"/>
    <w:rsid w:val="002300D0"/>
    <w:rsid w:val="002302EE"/>
    <w:rsid w:val="00230304"/>
    <w:rsid w:val="0023048D"/>
    <w:rsid w:val="00232989"/>
    <w:rsid w:val="00233C62"/>
    <w:rsid w:val="00235432"/>
    <w:rsid w:val="00235F62"/>
    <w:rsid w:val="0023603C"/>
    <w:rsid w:val="002372FA"/>
    <w:rsid w:val="0023764F"/>
    <w:rsid w:val="00240923"/>
    <w:rsid w:val="0024221E"/>
    <w:rsid w:val="002423BD"/>
    <w:rsid w:val="002424EC"/>
    <w:rsid w:val="00242617"/>
    <w:rsid w:val="00242F10"/>
    <w:rsid w:val="00243B22"/>
    <w:rsid w:val="0024538D"/>
    <w:rsid w:val="002479A1"/>
    <w:rsid w:val="00247E95"/>
    <w:rsid w:val="0025043D"/>
    <w:rsid w:val="0025058F"/>
    <w:rsid w:val="00251208"/>
    <w:rsid w:val="002514C0"/>
    <w:rsid w:val="00252052"/>
    <w:rsid w:val="002526DA"/>
    <w:rsid w:val="00253981"/>
    <w:rsid w:val="00254B64"/>
    <w:rsid w:val="00254C64"/>
    <w:rsid w:val="0025702E"/>
    <w:rsid w:val="002573BC"/>
    <w:rsid w:val="00260C51"/>
    <w:rsid w:val="002618A8"/>
    <w:rsid w:val="00262596"/>
    <w:rsid w:val="00262C61"/>
    <w:rsid w:val="0026309C"/>
    <w:rsid w:val="00264738"/>
    <w:rsid w:val="00265A10"/>
    <w:rsid w:val="00266A58"/>
    <w:rsid w:val="00270862"/>
    <w:rsid w:val="00272121"/>
    <w:rsid w:val="00272E87"/>
    <w:rsid w:val="00272FD6"/>
    <w:rsid w:val="002748E1"/>
    <w:rsid w:val="00274AF2"/>
    <w:rsid w:val="00274F34"/>
    <w:rsid w:val="00277449"/>
    <w:rsid w:val="002775D6"/>
    <w:rsid w:val="0028034B"/>
    <w:rsid w:val="002805C3"/>
    <w:rsid w:val="002808AD"/>
    <w:rsid w:val="0028117D"/>
    <w:rsid w:val="00281B3C"/>
    <w:rsid w:val="002843C6"/>
    <w:rsid w:val="002848FD"/>
    <w:rsid w:val="00284BFD"/>
    <w:rsid w:val="002870B3"/>
    <w:rsid w:val="0029007D"/>
    <w:rsid w:val="0029022A"/>
    <w:rsid w:val="002910E0"/>
    <w:rsid w:val="00292485"/>
    <w:rsid w:val="00292948"/>
    <w:rsid w:val="0029313C"/>
    <w:rsid w:val="00293806"/>
    <w:rsid w:val="0029383C"/>
    <w:rsid w:val="00294981"/>
    <w:rsid w:val="00294F62"/>
    <w:rsid w:val="002952C5"/>
    <w:rsid w:val="002967B9"/>
    <w:rsid w:val="0029698A"/>
    <w:rsid w:val="00297077"/>
    <w:rsid w:val="002A06ED"/>
    <w:rsid w:val="002A0EDE"/>
    <w:rsid w:val="002A0FF7"/>
    <w:rsid w:val="002A1A51"/>
    <w:rsid w:val="002A221C"/>
    <w:rsid w:val="002A32E6"/>
    <w:rsid w:val="002A3333"/>
    <w:rsid w:val="002A33B7"/>
    <w:rsid w:val="002A4CF4"/>
    <w:rsid w:val="002A57F6"/>
    <w:rsid w:val="002A5E1F"/>
    <w:rsid w:val="002A5FF2"/>
    <w:rsid w:val="002A72CE"/>
    <w:rsid w:val="002A74D9"/>
    <w:rsid w:val="002A761E"/>
    <w:rsid w:val="002B17A3"/>
    <w:rsid w:val="002B1EA5"/>
    <w:rsid w:val="002B2049"/>
    <w:rsid w:val="002B2666"/>
    <w:rsid w:val="002B2B11"/>
    <w:rsid w:val="002B3476"/>
    <w:rsid w:val="002B366F"/>
    <w:rsid w:val="002B3912"/>
    <w:rsid w:val="002B6B4D"/>
    <w:rsid w:val="002B7168"/>
    <w:rsid w:val="002B717E"/>
    <w:rsid w:val="002B7DD0"/>
    <w:rsid w:val="002C0C80"/>
    <w:rsid w:val="002C15B5"/>
    <w:rsid w:val="002C180E"/>
    <w:rsid w:val="002C1ABA"/>
    <w:rsid w:val="002C1BDA"/>
    <w:rsid w:val="002C235C"/>
    <w:rsid w:val="002C2E02"/>
    <w:rsid w:val="002C3B98"/>
    <w:rsid w:val="002C416F"/>
    <w:rsid w:val="002C4192"/>
    <w:rsid w:val="002C5086"/>
    <w:rsid w:val="002C5621"/>
    <w:rsid w:val="002C6064"/>
    <w:rsid w:val="002C6D16"/>
    <w:rsid w:val="002C7380"/>
    <w:rsid w:val="002C7641"/>
    <w:rsid w:val="002D0E14"/>
    <w:rsid w:val="002D32E5"/>
    <w:rsid w:val="002D36D9"/>
    <w:rsid w:val="002D372F"/>
    <w:rsid w:val="002D3B37"/>
    <w:rsid w:val="002D3F5B"/>
    <w:rsid w:val="002D3FB5"/>
    <w:rsid w:val="002D40A4"/>
    <w:rsid w:val="002D4D6F"/>
    <w:rsid w:val="002D56DC"/>
    <w:rsid w:val="002E133E"/>
    <w:rsid w:val="002E142E"/>
    <w:rsid w:val="002E2555"/>
    <w:rsid w:val="002E2CAA"/>
    <w:rsid w:val="002E44B2"/>
    <w:rsid w:val="002E4DDA"/>
    <w:rsid w:val="002E559A"/>
    <w:rsid w:val="002E60C7"/>
    <w:rsid w:val="002E6873"/>
    <w:rsid w:val="002E764A"/>
    <w:rsid w:val="002F0331"/>
    <w:rsid w:val="002F0F88"/>
    <w:rsid w:val="002F27F2"/>
    <w:rsid w:val="002F2A37"/>
    <w:rsid w:val="002F2EE9"/>
    <w:rsid w:val="002F3041"/>
    <w:rsid w:val="002F37BA"/>
    <w:rsid w:val="002F3C84"/>
    <w:rsid w:val="002F40EB"/>
    <w:rsid w:val="002F4907"/>
    <w:rsid w:val="002F49DC"/>
    <w:rsid w:val="002F6534"/>
    <w:rsid w:val="002F6AA5"/>
    <w:rsid w:val="002F75A8"/>
    <w:rsid w:val="002F7865"/>
    <w:rsid w:val="00300682"/>
    <w:rsid w:val="00300772"/>
    <w:rsid w:val="00300CDB"/>
    <w:rsid w:val="00300DE6"/>
    <w:rsid w:val="00300E39"/>
    <w:rsid w:val="00301057"/>
    <w:rsid w:val="00301890"/>
    <w:rsid w:val="003025F3"/>
    <w:rsid w:val="00302731"/>
    <w:rsid w:val="00302EB5"/>
    <w:rsid w:val="0030329C"/>
    <w:rsid w:val="0030372C"/>
    <w:rsid w:val="00303DD0"/>
    <w:rsid w:val="00304B9D"/>
    <w:rsid w:val="00304CC3"/>
    <w:rsid w:val="0030519B"/>
    <w:rsid w:val="003056AF"/>
    <w:rsid w:val="0030592F"/>
    <w:rsid w:val="003063E2"/>
    <w:rsid w:val="0030657E"/>
    <w:rsid w:val="00306823"/>
    <w:rsid w:val="00306987"/>
    <w:rsid w:val="00306B72"/>
    <w:rsid w:val="00306D27"/>
    <w:rsid w:val="003079B8"/>
    <w:rsid w:val="0031139D"/>
    <w:rsid w:val="00311D6A"/>
    <w:rsid w:val="00314B8E"/>
    <w:rsid w:val="00314BDF"/>
    <w:rsid w:val="00314FB7"/>
    <w:rsid w:val="00315BEF"/>
    <w:rsid w:val="0031659F"/>
    <w:rsid w:val="00316FC9"/>
    <w:rsid w:val="003179CB"/>
    <w:rsid w:val="00320692"/>
    <w:rsid w:val="003209F5"/>
    <w:rsid w:val="00320B1C"/>
    <w:rsid w:val="00321F92"/>
    <w:rsid w:val="00322374"/>
    <w:rsid w:val="003230BA"/>
    <w:rsid w:val="0032372A"/>
    <w:rsid w:val="0032398B"/>
    <w:rsid w:val="00324E6D"/>
    <w:rsid w:val="00325847"/>
    <w:rsid w:val="00325FF1"/>
    <w:rsid w:val="0032692D"/>
    <w:rsid w:val="0032741E"/>
    <w:rsid w:val="00327874"/>
    <w:rsid w:val="003303F7"/>
    <w:rsid w:val="003310F9"/>
    <w:rsid w:val="003318C8"/>
    <w:rsid w:val="00332E2E"/>
    <w:rsid w:val="00332E59"/>
    <w:rsid w:val="003334F3"/>
    <w:rsid w:val="00334213"/>
    <w:rsid w:val="003342C3"/>
    <w:rsid w:val="00337664"/>
    <w:rsid w:val="0033767D"/>
    <w:rsid w:val="003379C5"/>
    <w:rsid w:val="00340866"/>
    <w:rsid w:val="00341473"/>
    <w:rsid w:val="003416A6"/>
    <w:rsid w:val="00342FD7"/>
    <w:rsid w:val="0034320F"/>
    <w:rsid w:val="00345857"/>
    <w:rsid w:val="00346549"/>
    <w:rsid w:val="00347EAF"/>
    <w:rsid w:val="00350F6D"/>
    <w:rsid w:val="00350FCC"/>
    <w:rsid w:val="00351E39"/>
    <w:rsid w:val="00352AB3"/>
    <w:rsid w:val="00353767"/>
    <w:rsid w:val="00353FA9"/>
    <w:rsid w:val="003545BA"/>
    <w:rsid w:val="003548EF"/>
    <w:rsid w:val="00354B38"/>
    <w:rsid w:val="00355930"/>
    <w:rsid w:val="003560DC"/>
    <w:rsid w:val="00356C61"/>
    <w:rsid w:val="00357C64"/>
    <w:rsid w:val="00357D93"/>
    <w:rsid w:val="003606E8"/>
    <w:rsid w:val="003612FE"/>
    <w:rsid w:val="00362835"/>
    <w:rsid w:val="0036368F"/>
    <w:rsid w:val="00363ACC"/>
    <w:rsid w:val="003649FA"/>
    <w:rsid w:val="00364B54"/>
    <w:rsid w:val="0036617F"/>
    <w:rsid w:val="00366DEB"/>
    <w:rsid w:val="00370174"/>
    <w:rsid w:val="00370EFD"/>
    <w:rsid w:val="00371C5B"/>
    <w:rsid w:val="00371C63"/>
    <w:rsid w:val="0037259C"/>
    <w:rsid w:val="00372D83"/>
    <w:rsid w:val="00375C2C"/>
    <w:rsid w:val="00376861"/>
    <w:rsid w:val="003774B5"/>
    <w:rsid w:val="0037750C"/>
    <w:rsid w:val="003777BB"/>
    <w:rsid w:val="00380E77"/>
    <w:rsid w:val="003810C6"/>
    <w:rsid w:val="0038261C"/>
    <w:rsid w:val="00382BD6"/>
    <w:rsid w:val="00383A59"/>
    <w:rsid w:val="00383A6F"/>
    <w:rsid w:val="00383D9F"/>
    <w:rsid w:val="00383E79"/>
    <w:rsid w:val="00384D21"/>
    <w:rsid w:val="0038509A"/>
    <w:rsid w:val="0038589B"/>
    <w:rsid w:val="003862B4"/>
    <w:rsid w:val="00386C23"/>
    <w:rsid w:val="00386EE0"/>
    <w:rsid w:val="0038702E"/>
    <w:rsid w:val="00387569"/>
    <w:rsid w:val="0038773C"/>
    <w:rsid w:val="0038778F"/>
    <w:rsid w:val="00387E49"/>
    <w:rsid w:val="00390387"/>
    <w:rsid w:val="00391088"/>
    <w:rsid w:val="003917E3"/>
    <w:rsid w:val="00392948"/>
    <w:rsid w:val="00393AD1"/>
    <w:rsid w:val="00393C45"/>
    <w:rsid w:val="003949A3"/>
    <w:rsid w:val="00395776"/>
    <w:rsid w:val="00396303"/>
    <w:rsid w:val="00396F29"/>
    <w:rsid w:val="00396FC6"/>
    <w:rsid w:val="003A0946"/>
    <w:rsid w:val="003A10AA"/>
    <w:rsid w:val="003A22DE"/>
    <w:rsid w:val="003A4DA6"/>
    <w:rsid w:val="003A4E48"/>
    <w:rsid w:val="003A6106"/>
    <w:rsid w:val="003A6452"/>
    <w:rsid w:val="003A67D7"/>
    <w:rsid w:val="003B01CF"/>
    <w:rsid w:val="003B0C01"/>
    <w:rsid w:val="003B0C8E"/>
    <w:rsid w:val="003B2387"/>
    <w:rsid w:val="003B4407"/>
    <w:rsid w:val="003B47C8"/>
    <w:rsid w:val="003B6A8F"/>
    <w:rsid w:val="003B7039"/>
    <w:rsid w:val="003C00CA"/>
    <w:rsid w:val="003C020F"/>
    <w:rsid w:val="003C0772"/>
    <w:rsid w:val="003C0EB6"/>
    <w:rsid w:val="003C43A5"/>
    <w:rsid w:val="003C4BF7"/>
    <w:rsid w:val="003C553F"/>
    <w:rsid w:val="003C5A8E"/>
    <w:rsid w:val="003C5F30"/>
    <w:rsid w:val="003C7B3E"/>
    <w:rsid w:val="003C7EA5"/>
    <w:rsid w:val="003D09A8"/>
    <w:rsid w:val="003D0C63"/>
    <w:rsid w:val="003D0EB5"/>
    <w:rsid w:val="003D123E"/>
    <w:rsid w:val="003D2B9B"/>
    <w:rsid w:val="003D38BA"/>
    <w:rsid w:val="003D408F"/>
    <w:rsid w:val="003D4878"/>
    <w:rsid w:val="003D4BD1"/>
    <w:rsid w:val="003D508F"/>
    <w:rsid w:val="003D5405"/>
    <w:rsid w:val="003D579A"/>
    <w:rsid w:val="003D6EB5"/>
    <w:rsid w:val="003E0647"/>
    <w:rsid w:val="003E0ED8"/>
    <w:rsid w:val="003E2DCA"/>
    <w:rsid w:val="003E3007"/>
    <w:rsid w:val="003E4D2C"/>
    <w:rsid w:val="003E4D7C"/>
    <w:rsid w:val="003E533F"/>
    <w:rsid w:val="003E57C2"/>
    <w:rsid w:val="003E690B"/>
    <w:rsid w:val="003F052A"/>
    <w:rsid w:val="003F0E39"/>
    <w:rsid w:val="003F10EB"/>
    <w:rsid w:val="003F1DE3"/>
    <w:rsid w:val="003F22C4"/>
    <w:rsid w:val="003F2F8E"/>
    <w:rsid w:val="003F4376"/>
    <w:rsid w:val="003F5ABC"/>
    <w:rsid w:val="003F5FAA"/>
    <w:rsid w:val="00400433"/>
    <w:rsid w:val="0040101F"/>
    <w:rsid w:val="00401784"/>
    <w:rsid w:val="00401D78"/>
    <w:rsid w:val="0040290D"/>
    <w:rsid w:val="00402C91"/>
    <w:rsid w:val="004034C6"/>
    <w:rsid w:val="004040DF"/>
    <w:rsid w:val="00405555"/>
    <w:rsid w:val="00405FED"/>
    <w:rsid w:val="00407A99"/>
    <w:rsid w:val="00410C38"/>
    <w:rsid w:val="00412673"/>
    <w:rsid w:val="0041270B"/>
    <w:rsid w:val="004131A1"/>
    <w:rsid w:val="004134B1"/>
    <w:rsid w:val="00413C80"/>
    <w:rsid w:val="00414911"/>
    <w:rsid w:val="004149BB"/>
    <w:rsid w:val="00415CEF"/>
    <w:rsid w:val="00415FC2"/>
    <w:rsid w:val="004163F1"/>
    <w:rsid w:val="00416E99"/>
    <w:rsid w:val="004177F4"/>
    <w:rsid w:val="00420ACE"/>
    <w:rsid w:val="004214EB"/>
    <w:rsid w:val="00421675"/>
    <w:rsid w:val="00421D0B"/>
    <w:rsid w:val="00421D3B"/>
    <w:rsid w:val="00422A66"/>
    <w:rsid w:val="00423080"/>
    <w:rsid w:val="00424540"/>
    <w:rsid w:val="0042613E"/>
    <w:rsid w:val="0042615F"/>
    <w:rsid w:val="004264BC"/>
    <w:rsid w:val="00426764"/>
    <w:rsid w:val="00426DA7"/>
    <w:rsid w:val="00427214"/>
    <w:rsid w:val="0043075F"/>
    <w:rsid w:val="00430853"/>
    <w:rsid w:val="0043132B"/>
    <w:rsid w:val="004314FD"/>
    <w:rsid w:val="00432B54"/>
    <w:rsid w:val="0043361E"/>
    <w:rsid w:val="00433C4F"/>
    <w:rsid w:val="00433E16"/>
    <w:rsid w:val="00433F27"/>
    <w:rsid w:val="00434009"/>
    <w:rsid w:val="004344A1"/>
    <w:rsid w:val="0043479E"/>
    <w:rsid w:val="00434AEF"/>
    <w:rsid w:val="00435157"/>
    <w:rsid w:val="00436B13"/>
    <w:rsid w:val="004374E7"/>
    <w:rsid w:val="00437C38"/>
    <w:rsid w:val="004405B2"/>
    <w:rsid w:val="00440E17"/>
    <w:rsid w:val="004426B4"/>
    <w:rsid w:val="0044319D"/>
    <w:rsid w:val="00443BE6"/>
    <w:rsid w:val="00443FF9"/>
    <w:rsid w:val="004445CF"/>
    <w:rsid w:val="00444B61"/>
    <w:rsid w:val="004456BD"/>
    <w:rsid w:val="00447763"/>
    <w:rsid w:val="00447C75"/>
    <w:rsid w:val="0045065C"/>
    <w:rsid w:val="00451A7E"/>
    <w:rsid w:val="00451CDA"/>
    <w:rsid w:val="0045273C"/>
    <w:rsid w:val="00453454"/>
    <w:rsid w:val="00454253"/>
    <w:rsid w:val="00454947"/>
    <w:rsid w:val="00454A64"/>
    <w:rsid w:val="00455706"/>
    <w:rsid w:val="00456262"/>
    <w:rsid w:val="00460E1E"/>
    <w:rsid w:val="00461657"/>
    <w:rsid w:val="00465E6F"/>
    <w:rsid w:val="00467DA9"/>
    <w:rsid w:val="00471469"/>
    <w:rsid w:val="00471B69"/>
    <w:rsid w:val="00472D37"/>
    <w:rsid w:val="004742D8"/>
    <w:rsid w:val="00476E48"/>
    <w:rsid w:val="004776A6"/>
    <w:rsid w:val="00480344"/>
    <w:rsid w:val="00480365"/>
    <w:rsid w:val="00481544"/>
    <w:rsid w:val="004820B2"/>
    <w:rsid w:val="00482D47"/>
    <w:rsid w:val="00483D1D"/>
    <w:rsid w:val="0048404C"/>
    <w:rsid w:val="00484134"/>
    <w:rsid w:val="00485123"/>
    <w:rsid w:val="004853AE"/>
    <w:rsid w:val="00485C99"/>
    <w:rsid w:val="00486D0A"/>
    <w:rsid w:val="00486E38"/>
    <w:rsid w:val="00486F2C"/>
    <w:rsid w:val="00487F3A"/>
    <w:rsid w:val="00490AFB"/>
    <w:rsid w:val="00491801"/>
    <w:rsid w:val="00491D23"/>
    <w:rsid w:val="00493825"/>
    <w:rsid w:val="00493E5F"/>
    <w:rsid w:val="00494A8D"/>
    <w:rsid w:val="00494AA7"/>
    <w:rsid w:val="004960F0"/>
    <w:rsid w:val="004969B6"/>
    <w:rsid w:val="00496E36"/>
    <w:rsid w:val="00496F9C"/>
    <w:rsid w:val="00497527"/>
    <w:rsid w:val="00497BAD"/>
    <w:rsid w:val="004A00EA"/>
    <w:rsid w:val="004A214D"/>
    <w:rsid w:val="004A4555"/>
    <w:rsid w:val="004A5642"/>
    <w:rsid w:val="004A60A3"/>
    <w:rsid w:val="004A670F"/>
    <w:rsid w:val="004A78D5"/>
    <w:rsid w:val="004A7C89"/>
    <w:rsid w:val="004B0C12"/>
    <w:rsid w:val="004B0E3C"/>
    <w:rsid w:val="004B1459"/>
    <w:rsid w:val="004B2006"/>
    <w:rsid w:val="004B28C6"/>
    <w:rsid w:val="004B29F0"/>
    <w:rsid w:val="004B2E64"/>
    <w:rsid w:val="004B4020"/>
    <w:rsid w:val="004B44D8"/>
    <w:rsid w:val="004B504E"/>
    <w:rsid w:val="004B6415"/>
    <w:rsid w:val="004B6443"/>
    <w:rsid w:val="004B6738"/>
    <w:rsid w:val="004B759F"/>
    <w:rsid w:val="004B75CE"/>
    <w:rsid w:val="004B78B8"/>
    <w:rsid w:val="004B7ED3"/>
    <w:rsid w:val="004C0536"/>
    <w:rsid w:val="004C085B"/>
    <w:rsid w:val="004C0FAB"/>
    <w:rsid w:val="004C15DC"/>
    <w:rsid w:val="004C1CF2"/>
    <w:rsid w:val="004C243A"/>
    <w:rsid w:val="004C3EAE"/>
    <w:rsid w:val="004C4BE1"/>
    <w:rsid w:val="004C51E4"/>
    <w:rsid w:val="004D012E"/>
    <w:rsid w:val="004D0570"/>
    <w:rsid w:val="004D0771"/>
    <w:rsid w:val="004D210C"/>
    <w:rsid w:val="004D24A4"/>
    <w:rsid w:val="004D2FCD"/>
    <w:rsid w:val="004D3C26"/>
    <w:rsid w:val="004D58E6"/>
    <w:rsid w:val="004D6094"/>
    <w:rsid w:val="004E52A3"/>
    <w:rsid w:val="004E5641"/>
    <w:rsid w:val="004E5E4F"/>
    <w:rsid w:val="004E5FE3"/>
    <w:rsid w:val="004E68D1"/>
    <w:rsid w:val="004E6A9D"/>
    <w:rsid w:val="004E7D5D"/>
    <w:rsid w:val="004E7D61"/>
    <w:rsid w:val="004F0BA8"/>
    <w:rsid w:val="004F11D8"/>
    <w:rsid w:val="004F3389"/>
    <w:rsid w:val="004F3F40"/>
    <w:rsid w:val="004F6592"/>
    <w:rsid w:val="004F69B7"/>
    <w:rsid w:val="004F6B9B"/>
    <w:rsid w:val="004F707F"/>
    <w:rsid w:val="004F76DE"/>
    <w:rsid w:val="00500A0A"/>
    <w:rsid w:val="005012A6"/>
    <w:rsid w:val="005015E6"/>
    <w:rsid w:val="00501758"/>
    <w:rsid w:val="00502D87"/>
    <w:rsid w:val="00503189"/>
    <w:rsid w:val="0050332A"/>
    <w:rsid w:val="0050658D"/>
    <w:rsid w:val="00511011"/>
    <w:rsid w:val="005120BE"/>
    <w:rsid w:val="00512267"/>
    <w:rsid w:val="0051302C"/>
    <w:rsid w:val="00513717"/>
    <w:rsid w:val="00513B35"/>
    <w:rsid w:val="0051453A"/>
    <w:rsid w:val="0051463A"/>
    <w:rsid w:val="005154E4"/>
    <w:rsid w:val="0051653D"/>
    <w:rsid w:val="005166D5"/>
    <w:rsid w:val="005175D8"/>
    <w:rsid w:val="00517C49"/>
    <w:rsid w:val="00517D81"/>
    <w:rsid w:val="00521856"/>
    <w:rsid w:val="00522E23"/>
    <w:rsid w:val="00524689"/>
    <w:rsid w:val="00524774"/>
    <w:rsid w:val="00524EDE"/>
    <w:rsid w:val="00525861"/>
    <w:rsid w:val="0052628C"/>
    <w:rsid w:val="00527A58"/>
    <w:rsid w:val="005301B1"/>
    <w:rsid w:val="00530577"/>
    <w:rsid w:val="005305C7"/>
    <w:rsid w:val="0053070D"/>
    <w:rsid w:val="005309C9"/>
    <w:rsid w:val="00530E7D"/>
    <w:rsid w:val="00531D03"/>
    <w:rsid w:val="0053226F"/>
    <w:rsid w:val="005322C7"/>
    <w:rsid w:val="0053334B"/>
    <w:rsid w:val="00534A41"/>
    <w:rsid w:val="005354F1"/>
    <w:rsid w:val="00535661"/>
    <w:rsid w:val="00537721"/>
    <w:rsid w:val="0054038C"/>
    <w:rsid w:val="005408BD"/>
    <w:rsid w:val="00540917"/>
    <w:rsid w:val="00540B39"/>
    <w:rsid w:val="005410A0"/>
    <w:rsid w:val="00542222"/>
    <w:rsid w:val="005428D9"/>
    <w:rsid w:val="005432A0"/>
    <w:rsid w:val="00545656"/>
    <w:rsid w:val="005461E5"/>
    <w:rsid w:val="005464C7"/>
    <w:rsid w:val="00546531"/>
    <w:rsid w:val="00546646"/>
    <w:rsid w:val="005468A6"/>
    <w:rsid w:val="005478FE"/>
    <w:rsid w:val="00547CB8"/>
    <w:rsid w:val="00550B9D"/>
    <w:rsid w:val="00550CC2"/>
    <w:rsid w:val="0055119D"/>
    <w:rsid w:val="005513D7"/>
    <w:rsid w:val="0055309E"/>
    <w:rsid w:val="0055343F"/>
    <w:rsid w:val="0055528C"/>
    <w:rsid w:val="0055560D"/>
    <w:rsid w:val="005561AC"/>
    <w:rsid w:val="0055713A"/>
    <w:rsid w:val="005572F0"/>
    <w:rsid w:val="005573E7"/>
    <w:rsid w:val="00557F0F"/>
    <w:rsid w:val="00560A02"/>
    <w:rsid w:val="00560F4C"/>
    <w:rsid w:val="005621E7"/>
    <w:rsid w:val="00562295"/>
    <w:rsid w:val="00563444"/>
    <w:rsid w:val="005638E7"/>
    <w:rsid w:val="005649CE"/>
    <w:rsid w:val="0056598F"/>
    <w:rsid w:val="00566F1D"/>
    <w:rsid w:val="005674F3"/>
    <w:rsid w:val="00570E64"/>
    <w:rsid w:val="0057571E"/>
    <w:rsid w:val="00575835"/>
    <w:rsid w:val="00575894"/>
    <w:rsid w:val="005762D6"/>
    <w:rsid w:val="0057692E"/>
    <w:rsid w:val="00576A7D"/>
    <w:rsid w:val="00577AB6"/>
    <w:rsid w:val="00577CD6"/>
    <w:rsid w:val="00581712"/>
    <w:rsid w:val="00583A5D"/>
    <w:rsid w:val="00583B6C"/>
    <w:rsid w:val="005855A4"/>
    <w:rsid w:val="00585740"/>
    <w:rsid w:val="0058594F"/>
    <w:rsid w:val="00586B9E"/>
    <w:rsid w:val="00590011"/>
    <w:rsid w:val="00591B07"/>
    <w:rsid w:val="00591B2E"/>
    <w:rsid w:val="00592281"/>
    <w:rsid w:val="00592541"/>
    <w:rsid w:val="00592871"/>
    <w:rsid w:val="00592DD7"/>
    <w:rsid w:val="0059321C"/>
    <w:rsid w:val="0059344F"/>
    <w:rsid w:val="00593CBD"/>
    <w:rsid w:val="00593DB8"/>
    <w:rsid w:val="005957CF"/>
    <w:rsid w:val="00595FEB"/>
    <w:rsid w:val="00596132"/>
    <w:rsid w:val="005970AC"/>
    <w:rsid w:val="005973CF"/>
    <w:rsid w:val="00597E76"/>
    <w:rsid w:val="005A0413"/>
    <w:rsid w:val="005A189F"/>
    <w:rsid w:val="005A18A9"/>
    <w:rsid w:val="005A2952"/>
    <w:rsid w:val="005A3153"/>
    <w:rsid w:val="005A38DB"/>
    <w:rsid w:val="005A5313"/>
    <w:rsid w:val="005A5C65"/>
    <w:rsid w:val="005A5CC0"/>
    <w:rsid w:val="005A781B"/>
    <w:rsid w:val="005A7C11"/>
    <w:rsid w:val="005B146B"/>
    <w:rsid w:val="005B1489"/>
    <w:rsid w:val="005B2A51"/>
    <w:rsid w:val="005B3078"/>
    <w:rsid w:val="005B3A71"/>
    <w:rsid w:val="005B3B53"/>
    <w:rsid w:val="005B3C76"/>
    <w:rsid w:val="005B3D90"/>
    <w:rsid w:val="005B3EC3"/>
    <w:rsid w:val="005B4275"/>
    <w:rsid w:val="005B52D3"/>
    <w:rsid w:val="005B537A"/>
    <w:rsid w:val="005B6662"/>
    <w:rsid w:val="005B71DD"/>
    <w:rsid w:val="005C0400"/>
    <w:rsid w:val="005C1993"/>
    <w:rsid w:val="005C243C"/>
    <w:rsid w:val="005C53F4"/>
    <w:rsid w:val="005D00B0"/>
    <w:rsid w:val="005D0982"/>
    <w:rsid w:val="005D0FDE"/>
    <w:rsid w:val="005D3332"/>
    <w:rsid w:val="005D4048"/>
    <w:rsid w:val="005D6407"/>
    <w:rsid w:val="005D68C8"/>
    <w:rsid w:val="005D6B5C"/>
    <w:rsid w:val="005E0A29"/>
    <w:rsid w:val="005E0ABD"/>
    <w:rsid w:val="005E1452"/>
    <w:rsid w:val="005E30E9"/>
    <w:rsid w:val="005E352E"/>
    <w:rsid w:val="005E372E"/>
    <w:rsid w:val="005E4C84"/>
    <w:rsid w:val="005E5444"/>
    <w:rsid w:val="005E5803"/>
    <w:rsid w:val="005E6468"/>
    <w:rsid w:val="005E7BBB"/>
    <w:rsid w:val="005E7F80"/>
    <w:rsid w:val="005F0090"/>
    <w:rsid w:val="005F11D6"/>
    <w:rsid w:val="005F1BAA"/>
    <w:rsid w:val="005F3CC9"/>
    <w:rsid w:val="005F64EA"/>
    <w:rsid w:val="005F652E"/>
    <w:rsid w:val="005F72BC"/>
    <w:rsid w:val="00601CEB"/>
    <w:rsid w:val="00602BFB"/>
    <w:rsid w:val="00603EE5"/>
    <w:rsid w:val="0060437B"/>
    <w:rsid w:val="00604912"/>
    <w:rsid w:val="00604D95"/>
    <w:rsid w:val="00605F7F"/>
    <w:rsid w:val="00605FFD"/>
    <w:rsid w:val="006067CD"/>
    <w:rsid w:val="006069F8"/>
    <w:rsid w:val="00607C5D"/>
    <w:rsid w:val="00607C93"/>
    <w:rsid w:val="00607F4B"/>
    <w:rsid w:val="0061122D"/>
    <w:rsid w:val="0061189A"/>
    <w:rsid w:val="006129B2"/>
    <w:rsid w:val="006147A9"/>
    <w:rsid w:val="0061506E"/>
    <w:rsid w:val="00615B4E"/>
    <w:rsid w:val="006165A1"/>
    <w:rsid w:val="00617043"/>
    <w:rsid w:val="006173FB"/>
    <w:rsid w:val="00617757"/>
    <w:rsid w:val="00617A21"/>
    <w:rsid w:val="006206E6"/>
    <w:rsid w:val="0062071A"/>
    <w:rsid w:val="00620ED0"/>
    <w:rsid w:val="006238E1"/>
    <w:rsid w:val="00624F32"/>
    <w:rsid w:val="00624F34"/>
    <w:rsid w:val="006252A4"/>
    <w:rsid w:val="00625380"/>
    <w:rsid w:val="006316EB"/>
    <w:rsid w:val="0063217F"/>
    <w:rsid w:val="006324CC"/>
    <w:rsid w:val="00633D98"/>
    <w:rsid w:val="00635CDA"/>
    <w:rsid w:val="0063610F"/>
    <w:rsid w:val="006363D6"/>
    <w:rsid w:val="00636ED3"/>
    <w:rsid w:val="00636F3B"/>
    <w:rsid w:val="00640417"/>
    <w:rsid w:val="00640D1C"/>
    <w:rsid w:val="006425CC"/>
    <w:rsid w:val="00644B64"/>
    <w:rsid w:val="006458C9"/>
    <w:rsid w:val="0064700F"/>
    <w:rsid w:val="00647213"/>
    <w:rsid w:val="006500F2"/>
    <w:rsid w:val="006518A5"/>
    <w:rsid w:val="00652D67"/>
    <w:rsid w:val="006538E4"/>
    <w:rsid w:val="00653AD2"/>
    <w:rsid w:val="006540A3"/>
    <w:rsid w:val="00654418"/>
    <w:rsid w:val="00654B0A"/>
    <w:rsid w:val="00654D4B"/>
    <w:rsid w:val="006553C2"/>
    <w:rsid w:val="00655E38"/>
    <w:rsid w:val="0065733A"/>
    <w:rsid w:val="0065762E"/>
    <w:rsid w:val="00661737"/>
    <w:rsid w:val="006618D8"/>
    <w:rsid w:val="00661B29"/>
    <w:rsid w:val="0066308A"/>
    <w:rsid w:val="00663819"/>
    <w:rsid w:val="006651B4"/>
    <w:rsid w:val="006667C3"/>
    <w:rsid w:val="00666EB6"/>
    <w:rsid w:val="00667611"/>
    <w:rsid w:val="00671698"/>
    <w:rsid w:val="00671E54"/>
    <w:rsid w:val="00672FFB"/>
    <w:rsid w:val="006732F3"/>
    <w:rsid w:val="0067471A"/>
    <w:rsid w:val="0067537A"/>
    <w:rsid w:val="0067577B"/>
    <w:rsid w:val="00676287"/>
    <w:rsid w:val="006768A3"/>
    <w:rsid w:val="00676D1A"/>
    <w:rsid w:val="00677214"/>
    <w:rsid w:val="0067753F"/>
    <w:rsid w:val="006776BD"/>
    <w:rsid w:val="00677EF0"/>
    <w:rsid w:val="00677F5C"/>
    <w:rsid w:val="00680F6A"/>
    <w:rsid w:val="006810AF"/>
    <w:rsid w:val="00682243"/>
    <w:rsid w:val="00683294"/>
    <w:rsid w:val="006833AA"/>
    <w:rsid w:val="0068341D"/>
    <w:rsid w:val="006849A6"/>
    <w:rsid w:val="00685FAB"/>
    <w:rsid w:val="00686F19"/>
    <w:rsid w:val="00687C30"/>
    <w:rsid w:val="006909DE"/>
    <w:rsid w:val="00691024"/>
    <w:rsid w:val="00691343"/>
    <w:rsid w:val="006916C6"/>
    <w:rsid w:val="006932CB"/>
    <w:rsid w:val="00693C09"/>
    <w:rsid w:val="00694C0D"/>
    <w:rsid w:val="00694C73"/>
    <w:rsid w:val="00695876"/>
    <w:rsid w:val="006960C6"/>
    <w:rsid w:val="0069701A"/>
    <w:rsid w:val="00697D3D"/>
    <w:rsid w:val="006A1411"/>
    <w:rsid w:val="006A1D61"/>
    <w:rsid w:val="006A2E7A"/>
    <w:rsid w:val="006A2E81"/>
    <w:rsid w:val="006A39D6"/>
    <w:rsid w:val="006A3E36"/>
    <w:rsid w:val="006A40A1"/>
    <w:rsid w:val="006A4237"/>
    <w:rsid w:val="006A4327"/>
    <w:rsid w:val="006A5378"/>
    <w:rsid w:val="006A6082"/>
    <w:rsid w:val="006A63BC"/>
    <w:rsid w:val="006A63CF"/>
    <w:rsid w:val="006A6D7D"/>
    <w:rsid w:val="006A6EF6"/>
    <w:rsid w:val="006A7FDB"/>
    <w:rsid w:val="006B0690"/>
    <w:rsid w:val="006B0E72"/>
    <w:rsid w:val="006B2067"/>
    <w:rsid w:val="006B2540"/>
    <w:rsid w:val="006B2D86"/>
    <w:rsid w:val="006B5689"/>
    <w:rsid w:val="006B5736"/>
    <w:rsid w:val="006B5FFA"/>
    <w:rsid w:val="006B74BA"/>
    <w:rsid w:val="006C05A3"/>
    <w:rsid w:val="006C0822"/>
    <w:rsid w:val="006C0E91"/>
    <w:rsid w:val="006C188F"/>
    <w:rsid w:val="006C2524"/>
    <w:rsid w:val="006C324B"/>
    <w:rsid w:val="006C3511"/>
    <w:rsid w:val="006C4BF7"/>
    <w:rsid w:val="006C6AEE"/>
    <w:rsid w:val="006D1BED"/>
    <w:rsid w:val="006D3807"/>
    <w:rsid w:val="006D3862"/>
    <w:rsid w:val="006D3FB7"/>
    <w:rsid w:val="006D4172"/>
    <w:rsid w:val="006D43C4"/>
    <w:rsid w:val="006D48E7"/>
    <w:rsid w:val="006D4E6D"/>
    <w:rsid w:val="006D5142"/>
    <w:rsid w:val="006D515C"/>
    <w:rsid w:val="006D5D7F"/>
    <w:rsid w:val="006D5DB7"/>
    <w:rsid w:val="006D7695"/>
    <w:rsid w:val="006D7FA7"/>
    <w:rsid w:val="006E0474"/>
    <w:rsid w:val="006E091D"/>
    <w:rsid w:val="006E1346"/>
    <w:rsid w:val="006E17A5"/>
    <w:rsid w:val="006E1975"/>
    <w:rsid w:val="006E2197"/>
    <w:rsid w:val="006E219C"/>
    <w:rsid w:val="006E240D"/>
    <w:rsid w:val="006E3D5F"/>
    <w:rsid w:val="006E6984"/>
    <w:rsid w:val="006F0353"/>
    <w:rsid w:val="006F1835"/>
    <w:rsid w:val="006F20B8"/>
    <w:rsid w:val="006F3C66"/>
    <w:rsid w:val="006F4579"/>
    <w:rsid w:val="006F477C"/>
    <w:rsid w:val="006F4F74"/>
    <w:rsid w:val="006F51E7"/>
    <w:rsid w:val="006F5834"/>
    <w:rsid w:val="006F69EF"/>
    <w:rsid w:val="006F7A7C"/>
    <w:rsid w:val="006F7CC3"/>
    <w:rsid w:val="00700781"/>
    <w:rsid w:val="00700E94"/>
    <w:rsid w:val="00701E3C"/>
    <w:rsid w:val="00701E70"/>
    <w:rsid w:val="00703606"/>
    <w:rsid w:val="00703C77"/>
    <w:rsid w:val="00704140"/>
    <w:rsid w:val="00704463"/>
    <w:rsid w:val="007047CD"/>
    <w:rsid w:val="00705645"/>
    <w:rsid w:val="00707164"/>
    <w:rsid w:val="0070789B"/>
    <w:rsid w:val="0071039B"/>
    <w:rsid w:val="007113AF"/>
    <w:rsid w:val="00711684"/>
    <w:rsid w:val="00712F65"/>
    <w:rsid w:val="007138FE"/>
    <w:rsid w:val="00714AC4"/>
    <w:rsid w:val="00714C77"/>
    <w:rsid w:val="0071547A"/>
    <w:rsid w:val="00717E31"/>
    <w:rsid w:val="00720DFB"/>
    <w:rsid w:val="00721E93"/>
    <w:rsid w:val="0072262C"/>
    <w:rsid w:val="007234C7"/>
    <w:rsid w:val="007237BD"/>
    <w:rsid w:val="00724E6E"/>
    <w:rsid w:val="007261D9"/>
    <w:rsid w:val="0072631E"/>
    <w:rsid w:val="0072636C"/>
    <w:rsid w:val="00727365"/>
    <w:rsid w:val="00727B78"/>
    <w:rsid w:val="00727DA6"/>
    <w:rsid w:val="00731164"/>
    <w:rsid w:val="007318C3"/>
    <w:rsid w:val="00731B00"/>
    <w:rsid w:val="00732292"/>
    <w:rsid w:val="0073256C"/>
    <w:rsid w:val="0073270F"/>
    <w:rsid w:val="00732872"/>
    <w:rsid w:val="007331A6"/>
    <w:rsid w:val="00733F63"/>
    <w:rsid w:val="0073502F"/>
    <w:rsid w:val="00736ADF"/>
    <w:rsid w:val="007374D7"/>
    <w:rsid w:val="00737FFC"/>
    <w:rsid w:val="00741E63"/>
    <w:rsid w:val="0074284F"/>
    <w:rsid w:val="00742939"/>
    <w:rsid w:val="00743D68"/>
    <w:rsid w:val="007443CC"/>
    <w:rsid w:val="007450EA"/>
    <w:rsid w:val="00746356"/>
    <w:rsid w:val="007467D3"/>
    <w:rsid w:val="0074760B"/>
    <w:rsid w:val="00747C28"/>
    <w:rsid w:val="0075029F"/>
    <w:rsid w:val="00751042"/>
    <w:rsid w:val="0075154D"/>
    <w:rsid w:val="007520A1"/>
    <w:rsid w:val="00752584"/>
    <w:rsid w:val="0075280C"/>
    <w:rsid w:val="00753A34"/>
    <w:rsid w:val="00754050"/>
    <w:rsid w:val="00754ACB"/>
    <w:rsid w:val="00754D26"/>
    <w:rsid w:val="00755289"/>
    <w:rsid w:val="007554E5"/>
    <w:rsid w:val="00755550"/>
    <w:rsid w:val="00755789"/>
    <w:rsid w:val="00755FCF"/>
    <w:rsid w:val="00756BC8"/>
    <w:rsid w:val="00756E3B"/>
    <w:rsid w:val="00757547"/>
    <w:rsid w:val="00757856"/>
    <w:rsid w:val="00757F9B"/>
    <w:rsid w:val="00760930"/>
    <w:rsid w:val="00762CC0"/>
    <w:rsid w:val="00762FE1"/>
    <w:rsid w:val="00763A89"/>
    <w:rsid w:val="00763DE2"/>
    <w:rsid w:val="00765765"/>
    <w:rsid w:val="007660A9"/>
    <w:rsid w:val="007661B9"/>
    <w:rsid w:val="00766A71"/>
    <w:rsid w:val="00766BDB"/>
    <w:rsid w:val="00766E22"/>
    <w:rsid w:val="007675A7"/>
    <w:rsid w:val="00767CD4"/>
    <w:rsid w:val="00770B41"/>
    <w:rsid w:val="00772DAC"/>
    <w:rsid w:val="007737A0"/>
    <w:rsid w:val="00773C66"/>
    <w:rsid w:val="00774F14"/>
    <w:rsid w:val="00776D44"/>
    <w:rsid w:val="0077740D"/>
    <w:rsid w:val="00780FA2"/>
    <w:rsid w:val="00781859"/>
    <w:rsid w:val="00782334"/>
    <w:rsid w:val="00782B58"/>
    <w:rsid w:val="00782C96"/>
    <w:rsid w:val="00783003"/>
    <w:rsid w:val="0078377F"/>
    <w:rsid w:val="00784025"/>
    <w:rsid w:val="007840EF"/>
    <w:rsid w:val="00784D20"/>
    <w:rsid w:val="00786A28"/>
    <w:rsid w:val="00787158"/>
    <w:rsid w:val="007872A8"/>
    <w:rsid w:val="00791811"/>
    <w:rsid w:val="007926B8"/>
    <w:rsid w:val="00792E26"/>
    <w:rsid w:val="0079389B"/>
    <w:rsid w:val="00794D82"/>
    <w:rsid w:val="00795028"/>
    <w:rsid w:val="00795AA0"/>
    <w:rsid w:val="00795F26"/>
    <w:rsid w:val="00796E08"/>
    <w:rsid w:val="00797448"/>
    <w:rsid w:val="00797D69"/>
    <w:rsid w:val="007A0CDA"/>
    <w:rsid w:val="007A1458"/>
    <w:rsid w:val="007A3027"/>
    <w:rsid w:val="007A3679"/>
    <w:rsid w:val="007A4192"/>
    <w:rsid w:val="007A4F57"/>
    <w:rsid w:val="007A5EBD"/>
    <w:rsid w:val="007A6551"/>
    <w:rsid w:val="007A6626"/>
    <w:rsid w:val="007A6B2B"/>
    <w:rsid w:val="007A6B59"/>
    <w:rsid w:val="007A6E40"/>
    <w:rsid w:val="007A7013"/>
    <w:rsid w:val="007A7093"/>
    <w:rsid w:val="007A738B"/>
    <w:rsid w:val="007A743B"/>
    <w:rsid w:val="007A768B"/>
    <w:rsid w:val="007B00B5"/>
    <w:rsid w:val="007B1455"/>
    <w:rsid w:val="007B17FD"/>
    <w:rsid w:val="007B28C1"/>
    <w:rsid w:val="007B3371"/>
    <w:rsid w:val="007B5056"/>
    <w:rsid w:val="007B6B2F"/>
    <w:rsid w:val="007B6CEA"/>
    <w:rsid w:val="007B6E2F"/>
    <w:rsid w:val="007B7987"/>
    <w:rsid w:val="007C0896"/>
    <w:rsid w:val="007C0AB1"/>
    <w:rsid w:val="007C0AEF"/>
    <w:rsid w:val="007C155A"/>
    <w:rsid w:val="007C1B05"/>
    <w:rsid w:val="007C1C53"/>
    <w:rsid w:val="007C223D"/>
    <w:rsid w:val="007C271C"/>
    <w:rsid w:val="007C2956"/>
    <w:rsid w:val="007C4428"/>
    <w:rsid w:val="007C44A6"/>
    <w:rsid w:val="007C4ABE"/>
    <w:rsid w:val="007C53E3"/>
    <w:rsid w:val="007C551B"/>
    <w:rsid w:val="007D01B3"/>
    <w:rsid w:val="007D20E0"/>
    <w:rsid w:val="007D2BB7"/>
    <w:rsid w:val="007D4940"/>
    <w:rsid w:val="007D4D20"/>
    <w:rsid w:val="007D4DA7"/>
    <w:rsid w:val="007D75E8"/>
    <w:rsid w:val="007E005C"/>
    <w:rsid w:val="007E0D1E"/>
    <w:rsid w:val="007E155F"/>
    <w:rsid w:val="007E1844"/>
    <w:rsid w:val="007E1CE5"/>
    <w:rsid w:val="007E1E30"/>
    <w:rsid w:val="007E2C30"/>
    <w:rsid w:val="007E339E"/>
    <w:rsid w:val="007E3D30"/>
    <w:rsid w:val="007E426C"/>
    <w:rsid w:val="007E47CA"/>
    <w:rsid w:val="007E48B3"/>
    <w:rsid w:val="007E4B21"/>
    <w:rsid w:val="007E5029"/>
    <w:rsid w:val="007E5049"/>
    <w:rsid w:val="007F030A"/>
    <w:rsid w:val="007F0464"/>
    <w:rsid w:val="007F0A62"/>
    <w:rsid w:val="007F1A7A"/>
    <w:rsid w:val="007F1FA2"/>
    <w:rsid w:val="007F2E51"/>
    <w:rsid w:val="007F329F"/>
    <w:rsid w:val="007F3856"/>
    <w:rsid w:val="007F3B69"/>
    <w:rsid w:val="007F4C9C"/>
    <w:rsid w:val="007F4F44"/>
    <w:rsid w:val="007F5128"/>
    <w:rsid w:val="007F52DC"/>
    <w:rsid w:val="007F6126"/>
    <w:rsid w:val="00800AEB"/>
    <w:rsid w:val="00801891"/>
    <w:rsid w:val="00801B13"/>
    <w:rsid w:val="00801E0A"/>
    <w:rsid w:val="0080354C"/>
    <w:rsid w:val="008039CB"/>
    <w:rsid w:val="008047B6"/>
    <w:rsid w:val="00805427"/>
    <w:rsid w:val="008065C5"/>
    <w:rsid w:val="00810B9B"/>
    <w:rsid w:val="00810EF6"/>
    <w:rsid w:val="00810FC3"/>
    <w:rsid w:val="008116C0"/>
    <w:rsid w:val="00812564"/>
    <w:rsid w:val="008142D7"/>
    <w:rsid w:val="00814778"/>
    <w:rsid w:val="008159C8"/>
    <w:rsid w:val="0081629E"/>
    <w:rsid w:val="00817537"/>
    <w:rsid w:val="008201B0"/>
    <w:rsid w:val="0082036B"/>
    <w:rsid w:val="008249C4"/>
    <w:rsid w:val="008253BF"/>
    <w:rsid w:val="00825B22"/>
    <w:rsid w:val="0082655C"/>
    <w:rsid w:val="00826584"/>
    <w:rsid w:val="00826611"/>
    <w:rsid w:val="008276A8"/>
    <w:rsid w:val="00827D80"/>
    <w:rsid w:val="00831230"/>
    <w:rsid w:val="0083149B"/>
    <w:rsid w:val="00832C28"/>
    <w:rsid w:val="00832ED8"/>
    <w:rsid w:val="00833166"/>
    <w:rsid w:val="00833792"/>
    <w:rsid w:val="00833CF0"/>
    <w:rsid w:val="00834F85"/>
    <w:rsid w:val="00836E2C"/>
    <w:rsid w:val="0083734D"/>
    <w:rsid w:val="0083776D"/>
    <w:rsid w:val="00837AB6"/>
    <w:rsid w:val="00837E16"/>
    <w:rsid w:val="00840A15"/>
    <w:rsid w:val="00840A34"/>
    <w:rsid w:val="00840D56"/>
    <w:rsid w:val="00840F38"/>
    <w:rsid w:val="00841950"/>
    <w:rsid w:val="00841E42"/>
    <w:rsid w:val="00842E7A"/>
    <w:rsid w:val="0084410F"/>
    <w:rsid w:val="00844334"/>
    <w:rsid w:val="00844F80"/>
    <w:rsid w:val="00845084"/>
    <w:rsid w:val="008451C7"/>
    <w:rsid w:val="00845820"/>
    <w:rsid w:val="0084611A"/>
    <w:rsid w:val="00847B4C"/>
    <w:rsid w:val="00847E9A"/>
    <w:rsid w:val="008505E6"/>
    <w:rsid w:val="00850E21"/>
    <w:rsid w:val="00851583"/>
    <w:rsid w:val="00851F79"/>
    <w:rsid w:val="00852161"/>
    <w:rsid w:val="00852A33"/>
    <w:rsid w:val="00852CC1"/>
    <w:rsid w:val="00853293"/>
    <w:rsid w:val="00853384"/>
    <w:rsid w:val="00854901"/>
    <w:rsid w:val="00855155"/>
    <w:rsid w:val="008556BF"/>
    <w:rsid w:val="00855FB4"/>
    <w:rsid w:val="00856545"/>
    <w:rsid w:val="00856878"/>
    <w:rsid w:val="00857EEE"/>
    <w:rsid w:val="00860E3D"/>
    <w:rsid w:val="00862439"/>
    <w:rsid w:val="00862A83"/>
    <w:rsid w:val="00867A1C"/>
    <w:rsid w:val="008701B3"/>
    <w:rsid w:val="00870511"/>
    <w:rsid w:val="008714AF"/>
    <w:rsid w:val="00872044"/>
    <w:rsid w:val="008721A9"/>
    <w:rsid w:val="0087264F"/>
    <w:rsid w:val="00873186"/>
    <w:rsid w:val="0087491B"/>
    <w:rsid w:val="00874C90"/>
    <w:rsid w:val="00876B75"/>
    <w:rsid w:val="00876E7B"/>
    <w:rsid w:val="00880108"/>
    <w:rsid w:val="0088046A"/>
    <w:rsid w:val="008805AA"/>
    <w:rsid w:val="008806CF"/>
    <w:rsid w:val="00880FE6"/>
    <w:rsid w:val="008813F0"/>
    <w:rsid w:val="00881A35"/>
    <w:rsid w:val="008829D5"/>
    <w:rsid w:val="008835C7"/>
    <w:rsid w:val="0088377D"/>
    <w:rsid w:val="00884864"/>
    <w:rsid w:val="0088622D"/>
    <w:rsid w:val="00887499"/>
    <w:rsid w:val="00887EAC"/>
    <w:rsid w:val="008903A5"/>
    <w:rsid w:val="008909D9"/>
    <w:rsid w:val="00890D1C"/>
    <w:rsid w:val="00890ED7"/>
    <w:rsid w:val="00891F65"/>
    <w:rsid w:val="0089254E"/>
    <w:rsid w:val="00896BD0"/>
    <w:rsid w:val="008970F8"/>
    <w:rsid w:val="008A0217"/>
    <w:rsid w:val="008A078C"/>
    <w:rsid w:val="008A193C"/>
    <w:rsid w:val="008A1A40"/>
    <w:rsid w:val="008A2060"/>
    <w:rsid w:val="008A2399"/>
    <w:rsid w:val="008A3169"/>
    <w:rsid w:val="008A3CB4"/>
    <w:rsid w:val="008A4A3C"/>
    <w:rsid w:val="008A4B84"/>
    <w:rsid w:val="008A544F"/>
    <w:rsid w:val="008A54C4"/>
    <w:rsid w:val="008A756A"/>
    <w:rsid w:val="008A7EF8"/>
    <w:rsid w:val="008B22DB"/>
    <w:rsid w:val="008B26B7"/>
    <w:rsid w:val="008B2D64"/>
    <w:rsid w:val="008B309A"/>
    <w:rsid w:val="008B3753"/>
    <w:rsid w:val="008B3810"/>
    <w:rsid w:val="008B4679"/>
    <w:rsid w:val="008B5E01"/>
    <w:rsid w:val="008B62EF"/>
    <w:rsid w:val="008B66D4"/>
    <w:rsid w:val="008C04E4"/>
    <w:rsid w:val="008C0D25"/>
    <w:rsid w:val="008C1C7B"/>
    <w:rsid w:val="008C3DEA"/>
    <w:rsid w:val="008C561D"/>
    <w:rsid w:val="008C7D41"/>
    <w:rsid w:val="008D0107"/>
    <w:rsid w:val="008D0504"/>
    <w:rsid w:val="008D0CAA"/>
    <w:rsid w:val="008D1105"/>
    <w:rsid w:val="008D2031"/>
    <w:rsid w:val="008D2326"/>
    <w:rsid w:val="008D2E03"/>
    <w:rsid w:val="008D3A3F"/>
    <w:rsid w:val="008D3E8E"/>
    <w:rsid w:val="008D462E"/>
    <w:rsid w:val="008D52DE"/>
    <w:rsid w:val="008D61AC"/>
    <w:rsid w:val="008D6A76"/>
    <w:rsid w:val="008D7484"/>
    <w:rsid w:val="008E0650"/>
    <w:rsid w:val="008E3A0C"/>
    <w:rsid w:val="008E4CCF"/>
    <w:rsid w:val="008E4DBF"/>
    <w:rsid w:val="008E50C0"/>
    <w:rsid w:val="008E54F8"/>
    <w:rsid w:val="008F10FB"/>
    <w:rsid w:val="008F28FA"/>
    <w:rsid w:val="008F3597"/>
    <w:rsid w:val="008F368C"/>
    <w:rsid w:val="008F5449"/>
    <w:rsid w:val="008F647C"/>
    <w:rsid w:val="008F6939"/>
    <w:rsid w:val="008F704B"/>
    <w:rsid w:val="008F7D23"/>
    <w:rsid w:val="009012BA"/>
    <w:rsid w:val="00901CD3"/>
    <w:rsid w:val="0090224A"/>
    <w:rsid w:val="00903BAB"/>
    <w:rsid w:val="00904401"/>
    <w:rsid w:val="009058D9"/>
    <w:rsid w:val="00906103"/>
    <w:rsid w:val="00906E19"/>
    <w:rsid w:val="00907D77"/>
    <w:rsid w:val="00907F2E"/>
    <w:rsid w:val="00910053"/>
    <w:rsid w:val="00910E9F"/>
    <w:rsid w:val="00912125"/>
    <w:rsid w:val="00913C7C"/>
    <w:rsid w:val="00915392"/>
    <w:rsid w:val="009153F6"/>
    <w:rsid w:val="00915AD9"/>
    <w:rsid w:val="00915B45"/>
    <w:rsid w:val="009200BE"/>
    <w:rsid w:val="00920549"/>
    <w:rsid w:val="00920722"/>
    <w:rsid w:val="00920B46"/>
    <w:rsid w:val="00922506"/>
    <w:rsid w:val="00922ED0"/>
    <w:rsid w:val="00923164"/>
    <w:rsid w:val="0092543A"/>
    <w:rsid w:val="00926C28"/>
    <w:rsid w:val="009279E0"/>
    <w:rsid w:val="00927DCF"/>
    <w:rsid w:val="0093084E"/>
    <w:rsid w:val="0093167D"/>
    <w:rsid w:val="009323F3"/>
    <w:rsid w:val="009342FD"/>
    <w:rsid w:val="00934C3A"/>
    <w:rsid w:val="00936547"/>
    <w:rsid w:val="0093769E"/>
    <w:rsid w:val="0093794C"/>
    <w:rsid w:val="00937DB2"/>
    <w:rsid w:val="00940C03"/>
    <w:rsid w:val="009414F6"/>
    <w:rsid w:val="00941E46"/>
    <w:rsid w:val="00942E6C"/>
    <w:rsid w:val="00944860"/>
    <w:rsid w:val="00945145"/>
    <w:rsid w:val="009452C8"/>
    <w:rsid w:val="009453DE"/>
    <w:rsid w:val="00945C94"/>
    <w:rsid w:val="00946567"/>
    <w:rsid w:val="00946933"/>
    <w:rsid w:val="0094743B"/>
    <w:rsid w:val="00952F9B"/>
    <w:rsid w:val="0095498E"/>
    <w:rsid w:val="009558F4"/>
    <w:rsid w:val="0095667E"/>
    <w:rsid w:val="00956C01"/>
    <w:rsid w:val="00960AFE"/>
    <w:rsid w:val="00963121"/>
    <w:rsid w:val="00963172"/>
    <w:rsid w:val="0096374C"/>
    <w:rsid w:val="00964051"/>
    <w:rsid w:val="0096419D"/>
    <w:rsid w:val="009641C2"/>
    <w:rsid w:val="00964A37"/>
    <w:rsid w:val="00966429"/>
    <w:rsid w:val="00966DCC"/>
    <w:rsid w:val="009706F3"/>
    <w:rsid w:val="00974BDE"/>
    <w:rsid w:val="00975C58"/>
    <w:rsid w:val="0097620E"/>
    <w:rsid w:val="009778C6"/>
    <w:rsid w:val="00977D2F"/>
    <w:rsid w:val="00980038"/>
    <w:rsid w:val="00981DFA"/>
    <w:rsid w:val="00981F96"/>
    <w:rsid w:val="00982120"/>
    <w:rsid w:val="00982793"/>
    <w:rsid w:val="00982C88"/>
    <w:rsid w:val="00983386"/>
    <w:rsid w:val="00983438"/>
    <w:rsid w:val="00986F38"/>
    <w:rsid w:val="009874B9"/>
    <w:rsid w:val="00991737"/>
    <w:rsid w:val="0099187E"/>
    <w:rsid w:val="00993D0E"/>
    <w:rsid w:val="00994472"/>
    <w:rsid w:val="0099552B"/>
    <w:rsid w:val="009965FC"/>
    <w:rsid w:val="00996F7F"/>
    <w:rsid w:val="009971DC"/>
    <w:rsid w:val="00997A7F"/>
    <w:rsid w:val="009A0B3B"/>
    <w:rsid w:val="009A1B91"/>
    <w:rsid w:val="009A293B"/>
    <w:rsid w:val="009A2AD7"/>
    <w:rsid w:val="009A3C2A"/>
    <w:rsid w:val="009A5468"/>
    <w:rsid w:val="009A62FA"/>
    <w:rsid w:val="009A7D48"/>
    <w:rsid w:val="009B0AC8"/>
    <w:rsid w:val="009B0F35"/>
    <w:rsid w:val="009B393C"/>
    <w:rsid w:val="009B3AA5"/>
    <w:rsid w:val="009B4406"/>
    <w:rsid w:val="009B457C"/>
    <w:rsid w:val="009B50EA"/>
    <w:rsid w:val="009B63B3"/>
    <w:rsid w:val="009B66F2"/>
    <w:rsid w:val="009B6B51"/>
    <w:rsid w:val="009B7B51"/>
    <w:rsid w:val="009B7D53"/>
    <w:rsid w:val="009B7DD9"/>
    <w:rsid w:val="009C14D2"/>
    <w:rsid w:val="009C172F"/>
    <w:rsid w:val="009C1969"/>
    <w:rsid w:val="009C1D5D"/>
    <w:rsid w:val="009C2284"/>
    <w:rsid w:val="009C3F47"/>
    <w:rsid w:val="009C482C"/>
    <w:rsid w:val="009C5B13"/>
    <w:rsid w:val="009C5D44"/>
    <w:rsid w:val="009C657E"/>
    <w:rsid w:val="009C67E6"/>
    <w:rsid w:val="009C6C45"/>
    <w:rsid w:val="009C7342"/>
    <w:rsid w:val="009C736E"/>
    <w:rsid w:val="009C7EF0"/>
    <w:rsid w:val="009D0068"/>
    <w:rsid w:val="009D0338"/>
    <w:rsid w:val="009D11BB"/>
    <w:rsid w:val="009D159F"/>
    <w:rsid w:val="009D425B"/>
    <w:rsid w:val="009D4730"/>
    <w:rsid w:val="009D4A0A"/>
    <w:rsid w:val="009D76D5"/>
    <w:rsid w:val="009E0BC7"/>
    <w:rsid w:val="009E1482"/>
    <w:rsid w:val="009E17DF"/>
    <w:rsid w:val="009E37B0"/>
    <w:rsid w:val="009E4C22"/>
    <w:rsid w:val="009E4D21"/>
    <w:rsid w:val="009E54BB"/>
    <w:rsid w:val="009E58E2"/>
    <w:rsid w:val="009E590C"/>
    <w:rsid w:val="009E610F"/>
    <w:rsid w:val="009E7128"/>
    <w:rsid w:val="009E752A"/>
    <w:rsid w:val="009F0176"/>
    <w:rsid w:val="009F2AA5"/>
    <w:rsid w:val="009F3E6A"/>
    <w:rsid w:val="009F5D23"/>
    <w:rsid w:val="009F5D8E"/>
    <w:rsid w:val="009F6D81"/>
    <w:rsid w:val="00A00DFE"/>
    <w:rsid w:val="00A00E8C"/>
    <w:rsid w:val="00A010EC"/>
    <w:rsid w:val="00A02299"/>
    <w:rsid w:val="00A02A0C"/>
    <w:rsid w:val="00A03C62"/>
    <w:rsid w:val="00A0404C"/>
    <w:rsid w:val="00A0697F"/>
    <w:rsid w:val="00A07371"/>
    <w:rsid w:val="00A110A0"/>
    <w:rsid w:val="00A11AA5"/>
    <w:rsid w:val="00A127FB"/>
    <w:rsid w:val="00A13412"/>
    <w:rsid w:val="00A135C8"/>
    <w:rsid w:val="00A154C3"/>
    <w:rsid w:val="00A164C2"/>
    <w:rsid w:val="00A1665F"/>
    <w:rsid w:val="00A17D73"/>
    <w:rsid w:val="00A20567"/>
    <w:rsid w:val="00A23B96"/>
    <w:rsid w:val="00A244F1"/>
    <w:rsid w:val="00A24F29"/>
    <w:rsid w:val="00A25523"/>
    <w:rsid w:val="00A25F20"/>
    <w:rsid w:val="00A30427"/>
    <w:rsid w:val="00A305C7"/>
    <w:rsid w:val="00A30681"/>
    <w:rsid w:val="00A30C59"/>
    <w:rsid w:val="00A33165"/>
    <w:rsid w:val="00A33E3C"/>
    <w:rsid w:val="00A33EE0"/>
    <w:rsid w:val="00A34832"/>
    <w:rsid w:val="00A34B49"/>
    <w:rsid w:val="00A35D5A"/>
    <w:rsid w:val="00A36502"/>
    <w:rsid w:val="00A378BB"/>
    <w:rsid w:val="00A404B5"/>
    <w:rsid w:val="00A40C88"/>
    <w:rsid w:val="00A40EBA"/>
    <w:rsid w:val="00A4123F"/>
    <w:rsid w:val="00A414D9"/>
    <w:rsid w:val="00A41C12"/>
    <w:rsid w:val="00A429F9"/>
    <w:rsid w:val="00A43DF9"/>
    <w:rsid w:val="00A444E5"/>
    <w:rsid w:val="00A4488F"/>
    <w:rsid w:val="00A45768"/>
    <w:rsid w:val="00A5034C"/>
    <w:rsid w:val="00A50EEA"/>
    <w:rsid w:val="00A51854"/>
    <w:rsid w:val="00A51909"/>
    <w:rsid w:val="00A52609"/>
    <w:rsid w:val="00A5297B"/>
    <w:rsid w:val="00A54BE4"/>
    <w:rsid w:val="00A555C6"/>
    <w:rsid w:val="00A55630"/>
    <w:rsid w:val="00A55D06"/>
    <w:rsid w:val="00A608F3"/>
    <w:rsid w:val="00A60D7C"/>
    <w:rsid w:val="00A61341"/>
    <w:rsid w:val="00A6233A"/>
    <w:rsid w:val="00A62B82"/>
    <w:rsid w:val="00A644DC"/>
    <w:rsid w:val="00A64887"/>
    <w:rsid w:val="00A66485"/>
    <w:rsid w:val="00A66B43"/>
    <w:rsid w:val="00A66CCF"/>
    <w:rsid w:val="00A673CE"/>
    <w:rsid w:val="00A675B0"/>
    <w:rsid w:val="00A705CE"/>
    <w:rsid w:val="00A707D8"/>
    <w:rsid w:val="00A71704"/>
    <w:rsid w:val="00A731AC"/>
    <w:rsid w:val="00A732EE"/>
    <w:rsid w:val="00A73DB2"/>
    <w:rsid w:val="00A7438D"/>
    <w:rsid w:val="00A756B0"/>
    <w:rsid w:val="00A75C79"/>
    <w:rsid w:val="00A77149"/>
    <w:rsid w:val="00A77795"/>
    <w:rsid w:val="00A77C20"/>
    <w:rsid w:val="00A77F0A"/>
    <w:rsid w:val="00A81877"/>
    <w:rsid w:val="00A828FA"/>
    <w:rsid w:val="00A855A2"/>
    <w:rsid w:val="00A86B51"/>
    <w:rsid w:val="00A86D4F"/>
    <w:rsid w:val="00A87415"/>
    <w:rsid w:val="00A9111A"/>
    <w:rsid w:val="00A920A7"/>
    <w:rsid w:val="00A929B4"/>
    <w:rsid w:val="00A93199"/>
    <w:rsid w:val="00A932AD"/>
    <w:rsid w:val="00A940DE"/>
    <w:rsid w:val="00A9432F"/>
    <w:rsid w:val="00A948FA"/>
    <w:rsid w:val="00A94A28"/>
    <w:rsid w:val="00A94F1B"/>
    <w:rsid w:val="00A958F7"/>
    <w:rsid w:val="00A95DE4"/>
    <w:rsid w:val="00A961E2"/>
    <w:rsid w:val="00A96C53"/>
    <w:rsid w:val="00A96F5A"/>
    <w:rsid w:val="00A97DC1"/>
    <w:rsid w:val="00AA04BC"/>
    <w:rsid w:val="00AA2973"/>
    <w:rsid w:val="00AA67D0"/>
    <w:rsid w:val="00AA69DC"/>
    <w:rsid w:val="00AA6D33"/>
    <w:rsid w:val="00AA6E3E"/>
    <w:rsid w:val="00AA7105"/>
    <w:rsid w:val="00AA7627"/>
    <w:rsid w:val="00AA7D15"/>
    <w:rsid w:val="00AB0018"/>
    <w:rsid w:val="00AB04B3"/>
    <w:rsid w:val="00AB05DF"/>
    <w:rsid w:val="00AB1A9E"/>
    <w:rsid w:val="00AB5759"/>
    <w:rsid w:val="00AB5903"/>
    <w:rsid w:val="00AB59BB"/>
    <w:rsid w:val="00AB75F9"/>
    <w:rsid w:val="00AC02F5"/>
    <w:rsid w:val="00AC0514"/>
    <w:rsid w:val="00AC0A9F"/>
    <w:rsid w:val="00AC1E7B"/>
    <w:rsid w:val="00AC22C7"/>
    <w:rsid w:val="00AC301D"/>
    <w:rsid w:val="00AC47B4"/>
    <w:rsid w:val="00AC4D34"/>
    <w:rsid w:val="00AC4D68"/>
    <w:rsid w:val="00AC7AA0"/>
    <w:rsid w:val="00AC7BDA"/>
    <w:rsid w:val="00AC7D27"/>
    <w:rsid w:val="00AD2D8D"/>
    <w:rsid w:val="00AD3F54"/>
    <w:rsid w:val="00AD4288"/>
    <w:rsid w:val="00AD4F90"/>
    <w:rsid w:val="00AD5658"/>
    <w:rsid w:val="00AD5846"/>
    <w:rsid w:val="00AD5DCC"/>
    <w:rsid w:val="00AD618E"/>
    <w:rsid w:val="00AD7269"/>
    <w:rsid w:val="00AD77EE"/>
    <w:rsid w:val="00AD7B7E"/>
    <w:rsid w:val="00AE12FF"/>
    <w:rsid w:val="00AE168E"/>
    <w:rsid w:val="00AE2116"/>
    <w:rsid w:val="00AE3181"/>
    <w:rsid w:val="00AE3800"/>
    <w:rsid w:val="00AE4EF2"/>
    <w:rsid w:val="00AE522D"/>
    <w:rsid w:val="00AE533C"/>
    <w:rsid w:val="00AE556B"/>
    <w:rsid w:val="00AE5F81"/>
    <w:rsid w:val="00AE6E2C"/>
    <w:rsid w:val="00AE7811"/>
    <w:rsid w:val="00AE79B1"/>
    <w:rsid w:val="00AE7BE1"/>
    <w:rsid w:val="00AF0197"/>
    <w:rsid w:val="00AF09A5"/>
    <w:rsid w:val="00AF1A06"/>
    <w:rsid w:val="00AF3224"/>
    <w:rsid w:val="00AF39A6"/>
    <w:rsid w:val="00AF3BA6"/>
    <w:rsid w:val="00AF3EEF"/>
    <w:rsid w:val="00AF468E"/>
    <w:rsid w:val="00AF50B7"/>
    <w:rsid w:val="00AF5C5F"/>
    <w:rsid w:val="00AF6C98"/>
    <w:rsid w:val="00AF7085"/>
    <w:rsid w:val="00B02168"/>
    <w:rsid w:val="00B043F4"/>
    <w:rsid w:val="00B04CF5"/>
    <w:rsid w:val="00B05C6E"/>
    <w:rsid w:val="00B063C9"/>
    <w:rsid w:val="00B06B15"/>
    <w:rsid w:val="00B06CF2"/>
    <w:rsid w:val="00B072A8"/>
    <w:rsid w:val="00B0737B"/>
    <w:rsid w:val="00B07486"/>
    <w:rsid w:val="00B07E12"/>
    <w:rsid w:val="00B101DF"/>
    <w:rsid w:val="00B1264A"/>
    <w:rsid w:val="00B1269C"/>
    <w:rsid w:val="00B12E36"/>
    <w:rsid w:val="00B14F73"/>
    <w:rsid w:val="00B15087"/>
    <w:rsid w:val="00B16919"/>
    <w:rsid w:val="00B1772A"/>
    <w:rsid w:val="00B20444"/>
    <w:rsid w:val="00B20D65"/>
    <w:rsid w:val="00B21125"/>
    <w:rsid w:val="00B21B3D"/>
    <w:rsid w:val="00B21C41"/>
    <w:rsid w:val="00B21F6A"/>
    <w:rsid w:val="00B226D3"/>
    <w:rsid w:val="00B22930"/>
    <w:rsid w:val="00B22A50"/>
    <w:rsid w:val="00B23F18"/>
    <w:rsid w:val="00B2415C"/>
    <w:rsid w:val="00B2423B"/>
    <w:rsid w:val="00B25F2B"/>
    <w:rsid w:val="00B26233"/>
    <w:rsid w:val="00B264E0"/>
    <w:rsid w:val="00B269C8"/>
    <w:rsid w:val="00B26D75"/>
    <w:rsid w:val="00B33574"/>
    <w:rsid w:val="00B339E3"/>
    <w:rsid w:val="00B34239"/>
    <w:rsid w:val="00B34675"/>
    <w:rsid w:val="00B35AC8"/>
    <w:rsid w:val="00B36DCC"/>
    <w:rsid w:val="00B36FC2"/>
    <w:rsid w:val="00B3734F"/>
    <w:rsid w:val="00B37E7C"/>
    <w:rsid w:val="00B41B22"/>
    <w:rsid w:val="00B42BD0"/>
    <w:rsid w:val="00B42C81"/>
    <w:rsid w:val="00B43499"/>
    <w:rsid w:val="00B442BC"/>
    <w:rsid w:val="00B44B29"/>
    <w:rsid w:val="00B45B12"/>
    <w:rsid w:val="00B4671C"/>
    <w:rsid w:val="00B46A05"/>
    <w:rsid w:val="00B46AAF"/>
    <w:rsid w:val="00B46DB0"/>
    <w:rsid w:val="00B470EE"/>
    <w:rsid w:val="00B47211"/>
    <w:rsid w:val="00B47671"/>
    <w:rsid w:val="00B500D8"/>
    <w:rsid w:val="00B51B72"/>
    <w:rsid w:val="00B52D95"/>
    <w:rsid w:val="00B53B30"/>
    <w:rsid w:val="00B53F0C"/>
    <w:rsid w:val="00B575A8"/>
    <w:rsid w:val="00B579F4"/>
    <w:rsid w:val="00B607E8"/>
    <w:rsid w:val="00B61230"/>
    <w:rsid w:val="00B618A4"/>
    <w:rsid w:val="00B61C7D"/>
    <w:rsid w:val="00B63450"/>
    <w:rsid w:val="00B63691"/>
    <w:rsid w:val="00B638AE"/>
    <w:rsid w:val="00B6517D"/>
    <w:rsid w:val="00B65A26"/>
    <w:rsid w:val="00B65AF8"/>
    <w:rsid w:val="00B65C6E"/>
    <w:rsid w:val="00B67BCD"/>
    <w:rsid w:val="00B74506"/>
    <w:rsid w:val="00B7540D"/>
    <w:rsid w:val="00B75A4B"/>
    <w:rsid w:val="00B77240"/>
    <w:rsid w:val="00B8032E"/>
    <w:rsid w:val="00B80B7D"/>
    <w:rsid w:val="00B81B7C"/>
    <w:rsid w:val="00B82C26"/>
    <w:rsid w:val="00B83402"/>
    <w:rsid w:val="00B84E5D"/>
    <w:rsid w:val="00B859D3"/>
    <w:rsid w:val="00B8639B"/>
    <w:rsid w:val="00B86609"/>
    <w:rsid w:val="00B87F58"/>
    <w:rsid w:val="00B902B0"/>
    <w:rsid w:val="00B908C4"/>
    <w:rsid w:val="00B91C23"/>
    <w:rsid w:val="00B91D81"/>
    <w:rsid w:val="00B925E7"/>
    <w:rsid w:val="00B92739"/>
    <w:rsid w:val="00B92FE3"/>
    <w:rsid w:val="00B9312D"/>
    <w:rsid w:val="00B933E5"/>
    <w:rsid w:val="00B945E6"/>
    <w:rsid w:val="00B94921"/>
    <w:rsid w:val="00B94E76"/>
    <w:rsid w:val="00B95A80"/>
    <w:rsid w:val="00B95CD2"/>
    <w:rsid w:val="00B95F20"/>
    <w:rsid w:val="00B97BC1"/>
    <w:rsid w:val="00BA015D"/>
    <w:rsid w:val="00BA0880"/>
    <w:rsid w:val="00BA0A22"/>
    <w:rsid w:val="00BA1060"/>
    <w:rsid w:val="00BA108D"/>
    <w:rsid w:val="00BA10DA"/>
    <w:rsid w:val="00BA18F2"/>
    <w:rsid w:val="00BA193F"/>
    <w:rsid w:val="00BA196F"/>
    <w:rsid w:val="00BA2327"/>
    <w:rsid w:val="00BA31E3"/>
    <w:rsid w:val="00BA5B22"/>
    <w:rsid w:val="00BA6865"/>
    <w:rsid w:val="00BA7B3F"/>
    <w:rsid w:val="00BB0FA6"/>
    <w:rsid w:val="00BB2499"/>
    <w:rsid w:val="00BB2804"/>
    <w:rsid w:val="00BB3E9D"/>
    <w:rsid w:val="00BB4078"/>
    <w:rsid w:val="00BB5232"/>
    <w:rsid w:val="00BB570F"/>
    <w:rsid w:val="00BB6EA5"/>
    <w:rsid w:val="00BB6FBF"/>
    <w:rsid w:val="00BB7437"/>
    <w:rsid w:val="00BB74E3"/>
    <w:rsid w:val="00BB77DB"/>
    <w:rsid w:val="00BC052E"/>
    <w:rsid w:val="00BC1A67"/>
    <w:rsid w:val="00BC26D5"/>
    <w:rsid w:val="00BC2E45"/>
    <w:rsid w:val="00BC3374"/>
    <w:rsid w:val="00BC3603"/>
    <w:rsid w:val="00BC3B02"/>
    <w:rsid w:val="00BC485A"/>
    <w:rsid w:val="00BC5B96"/>
    <w:rsid w:val="00BC63DE"/>
    <w:rsid w:val="00BC6509"/>
    <w:rsid w:val="00BC6871"/>
    <w:rsid w:val="00BC76E6"/>
    <w:rsid w:val="00BC7910"/>
    <w:rsid w:val="00BD04F1"/>
    <w:rsid w:val="00BD0EC6"/>
    <w:rsid w:val="00BD1F59"/>
    <w:rsid w:val="00BD2D63"/>
    <w:rsid w:val="00BD3EE6"/>
    <w:rsid w:val="00BD5C7E"/>
    <w:rsid w:val="00BD68CB"/>
    <w:rsid w:val="00BD73C8"/>
    <w:rsid w:val="00BD7DC0"/>
    <w:rsid w:val="00BD7ED1"/>
    <w:rsid w:val="00BE014D"/>
    <w:rsid w:val="00BE0A6E"/>
    <w:rsid w:val="00BE1866"/>
    <w:rsid w:val="00BE1B8C"/>
    <w:rsid w:val="00BE1D6B"/>
    <w:rsid w:val="00BE262E"/>
    <w:rsid w:val="00BE3C91"/>
    <w:rsid w:val="00BE405B"/>
    <w:rsid w:val="00BE4B60"/>
    <w:rsid w:val="00BE57CF"/>
    <w:rsid w:val="00BE691B"/>
    <w:rsid w:val="00BE7559"/>
    <w:rsid w:val="00BF0644"/>
    <w:rsid w:val="00BF1626"/>
    <w:rsid w:val="00BF261D"/>
    <w:rsid w:val="00BF43E4"/>
    <w:rsid w:val="00BF49D6"/>
    <w:rsid w:val="00BF4A73"/>
    <w:rsid w:val="00BF5009"/>
    <w:rsid w:val="00BF5AA3"/>
    <w:rsid w:val="00BF7670"/>
    <w:rsid w:val="00C01445"/>
    <w:rsid w:val="00C01930"/>
    <w:rsid w:val="00C01B5F"/>
    <w:rsid w:val="00C01FEC"/>
    <w:rsid w:val="00C02E24"/>
    <w:rsid w:val="00C03DC1"/>
    <w:rsid w:val="00C04139"/>
    <w:rsid w:val="00C04A3B"/>
    <w:rsid w:val="00C05A93"/>
    <w:rsid w:val="00C06854"/>
    <w:rsid w:val="00C06C79"/>
    <w:rsid w:val="00C07F94"/>
    <w:rsid w:val="00C102E4"/>
    <w:rsid w:val="00C154E7"/>
    <w:rsid w:val="00C164E8"/>
    <w:rsid w:val="00C1742A"/>
    <w:rsid w:val="00C177EE"/>
    <w:rsid w:val="00C17BA6"/>
    <w:rsid w:val="00C17D1A"/>
    <w:rsid w:val="00C20FA0"/>
    <w:rsid w:val="00C21A94"/>
    <w:rsid w:val="00C2213B"/>
    <w:rsid w:val="00C2258F"/>
    <w:rsid w:val="00C240F6"/>
    <w:rsid w:val="00C2496C"/>
    <w:rsid w:val="00C25412"/>
    <w:rsid w:val="00C25679"/>
    <w:rsid w:val="00C25C9C"/>
    <w:rsid w:val="00C25E11"/>
    <w:rsid w:val="00C2703F"/>
    <w:rsid w:val="00C271E9"/>
    <w:rsid w:val="00C27725"/>
    <w:rsid w:val="00C30021"/>
    <w:rsid w:val="00C302BB"/>
    <w:rsid w:val="00C30FBA"/>
    <w:rsid w:val="00C314E4"/>
    <w:rsid w:val="00C31529"/>
    <w:rsid w:val="00C31A4C"/>
    <w:rsid w:val="00C32BFB"/>
    <w:rsid w:val="00C34975"/>
    <w:rsid w:val="00C34F3A"/>
    <w:rsid w:val="00C36678"/>
    <w:rsid w:val="00C37822"/>
    <w:rsid w:val="00C37C7C"/>
    <w:rsid w:val="00C40AF6"/>
    <w:rsid w:val="00C40DA9"/>
    <w:rsid w:val="00C42A51"/>
    <w:rsid w:val="00C42FDB"/>
    <w:rsid w:val="00C43342"/>
    <w:rsid w:val="00C43AA7"/>
    <w:rsid w:val="00C44327"/>
    <w:rsid w:val="00C4473C"/>
    <w:rsid w:val="00C45AD2"/>
    <w:rsid w:val="00C45D37"/>
    <w:rsid w:val="00C461F7"/>
    <w:rsid w:val="00C5032F"/>
    <w:rsid w:val="00C51D39"/>
    <w:rsid w:val="00C529BD"/>
    <w:rsid w:val="00C529D4"/>
    <w:rsid w:val="00C534C2"/>
    <w:rsid w:val="00C536AF"/>
    <w:rsid w:val="00C53805"/>
    <w:rsid w:val="00C53899"/>
    <w:rsid w:val="00C542D2"/>
    <w:rsid w:val="00C546F7"/>
    <w:rsid w:val="00C567E2"/>
    <w:rsid w:val="00C56EAD"/>
    <w:rsid w:val="00C57851"/>
    <w:rsid w:val="00C57B91"/>
    <w:rsid w:val="00C60F7F"/>
    <w:rsid w:val="00C619C6"/>
    <w:rsid w:val="00C62D27"/>
    <w:rsid w:val="00C62F86"/>
    <w:rsid w:val="00C638C9"/>
    <w:rsid w:val="00C666E1"/>
    <w:rsid w:val="00C678C6"/>
    <w:rsid w:val="00C71335"/>
    <w:rsid w:val="00C727C9"/>
    <w:rsid w:val="00C73D02"/>
    <w:rsid w:val="00C7497D"/>
    <w:rsid w:val="00C74DEF"/>
    <w:rsid w:val="00C755C2"/>
    <w:rsid w:val="00C758D8"/>
    <w:rsid w:val="00C76AA4"/>
    <w:rsid w:val="00C76F29"/>
    <w:rsid w:val="00C80B4A"/>
    <w:rsid w:val="00C80D23"/>
    <w:rsid w:val="00C8125D"/>
    <w:rsid w:val="00C81B17"/>
    <w:rsid w:val="00C81D03"/>
    <w:rsid w:val="00C81DA9"/>
    <w:rsid w:val="00C82AC7"/>
    <w:rsid w:val="00C835D3"/>
    <w:rsid w:val="00C83A23"/>
    <w:rsid w:val="00C83CE0"/>
    <w:rsid w:val="00C855DF"/>
    <w:rsid w:val="00C85D39"/>
    <w:rsid w:val="00C86386"/>
    <w:rsid w:val="00C86904"/>
    <w:rsid w:val="00C90CAC"/>
    <w:rsid w:val="00C91737"/>
    <w:rsid w:val="00C9225D"/>
    <w:rsid w:val="00C924A9"/>
    <w:rsid w:val="00C939E2"/>
    <w:rsid w:val="00C95F04"/>
    <w:rsid w:val="00C9668A"/>
    <w:rsid w:val="00C96AE7"/>
    <w:rsid w:val="00C97087"/>
    <w:rsid w:val="00C97E4D"/>
    <w:rsid w:val="00CA05DD"/>
    <w:rsid w:val="00CA0A8C"/>
    <w:rsid w:val="00CA24BA"/>
    <w:rsid w:val="00CA26C6"/>
    <w:rsid w:val="00CA2BDE"/>
    <w:rsid w:val="00CA431B"/>
    <w:rsid w:val="00CA445E"/>
    <w:rsid w:val="00CA4690"/>
    <w:rsid w:val="00CA4CA7"/>
    <w:rsid w:val="00CA5AAC"/>
    <w:rsid w:val="00CA65F1"/>
    <w:rsid w:val="00CA6FFF"/>
    <w:rsid w:val="00CA7948"/>
    <w:rsid w:val="00CB0046"/>
    <w:rsid w:val="00CB148E"/>
    <w:rsid w:val="00CB1A05"/>
    <w:rsid w:val="00CB2D04"/>
    <w:rsid w:val="00CB3C14"/>
    <w:rsid w:val="00CB4276"/>
    <w:rsid w:val="00CB5AA6"/>
    <w:rsid w:val="00CB7BB7"/>
    <w:rsid w:val="00CC085D"/>
    <w:rsid w:val="00CC08DE"/>
    <w:rsid w:val="00CC1078"/>
    <w:rsid w:val="00CC473C"/>
    <w:rsid w:val="00CC7D33"/>
    <w:rsid w:val="00CD071C"/>
    <w:rsid w:val="00CD0A26"/>
    <w:rsid w:val="00CD0F02"/>
    <w:rsid w:val="00CD1DF8"/>
    <w:rsid w:val="00CD223F"/>
    <w:rsid w:val="00CD3180"/>
    <w:rsid w:val="00CD3695"/>
    <w:rsid w:val="00CD39E7"/>
    <w:rsid w:val="00CD41AE"/>
    <w:rsid w:val="00CD5348"/>
    <w:rsid w:val="00CD728C"/>
    <w:rsid w:val="00CE07E1"/>
    <w:rsid w:val="00CE0DC7"/>
    <w:rsid w:val="00CE1240"/>
    <w:rsid w:val="00CE2970"/>
    <w:rsid w:val="00CE3710"/>
    <w:rsid w:val="00CE4E5C"/>
    <w:rsid w:val="00CE5372"/>
    <w:rsid w:val="00CE62DA"/>
    <w:rsid w:val="00CE6F0A"/>
    <w:rsid w:val="00CE70DE"/>
    <w:rsid w:val="00CE70FE"/>
    <w:rsid w:val="00CE750A"/>
    <w:rsid w:val="00CF03C6"/>
    <w:rsid w:val="00CF1CFD"/>
    <w:rsid w:val="00CF28D0"/>
    <w:rsid w:val="00CF2F97"/>
    <w:rsid w:val="00CF4400"/>
    <w:rsid w:val="00CF4690"/>
    <w:rsid w:val="00CF5537"/>
    <w:rsid w:val="00CF5D76"/>
    <w:rsid w:val="00D0084C"/>
    <w:rsid w:val="00D00EF0"/>
    <w:rsid w:val="00D01984"/>
    <w:rsid w:val="00D0216E"/>
    <w:rsid w:val="00D02C57"/>
    <w:rsid w:val="00D02C77"/>
    <w:rsid w:val="00D02FA4"/>
    <w:rsid w:val="00D034D2"/>
    <w:rsid w:val="00D034D4"/>
    <w:rsid w:val="00D03F07"/>
    <w:rsid w:val="00D05264"/>
    <w:rsid w:val="00D06EAE"/>
    <w:rsid w:val="00D0713E"/>
    <w:rsid w:val="00D07F76"/>
    <w:rsid w:val="00D11BE3"/>
    <w:rsid w:val="00D121C1"/>
    <w:rsid w:val="00D123C4"/>
    <w:rsid w:val="00D128E0"/>
    <w:rsid w:val="00D12C1B"/>
    <w:rsid w:val="00D131B8"/>
    <w:rsid w:val="00D131DF"/>
    <w:rsid w:val="00D135C6"/>
    <w:rsid w:val="00D13CC3"/>
    <w:rsid w:val="00D14A88"/>
    <w:rsid w:val="00D14AD7"/>
    <w:rsid w:val="00D14CDD"/>
    <w:rsid w:val="00D15027"/>
    <w:rsid w:val="00D1532E"/>
    <w:rsid w:val="00D15435"/>
    <w:rsid w:val="00D15F25"/>
    <w:rsid w:val="00D1664B"/>
    <w:rsid w:val="00D1731B"/>
    <w:rsid w:val="00D177F7"/>
    <w:rsid w:val="00D17E17"/>
    <w:rsid w:val="00D201A4"/>
    <w:rsid w:val="00D21691"/>
    <w:rsid w:val="00D220C2"/>
    <w:rsid w:val="00D23A92"/>
    <w:rsid w:val="00D2494F"/>
    <w:rsid w:val="00D24B3E"/>
    <w:rsid w:val="00D24DAB"/>
    <w:rsid w:val="00D2504A"/>
    <w:rsid w:val="00D25051"/>
    <w:rsid w:val="00D254B9"/>
    <w:rsid w:val="00D254D1"/>
    <w:rsid w:val="00D254E1"/>
    <w:rsid w:val="00D25E14"/>
    <w:rsid w:val="00D26593"/>
    <w:rsid w:val="00D2711B"/>
    <w:rsid w:val="00D27874"/>
    <w:rsid w:val="00D27DBC"/>
    <w:rsid w:val="00D3000B"/>
    <w:rsid w:val="00D30188"/>
    <w:rsid w:val="00D3083B"/>
    <w:rsid w:val="00D30C65"/>
    <w:rsid w:val="00D3258F"/>
    <w:rsid w:val="00D33D3D"/>
    <w:rsid w:val="00D34368"/>
    <w:rsid w:val="00D34499"/>
    <w:rsid w:val="00D35C91"/>
    <w:rsid w:val="00D36992"/>
    <w:rsid w:val="00D36DA2"/>
    <w:rsid w:val="00D37D9D"/>
    <w:rsid w:val="00D40136"/>
    <w:rsid w:val="00D40DE4"/>
    <w:rsid w:val="00D4364B"/>
    <w:rsid w:val="00D437BC"/>
    <w:rsid w:val="00D43946"/>
    <w:rsid w:val="00D44E33"/>
    <w:rsid w:val="00D44EB5"/>
    <w:rsid w:val="00D45286"/>
    <w:rsid w:val="00D452A1"/>
    <w:rsid w:val="00D454F6"/>
    <w:rsid w:val="00D45D29"/>
    <w:rsid w:val="00D45E2B"/>
    <w:rsid w:val="00D45F73"/>
    <w:rsid w:val="00D46277"/>
    <w:rsid w:val="00D46EF8"/>
    <w:rsid w:val="00D50A46"/>
    <w:rsid w:val="00D51D99"/>
    <w:rsid w:val="00D525DF"/>
    <w:rsid w:val="00D52B9E"/>
    <w:rsid w:val="00D52BFE"/>
    <w:rsid w:val="00D5342D"/>
    <w:rsid w:val="00D53474"/>
    <w:rsid w:val="00D53D5E"/>
    <w:rsid w:val="00D540BD"/>
    <w:rsid w:val="00D54630"/>
    <w:rsid w:val="00D54938"/>
    <w:rsid w:val="00D553AB"/>
    <w:rsid w:val="00D56823"/>
    <w:rsid w:val="00D56D1F"/>
    <w:rsid w:val="00D619C9"/>
    <w:rsid w:val="00D61FA1"/>
    <w:rsid w:val="00D61FB4"/>
    <w:rsid w:val="00D624A5"/>
    <w:rsid w:val="00D62B8A"/>
    <w:rsid w:val="00D63735"/>
    <w:rsid w:val="00D64D26"/>
    <w:rsid w:val="00D650DE"/>
    <w:rsid w:val="00D65422"/>
    <w:rsid w:val="00D65719"/>
    <w:rsid w:val="00D65E22"/>
    <w:rsid w:val="00D66472"/>
    <w:rsid w:val="00D66A52"/>
    <w:rsid w:val="00D66BD5"/>
    <w:rsid w:val="00D66CBB"/>
    <w:rsid w:val="00D67072"/>
    <w:rsid w:val="00D67E49"/>
    <w:rsid w:val="00D7097B"/>
    <w:rsid w:val="00D72A4E"/>
    <w:rsid w:val="00D72CFB"/>
    <w:rsid w:val="00D7406F"/>
    <w:rsid w:val="00D7431F"/>
    <w:rsid w:val="00D74726"/>
    <w:rsid w:val="00D80639"/>
    <w:rsid w:val="00D80B87"/>
    <w:rsid w:val="00D80E62"/>
    <w:rsid w:val="00D80EC3"/>
    <w:rsid w:val="00D82623"/>
    <w:rsid w:val="00D82DF0"/>
    <w:rsid w:val="00D84068"/>
    <w:rsid w:val="00D849C0"/>
    <w:rsid w:val="00D860F1"/>
    <w:rsid w:val="00D86434"/>
    <w:rsid w:val="00D87724"/>
    <w:rsid w:val="00D925D3"/>
    <w:rsid w:val="00D926E0"/>
    <w:rsid w:val="00D92717"/>
    <w:rsid w:val="00D92DDB"/>
    <w:rsid w:val="00D9471B"/>
    <w:rsid w:val="00D950EE"/>
    <w:rsid w:val="00D95420"/>
    <w:rsid w:val="00D97CE1"/>
    <w:rsid w:val="00DA01E1"/>
    <w:rsid w:val="00DA139E"/>
    <w:rsid w:val="00DA2B6F"/>
    <w:rsid w:val="00DA3A06"/>
    <w:rsid w:val="00DA3CB6"/>
    <w:rsid w:val="00DA4888"/>
    <w:rsid w:val="00DA4F91"/>
    <w:rsid w:val="00DA54DB"/>
    <w:rsid w:val="00DA711D"/>
    <w:rsid w:val="00DA7402"/>
    <w:rsid w:val="00DA7EA2"/>
    <w:rsid w:val="00DB069B"/>
    <w:rsid w:val="00DB1569"/>
    <w:rsid w:val="00DB1B67"/>
    <w:rsid w:val="00DB1D5C"/>
    <w:rsid w:val="00DB1DE4"/>
    <w:rsid w:val="00DB1E1E"/>
    <w:rsid w:val="00DB325D"/>
    <w:rsid w:val="00DB32FC"/>
    <w:rsid w:val="00DB3F07"/>
    <w:rsid w:val="00DB42B4"/>
    <w:rsid w:val="00DB434C"/>
    <w:rsid w:val="00DB44E0"/>
    <w:rsid w:val="00DB4767"/>
    <w:rsid w:val="00DB4890"/>
    <w:rsid w:val="00DB5514"/>
    <w:rsid w:val="00DB610D"/>
    <w:rsid w:val="00DB6666"/>
    <w:rsid w:val="00DB6DA3"/>
    <w:rsid w:val="00DC0344"/>
    <w:rsid w:val="00DC0D3C"/>
    <w:rsid w:val="00DC1B2B"/>
    <w:rsid w:val="00DC1CF4"/>
    <w:rsid w:val="00DC2321"/>
    <w:rsid w:val="00DC2438"/>
    <w:rsid w:val="00DC286C"/>
    <w:rsid w:val="00DC2D95"/>
    <w:rsid w:val="00DC3446"/>
    <w:rsid w:val="00DC34DF"/>
    <w:rsid w:val="00DC4827"/>
    <w:rsid w:val="00DC4F8C"/>
    <w:rsid w:val="00DC5E27"/>
    <w:rsid w:val="00DC7AB4"/>
    <w:rsid w:val="00DD054E"/>
    <w:rsid w:val="00DD0592"/>
    <w:rsid w:val="00DD1BBA"/>
    <w:rsid w:val="00DD29A6"/>
    <w:rsid w:val="00DD2B3B"/>
    <w:rsid w:val="00DD30DC"/>
    <w:rsid w:val="00DD4556"/>
    <w:rsid w:val="00DD4B65"/>
    <w:rsid w:val="00DD5073"/>
    <w:rsid w:val="00DD50C1"/>
    <w:rsid w:val="00DD5966"/>
    <w:rsid w:val="00DD6C3F"/>
    <w:rsid w:val="00DD6D1A"/>
    <w:rsid w:val="00DE11AA"/>
    <w:rsid w:val="00DE120F"/>
    <w:rsid w:val="00DE1AFF"/>
    <w:rsid w:val="00DE1BEE"/>
    <w:rsid w:val="00DE4684"/>
    <w:rsid w:val="00DE4C95"/>
    <w:rsid w:val="00DE5AEC"/>
    <w:rsid w:val="00DE647F"/>
    <w:rsid w:val="00DE71FD"/>
    <w:rsid w:val="00DE7B40"/>
    <w:rsid w:val="00DF0738"/>
    <w:rsid w:val="00DF282F"/>
    <w:rsid w:val="00DF2BA5"/>
    <w:rsid w:val="00DF2C1D"/>
    <w:rsid w:val="00DF2E76"/>
    <w:rsid w:val="00DF3242"/>
    <w:rsid w:val="00DF3E73"/>
    <w:rsid w:val="00DF427B"/>
    <w:rsid w:val="00DF64C7"/>
    <w:rsid w:val="00DF7799"/>
    <w:rsid w:val="00DF77A2"/>
    <w:rsid w:val="00E00D52"/>
    <w:rsid w:val="00E00EB6"/>
    <w:rsid w:val="00E02AA6"/>
    <w:rsid w:val="00E0321E"/>
    <w:rsid w:val="00E036B5"/>
    <w:rsid w:val="00E03AA1"/>
    <w:rsid w:val="00E03DF8"/>
    <w:rsid w:val="00E04DAC"/>
    <w:rsid w:val="00E05307"/>
    <w:rsid w:val="00E05379"/>
    <w:rsid w:val="00E07533"/>
    <w:rsid w:val="00E077F6"/>
    <w:rsid w:val="00E104AA"/>
    <w:rsid w:val="00E11995"/>
    <w:rsid w:val="00E128F8"/>
    <w:rsid w:val="00E13757"/>
    <w:rsid w:val="00E143FE"/>
    <w:rsid w:val="00E1467C"/>
    <w:rsid w:val="00E16A95"/>
    <w:rsid w:val="00E175A7"/>
    <w:rsid w:val="00E21009"/>
    <w:rsid w:val="00E2129D"/>
    <w:rsid w:val="00E21C1D"/>
    <w:rsid w:val="00E22D14"/>
    <w:rsid w:val="00E2353B"/>
    <w:rsid w:val="00E23C5C"/>
    <w:rsid w:val="00E26501"/>
    <w:rsid w:val="00E26C5B"/>
    <w:rsid w:val="00E2723B"/>
    <w:rsid w:val="00E27623"/>
    <w:rsid w:val="00E30F2A"/>
    <w:rsid w:val="00E34591"/>
    <w:rsid w:val="00E3465F"/>
    <w:rsid w:val="00E35496"/>
    <w:rsid w:val="00E354F7"/>
    <w:rsid w:val="00E35A66"/>
    <w:rsid w:val="00E37061"/>
    <w:rsid w:val="00E37320"/>
    <w:rsid w:val="00E407FB"/>
    <w:rsid w:val="00E4127A"/>
    <w:rsid w:val="00E41C77"/>
    <w:rsid w:val="00E42D07"/>
    <w:rsid w:val="00E43A81"/>
    <w:rsid w:val="00E44318"/>
    <w:rsid w:val="00E44E23"/>
    <w:rsid w:val="00E45779"/>
    <w:rsid w:val="00E45BDD"/>
    <w:rsid w:val="00E45D81"/>
    <w:rsid w:val="00E4625E"/>
    <w:rsid w:val="00E474C4"/>
    <w:rsid w:val="00E47668"/>
    <w:rsid w:val="00E50D4B"/>
    <w:rsid w:val="00E514D6"/>
    <w:rsid w:val="00E5313A"/>
    <w:rsid w:val="00E5418B"/>
    <w:rsid w:val="00E54837"/>
    <w:rsid w:val="00E5573C"/>
    <w:rsid w:val="00E55997"/>
    <w:rsid w:val="00E56119"/>
    <w:rsid w:val="00E56BC3"/>
    <w:rsid w:val="00E56CE7"/>
    <w:rsid w:val="00E57010"/>
    <w:rsid w:val="00E57A20"/>
    <w:rsid w:val="00E61071"/>
    <w:rsid w:val="00E6127A"/>
    <w:rsid w:val="00E616D9"/>
    <w:rsid w:val="00E62CCC"/>
    <w:rsid w:val="00E631CE"/>
    <w:rsid w:val="00E63AEA"/>
    <w:rsid w:val="00E651E2"/>
    <w:rsid w:val="00E65B82"/>
    <w:rsid w:val="00E67EEA"/>
    <w:rsid w:val="00E71F7D"/>
    <w:rsid w:val="00E72651"/>
    <w:rsid w:val="00E72B85"/>
    <w:rsid w:val="00E7312D"/>
    <w:rsid w:val="00E73A56"/>
    <w:rsid w:val="00E74A53"/>
    <w:rsid w:val="00E74C07"/>
    <w:rsid w:val="00E75989"/>
    <w:rsid w:val="00E75A91"/>
    <w:rsid w:val="00E7663B"/>
    <w:rsid w:val="00E76FEE"/>
    <w:rsid w:val="00E776A0"/>
    <w:rsid w:val="00E77C81"/>
    <w:rsid w:val="00E807B3"/>
    <w:rsid w:val="00E811BB"/>
    <w:rsid w:val="00E82A42"/>
    <w:rsid w:val="00E82C75"/>
    <w:rsid w:val="00E861A3"/>
    <w:rsid w:val="00E868E6"/>
    <w:rsid w:val="00E87747"/>
    <w:rsid w:val="00E878E1"/>
    <w:rsid w:val="00E87D37"/>
    <w:rsid w:val="00E90064"/>
    <w:rsid w:val="00E903B8"/>
    <w:rsid w:val="00E90EBC"/>
    <w:rsid w:val="00E91DA8"/>
    <w:rsid w:val="00E92AF3"/>
    <w:rsid w:val="00E932C4"/>
    <w:rsid w:val="00E93385"/>
    <w:rsid w:val="00E950EA"/>
    <w:rsid w:val="00E95931"/>
    <w:rsid w:val="00E964C0"/>
    <w:rsid w:val="00E96824"/>
    <w:rsid w:val="00E96BBE"/>
    <w:rsid w:val="00E970F1"/>
    <w:rsid w:val="00E979CD"/>
    <w:rsid w:val="00EA011F"/>
    <w:rsid w:val="00EA0167"/>
    <w:rsid w:val="00EA0B70"/>
    <w:rsid w:val="00EA0EFE"/>
    <w:rsid w:val="00EA270F"/>
    <w:rsid w:val="00EA2B7F"/>
    <w:rsid w:val="00EA3C1B"/>
    <w:rsid w:val="00EA3CD6"/>
    <w:rsid w:val="00EA479F"/>
    <w:rsid w:val="00EA529A"/>
    <w:rsid w:val="00EA594F"/>
    <w:rsid w:val="00EA6227"/>
    <w:rsid w:val="00EA6253"/>
    <w:rsid w:val="00EA6A55"/>
    <w:rsid w:val="00EA7C34"/>
    <w:rsid w:val="00EB076F"/>
    <w:rsid w:val="00EB18F3"/>
    <w:rsid w:val="00EB2150"/>
    <w:rsid w:val="00EB3335"/>
    <w:rsid w:val="00EB4251"/>
    <w:rsid w:val="00EB491D"/>
    <w:rsid w:val="00EB57BF"/>
    <w:rsid w:val="00EB6D25"/>
    <w:rsid w:val="00EC024A"/>
    <w:rsid w:val="00EC03E3"/>
    <w:rsid w:val="00EC09D4"/>
    <w:rsid w:val="00EC1B07"/>
    <w:rsid w:val="00EC4034"/>
    <w:rsid w:val="00EC4AB8"/>
    <w:rsid w:val="00EC6529"/>
    <w:rsid w:val="00EC78FB"/>
    <w:rsid w:val="00EC7E67"/>
    <w:rsid w:val="00ED0A0D"/>
    <w:rsid w:val="00ED0CAE"/>
    <w:rsid w:val="00ED119C"/>
    <w:rsid w:val="00ED2B41"/>
    <w:rsid w:val="00ED2E9A"/>
    <w:rsid w:val="00ED40D8"/>
    <w:rsid w:val="00ED4523"/>
    <w:rsid w:val="00ED4700"/>
    <w:rsid w:val="00ED54A9"/>
    <w:rsid w:val="00ED63B2"/>
    <w:rsid w:val="00ED6927"/>
    <w:rsid w:val="00ED6F64"/>
    <w:rsid w:val="00ED773F"/>
    <w:rsid w:val="00EE270E"/>
    <w:rsid w:val="00EE2F84"/>
    <w:rsid w:val="00EE3C0C"/>
    <w:rsid w:val="00EE4BE2"/>
    <w:rsid w:val="00EE4F95"/>
    <w:rsid w:val="00EE583B"/>
    <w:rsid w:val="00EE58E8"/>
    <w:rsid w:val="00EE6D49"/>
    <w:rsid w:val="00EF06B9"/>
    <w:rsid w:val="00EF313D"/>
    <w:rsid w:val="00EF3160"/>
    <w:rsid w:val="00EF36CD"/>
    <w:rsid w:val="00EF3915"/>
    <w:rsid w:val="00EF3B2E"/>
    <w:rsid w:val="00EF42DB"/>
    <w:rsid w:val="00EF641C"/>
    <w:rsid w:val="00EF67C7"/>
    <w:rsid w:val="00EF69DE"/>
    <w:rsid w:val="00EF774A"/>
    <w:rsid w:val="00EF7BBE"/>
    <w:rsid w:val="00F01276"/>
    <w:rsid w:val="00F02176"/>
    <w:rsid w:val="00F02328"/>
    <w:rsid w:val="00F0271A"/>
    <w:rsid w:val="00F02FDA"/>
    <w:rsid w:val="00F0445A"/>
    <w:rsid w:val="00F07AAE"/>
    <w:rsid w:val="00F07D5D"/>
    <w:rsid w:val="00F110C6"/>
    <w:rsid w:val="00F11ECF"/>
    <w:rsid w:val="00F1302D"/>
    <w:rsid w:val="00F15BCD"/>
    <w:rsid w:val="00F15FB5"/>
    <w:rsid w:val="00F2052F"/>
    <w:rsid w:val="00F2055E"/>
    <w:rsid w:val="00F2134F"/>
    <w:rsid w:val="00F22103"/>
    <w:rsid w:val="00F23365"/>
    <w:rsid w:val="00F2480C"/>
    <w:rsid w:val="00F24BA3"/>
    <w:rsid w:val="00F255B0"/>
    <w:rsid w:val="00F256B3"/>
    <w:rsid w:val="00F2607D"/>
    <w:rsid w:val="00F2616A"/>
    <w:rsid w:val="00F2637F"/>
    <w:rsid w:val="00F26628"/>
    <w:rsid w:val="00F2671D"/>
    <w:rsid w:val="00F27953"/>
    <w:rsid w:val="00F30CF7"/>
    <w:rsid w:val="00F322E4"/>
    <w:rsid w:val="00F3369E"/>
    <w:rsid w:val="00F34C42"/>
    <w:rsid w:val="00F34D64"/>
    <w:rsid w:val="00F34F9E"/>
    <w:rsid w:val="00F379F7"/>
    <w:rsid w:val="00F41228"/>
    <w:rsid w:val="00F41483"/>
    <w:rsid w:val="00F4180D"/>
    <w:rsid w:val="00F42D3B"/>
    <w:rsid w:val="00F4388E"/>
    <w:rsid w:val="00F43B61"/>
    <w:rsid w:val="00F442EE"/>
    <w:rsid w:val="00F443C3"/>
    <w:rsid w:val="00F444E5"/>
    <w:rsid w:val="00F454B5"/>
    <w:rsid w:val="00F46CF8"/>
    <w:rsid w:val="00F476CA"/>
    <w:rsid w:val="00F47F35"/>
    <w:rsid w:val="00F513F3"/>
    <w:rsid w:val="00F5244A"/>
    <w:rsid w:val="00F52816"/>
    <w:rsid w:val="00F52AA2"/>
    <w:rsid w:val="00F53C74"/>
    <w:rsid w:val="00F53E33"/>
    <w:rsid w:val="00F55011"/>
    <w:rsid w:val="00F55497"/>
    <w:rsid w:val="00F556F4"/>
    <w:rsid w:val="00F57828"/>
    <w:rsid w:val="00F62F50"/>
    <w:rsid w:val="00F6350B"/>
    <w:rsid w:val="00F64477"/>
    <w:rsid w:val="00F64F86"/>
    <w:rsid w:val="00F65AF5"/>
    <w:rsid w:val="00F65E91"/>
    <w:rsid w:val="00F667AA"/>
    <w:rsid w:val="00F70D38"/>
    <w:rsid w:val="00F7139A"/>
    <w:rsid w:val="00F7172A"/>
    <w:rsid w:val="00F71F06"/>
    <w:rsid w:val="00F722BE"/>
    <w:rsid w:val="00F73889"/>
    <w:rsid w:val="00F73B49"/>
    <w:rsid w:val="00F73DA2"/>
    <w:rsid w:val="00F75F13"/>
    <w:rsid w:val="00F77B78"/>
    <w:rsid w:val="00F80757"/>
    <w:rsid w:val="00F80940"/>
    <w:rsid w:val="00F81411"/>
    <w:rsid w:val="00F8201C"/>
    <w:rsid w:val="00F82B12"/>
    <w:rsid w:val="00F8520B"/>
    <w:rsid w:val="00F8529B"/>
    <w:rsid w:val="00F8663C"/>
    <w:rsid w:val="00F8773C"/>
    <w:rsid w:val="00F87A4E"/>
    <w:rsid w:val="00F91882"/>
    <w:rsid w:val="00F919D0"/>
    <w:rsid w:val="00F91F01"/>
    <w:rsid w:val="00F92C8F"/>
    <w:rsid w:val="00F93C24"/>
    <w:rsid w:val="00F93D50"/>
    <w:rsid w:val="00F93DDC"/>
    <w:rsid w:val="00F9455F"/>
    <w:rsid w:val="00F9526B"/>
    <w:rsid w:val="00F95A78"/>
    <w:rsid w:val="00F95BFD"/>
    <w:rsid w:val="00F9650C"/>
    <w:rsid w:val="00F96B9A"/>
    <w:rsid w:val="00F9704C"/>
    <w:rsid w:val="00F97136"/>
    <w:rsid w:val="00F97B95"/>
    <w:rsid w:val="00F97DC5"/>
    <w:rsid w:val="00FA0080"/>
    <w:rsid w:val="00FA0B54"/>
    <w:rsid w:val="00FA1128"/>
    <w:rsid w:val="00FA28E7"/>
    <w:rsid w:val="00FA4792"/>
    <w:rsid w:val="00FA4B0C"/>
    <w:rsid w:val="00FA6794"/>
    <w:rsid w:val="00FA6F40"/>
    <w:rsid w:val="00FA7E7D"/>
    <w:rsid w:val="00FA7F54"/>
    <w:rsid w:val="00FB04A0"/>
    <w:rsid w:val="00FB0B90"/>
    <w:rsid w:val="00FB1258"/>
    <w:rsid w:val="00FB18D9"/>
    <w:rsid w:val="00FB1908"/>
    <w:rsid w:val="00FB2066"/>
    <w:rsid w:val="00FB2A9A"/>
    <w:rsid w:val="00FB3EF0"/>
    <w:rsid w:val="00FB4FBB"/>
    <w:rsid w:val="00FB58AB"/>
    <w:rsid w:val="00FB5955"/>
    <w:rsid w:val="00FB5FB9"/>
    <w:rsid w:val="00FB6A39"/>
    <w:rsid w:val="00FB6CA4"/>
    <w:rsid w:val="00FB7174"/>
    <w:rsid w:val="00FB7349"/>
    <w:rsid w:val="00FC0A3C"/>
    <w:rsid w:val="00FC11D7"/>
    <w:rsid w:val="00FC26EF"/>
    <w:rsid w:val="00FC2B7B"/>
    <w:rsid w:val="00FC2B9E"/>
    <w:rsid w:val="00FC34E5"/>
    <w:rsid w:val="00FC369B"/>
    <w:rsid w:val="00FC451F"/>
    <w:rsid w:val="00FC601E"/>
    <w:rsid w:val="00FC60B7"/>
    <w:rsid w:val="00FC7D67"/>
    <w:rsid w:val="00FD2247"/>
    <w:rsid w:val="00FD2B3B"/>
    <w:rsid w:val="00FD379F"/>
    <w:rsid w:val="00FD78EA"/>
    <w:rsid w:val="00FE0F38"/>
    <w:rsid w:val="00FE111A"/>
    <w:rsid w:val="00FE1980"/>
    <w:rsid w:val="00FE3E09"/>
    <w:rsid w:val="00FE3FEA"/>
    <w:rsid w:val="00FE4328"/>
    <w:rsid w:val="00FE55C3"/>
    <w:rsid w:val="00FE59BF"/>
    <w:rsid w:val="00FE635A"/>
    <w:rsid w:val="00FE6D41"/>
    <w:rsid w:val="00FE70F1"/>
    <w:rsid w:val="00FE797A"/>
    <w:rsid w:val="00FE7C97"/>
    <w:rsid w:val="00FF1190"/>
    <w:rsid w:val="00FF1A0E"/>
    <w:rsid w:val="00FF3456"/>
    <w:rsid w:val="00FF34B9"/>
    <w:rsid w:val="00FF3945"/>
    <w:rsid w:val="00FF3BDF"/>
    <w:rsid w:val="00FF53BF"/>
    <w:rsid w:val="00FF5694"/>
    <w:rsid w:val="00FF633F"/>
    <w:rsid w:val="00FF76E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7D4271"/>
  <w15:docId w15:val="{EF160CE0-8C25-4459-870F-3F435A01D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w:next w:val="BodyText"/>
    <w:qFormat/>
    <w:rsid w:val="00CA4690"/>
    <w:pPr>
      <w:spacing w:line="480" w:lineRule="auto"/>
      <w:ind w:left="1440" w:firstLine="720"/>
      <w:jc w:val="both"/>
    </w:pPr>
    <w:rPr>
      <w:rFonts w:ascii="Times New Roman" w:hAnsi="Times New Roman"/>
      <w:sz w:val="24"/>
    </w:rPr>
  </w:style>
  <w:style w:type="paragraph" w:styleId="Heading1">
    <w:name w:val="heading 1"/>
    <w:basedOn w:val="Normal"/>
    <w:next w:val="Normal"/>
    <w:link w:val="Heading1Char"/>
    <w:uiPriority w:val="9"/>
    <w:qFormat/>
    <w:rsid w:val="00E21C1D"/>
    <w:pPr>
      <w:keepNext/>
      <w:keepLines/>
      <w:spacing w:before="240" w:after="0"/>
      <w:ind w:firstLine="0"/>
      <w:jc w:val="center"/>
      <w:outlineLvl w:val="0"/>
    </w:pPr>
    <w:rPr>
      <w:rFonts w:eastAsiaTheme="majorEastAsia" w:cstheme="majorBidi"/>
      <w:b/>
      <w:caps/>
      <w:szCs w:val="32"/>
    </w:rPr>
  </w:style>
  <w:style w:type="paragraph" w:styleId="Heading2">
    <w:name w:val="heading 2"/>
    <w:basedOn w:val="Normal"/>
    <w:next w:val="Normal"/>
    <w:link w:val="Heading2Char"/>
    <w:uiPriority w:val="9"/>
    <w:unhideWhenUsed/>
    <w:qFormat/>
    <w:rsid w:val="00B8639B"/>
    <w:pPr>
      <w:keepNext/>
      <w:keepLines/>
      <w:spacing w:before="40" w:after="0"/>
      <w:ind w:firstLine="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074089"/>
    <w:pPr>
      <w:keepNext/>
      <w:keepLines/>
      <w:spacing w:before="40" w:after="0"/>
      <w:outlineLvl w:val="2"/>
    </w:pPr>
    <w:rPr>
      <w:rFonts w:eastAsiaTheme="majorEastAsia" w:cstheme="majorBidi"/>
      <w:szCs w:val="24"/>
    </w:rPr>
  </w:style>
  <w:style w:type="paragraph" w:styleId="Heading4">
    <w:name w:val="heading 4"/>
    <w:basedOn w:val="Normal"/>
    <w:next w:val="Normal"/>
    <w:link w:val="Heading4Char"/>
    <w:uiPriority w:val="9"/>
    <w:unhideWhenUsed/>
    <w:qFormat/>
    <w:rsid w:val="001A4919"/>
    <w:pPr>
      <w:keepNext/>
      <w:keepLines/>
      <w:spacing w:before="40" w:after="0"/>
      <w:jc w:val="left"/>
      <w:outlineLvl w:val="3"/>
    </w:pPr>
    <w:rPr>
      <w:rFonts w:eastAsiaTheme="majorEastAsia" w:cstheme="majorBidi"/>
      <w:b/>
      <w:iCs/>
    </w:rPr>
  </w:style>
  <w:style w:type="paragraph" w:styleId="Heading5">
    <w:name w:val="heading 5"/>
    <w:basedOn w:val="Normal"/>
    <w:next w:val="Normal"/>
    <w:link w:val="Heading5Char"/>
    <w:uiPriority w:val="9"/>
    <w:unhideWhenUsed/>
    <w:qFormat/>
    <w:rsid w:val="00D254B9"/>
    <w:pPr>
      <w:keepNext/>
      <w:keepLines/>
      <w:spacing w:before="40" w:after="0"/>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BA2327"/>
    <w:pPr>
      <w:spacing w:after="120"/>
    </w:pPr>
  </w:style>
  <w:style w:type="character" w:customStyle="1" w:styleId="BodyTextChar">
    <w:name w:val="Body Text Char"/>
    <w:basedOn w:val="DefaultParagraphFont"/>
    <w:link w:val="BodyText"/>
    <w:uiPriority w:val="99"/>
    <w:rsid w:val="00BA2327"/>
    <w:rPr>
      <w:rFonts w:ascii="Times New Roman" w:hAnsi="Times New Roman"/>
      <w:sz w:val="24"/>
    </w:rPr>
  </w:style>
  <w:style w:type="character" w:customStyle="1" w:styleId="Heading1Char">
    <w:name w:val="Heading 1 Char"/>
    <w:basedOn w:val="DefaultParagraphFont"/>
    <w:link w:val="Heading1"/>
    <w:uiPriority w:val="9"/>
    <w:rsid w:val="00E21C1D"/>
    <w:rPr>
      <w:rFonts w:ascii="Times New Roman" w:eastAsiaTheme="majorEastAsia" w:hAnsi="Times New Roman" w:cstheme="majorBidi"/>
      <w:b/>
      <w:caps/>
      <w:sz w:val="24"/>
      <w:szCs w:val="32"/>
    </w:rPr>
  </w:style>
  <w:style w:type="character" w:customStyle="1" w:styleId="Heading2Char">
    <w:name w:val="Heading 2 Char"/>
    <w:basedOn w:val="DefaultParagraphFont"/>
    <w:link w:val="Heading2"/>
    <w:uiPriority w:val="9"/>
    <w:rsid w:val="00B8639B"/>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074089"/>
    <w:rPr>
      <w:rFonts w:ascii="Times New Roman" w:eastAsiaTheme="majorEastAsia" w:hAnsi="Times New Roman" w:cstheme="majorBidi"/>
      <w:sz w:val="24"/>
      <w:szCs w:val="24"/>
    </w:rPr>
  </w:style>
  <w:style w:type="character" w:customStyle="1" w:styleId="Heading4Char">
    <w:name w:val="Heading 4 Char"/>
    <w:basedOn w:val="DefaultParagraphFont"/>
    <w:link w:val="Heading4"/>
    <w:uiPriority w:val="9"/>
    <w:rsid w:val="001A4919"/>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D254B9"/>
    <w:rPr>
      <w:rFonts w:ascii="Times New Roman" w:eastAsiaTheme="majorEastAsia" w:hAnsi="Times New Roman" w:cstheme="majorBidi"/>
      <w:b/>
      <w:sz w:val="24"/>
    </w:rPr>
  </w:style>
  <w:style w:type="paragraph" w:styleId="ListParagraph">
    <w:name w:val="List Paragraph"/>
    <w:basedOn w:val="Normal"/>
    <w:uiPriority w:val="34"/>
    <w:qFormat/>
    <w:rsid w:val="00384D21"/>
    <w:pPr>
      <w:spacing w:line="259" w:lineRule="auto"/>
      <w:ind w:left="720" w:firstLine="0"/>
      <w:contextualSpacing/>
    </w:pPr>
  </w:style>
  <w:style w:type="paragraph" w:styleId="Header">
    <w:name w:val="header"/>
    <w:basedOn w:val="Normal"/>
    <w:link w:val="HeaderChar"/>
    <w:uiPriority w:val="99"/>
    <w:unhideWhenUsed/>
    <w:rsid w:val="003957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5776"/>
    <w:rPr>
      <w:rFonts w:ascii="Times New Roman" w:hAnsi="Times New Roman"/>
      <w:sz w:val="24"/>
    </w:rPr>
  </w:style>
  <w:style w:type="paragraph" w:styleId="Footer">
    <w:name w:val="footer"/>
    <w:basedOn w:val="Normal"/>
    <w:link w:val="FooterChar"/>
    <w:uiPriority w:val="99"/>
    <w:unhideWhenUsed/>
    <w:rsid w:val="003957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5776"/>
    <w:rPr>
      <w:rFonts w:ascii="Times New Roman" w:hAnsi="Times New Roman"/>
      <w:sz w:val="24"/>
    </w:rPr>
  </w:style>
  <w:style w:type="paragraph" w:customStyle="1" w:styleId="Default">
    <w:name w:val="Default"/>
    <w:rsid w:val="00A30C59"/>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B25F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5F2B"/>
    <w:rPr>
      <w:rFonts w:ascii="Segoe UI" w:hAnsi="Segoe UI" w:cs="Segoe UI"/>
      <w:sz w:val="18"/>
      <w:szCs w:val="18"/>
    </w:rPr>
  </w:style>
  <w:style w:type="table" w:styleId="TableGrid">
    <w:name w:val="Table Grid"/>
    <w:basedOn w:val="TableNormal"/>
    <w:uiPriority w:val="39"/>
    <w:rsid w:val="002B3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15CEF"/>
    <w:rPr>
      <w:color w:val="808080"/>
    </w:rPr>
  </w:style>
  <w:style w:type="character" w:customStyle="1" w:styleId="markedcontent">
    <w:name w:val="markedcontent"/>
    <w:basedOn w:val="DefaultParagraphFont"/>
    <w:rsid w:val="003342C3"/>
  </w:style>
  <w:style w:type="character" w:styleId="Hyperlink">
    <w:name w:val="Hyperlink"/>
    <w:basedOn w:val="DefaultParagraphFont"/>
    <w:uiPriority w:val="99"/>
    <w:unhideWhenUsed/>
    <w:rsid w:val="00FA4792"/>
    <w:rPr>
      <w:color w:val="0000FF"/>
      <w:u w:val="single"/>
    </w:rPr>
  </w:style>
  <w:style w:type="character" w:styleId="Emphasis">
    <w:name w:val="Emphasis"/>
    <w:basedOn w:val="DefaultParagraphFont"/>
    <w:uiPriority w:val="20"/>
    <w:qFormat/>
    <w:rsid w:val="0030372C"/>
    <w:rPr>
      <w:i/>
      <w:iCs/>
    </w:rPr>
  </w:style>
  <w:style w:type="character" w:customStyle="1" w:styleId="jss3475">
    <w:name w:val="jss3475"/>
    <w:basedOn w:val="DefaultParagraphFont"/>
    <w:rsid w:val="00DA2B6F"/>
  </w:style>
  <w:style w:type="character" w:customStyle="1" w:styleId="UnresolvedMention1">
    <w:name w:val="Unresolved Mention1"/>
    <w:basedOn w:val="DefaultParagraphFont"/>
    <w:uiPriority w:val="99"/>
    <w:semiHidden/>
    <w:unhideWhenUsed/>
    <w:rsid w:val="00C755C2"/>
    <w:rPr>
      <w:color w:val="605E5C"/>
      <w:shd w:val="clear" w:color="auto" w:fill="E1DFDD"/>
    </w:rPr>
  </w:style>
  <w:style w:type="character" w:customStyle="1" w:styleId="hlfld-contribauthor">
    <w:name w:val="hlfld-contribauthor"/>
    <w:basedOn w:val="DefaultParagraphFont"/>
    <w:rsid w:val="00C755C2"/>
  </w:style>
  <w:style w:type="character" w:customStyle="1" w:styleId="nlmgiven-names">
    <w:name w:val="nlm_given-names"/>
    <w:basedOn w:val="DefaultParagraphFont"/>
    <w:rsid w:val="00C755C2"/>
  </w:style>
  <w:style w:type="character" w:customStyle="1" w:styleId="nlmyear">
    <w:name w:val="nlm_year"/>
    <w:basedOn w:val="DefaultParagraphFont"/>
    <w:rsid w:val="00C755C2"/>
  </w:style>
  <w:style w:type="character" w:customStyle="1" w:styleId="nlmarticle-title">
    <w:name w:val="nlm_article-title"/>
    <w:basedOn w:val="DefaultParagraphFont"/>
    <w:rsid w:val="00C755C2"/>
  </w:style>
  <w:style w:type="character" w:customStyle="1" w:styleId="ff2">
    <w:name w:val="ff2"/>
    <w:basedOn w:val="DefaultParagraphFont"/>
    <w:rsid w:val="00C755C2"/>
  </w:style>
  <w:style w:type="character" w:customStyle="1" w:styleId="ng-star-inserted">
    <w:name w:val="ng-star-inserted"/>
    <w:basedOn w:val="DefaultParagraphFont"/>
    <w:rsid w:val="00C755C2"/>
  </w:style>
  <w:style w:type="character" w:customStyle="1" w:styleId="ff6">
    <w:name w:val="ff6"/>
    <w:basedOn w:val="DefaultParagraphFont"/>
    <w:rsid w:val="00C755C2"/>
  </w:style>
  <w:style w:type="character" w:customStyle="1" w:styleId="ls17">
    <w:name w:val="ls17"/>
    <w:basedOn w:val="DefaultParagraphFont"/>
    <w:rsid w:val="00C755C2"/>
  </w:style>
  <w:style w:type="character" w:customStyle="1" w:styleId="fs5">
    <w:name w:val="fs5"/>
    <w:basedOn w:val="DefaultParagraphFont"/>
    <w:rsid w:val="00C755C2"/>
  </w:style>
  <w:style w:type="character" w:customStyle="1" w:styleId="ws247">
    <w:name w:val="ws247"/>
    <w:basedOn w:val="DefaultParagraphFont"/>
    <w:rsid w:val="00C755C2"/>
  </w:style>
  <w:style w:type="character" w:styleId="Strong">
    <w:name w:val="Strong"/>
    <w:basedOn w:val="DefaultParagraphFont"/>
    <w:uiPriority w:val="22"/>
    <w:qFormat/>
    <w:rsid w:val="00691343"/>
    <w:rPr>
      <w:b/>
      <w:bCs/>
    </w:rPr>
  </w:style>
  <w:style w:type="paragraph" w:styleId="TOCHeading">
    <w:name w:val="TOC Heading"/>
    <w:basedOn w:val="Heading1"/>
    <w:next w:val="Normal"/>
    <w:uiPriority w:val="39"/>
    <w:unhideWhenUsed/>
    <w:qFormat/>
    <w:rsid w:val="00BB4078"/>
    <w:pPr>
      <w:spacing w:line="259" w:lineRule="auto"/>
      <w:ind w:left="0"/>
      <w:jc w:val="left"/>
      <w:outlineLvl w:val="9"/>
    </w:pPr>
    <w:rPr>
      <w:rFonts w:asciiTheme="majorHAnsi" w:hAnsiTheme="majorHAnsi"/>
      <w:b w:val="0"/>
      <w:caps w:val="0"/>
      <w:color w:val="2F5496" w:themeColor="accent1" w:themeShade="BF"/>
      <w:sz w:val="32"/>
      <w:lang w:val="en-US"/>
    </w:rPr>
  </w:style>
  <w:style w:type="paragraph" w:styleId="TOC1">
    <w:name w:val="toc 1"/>
    <w:basedOn w:val="Normal"/>
    <w:next w:val="Normal"/>
    <w:autoRedefine/>
    <w:uiPriority w:val="39"/>
    <w:unhideWhenUsed/>
    <w:rsid w:val="00BC5B96"/>
    <w:pPr>
      <w:tabs>
        <w:tab w:val="right" w:pos="7576"/>
      </w:tabs>
      <w:spacing w:after="0"/>
      <w:ind w:left="0" w:firstLine="0"/>
      <w:jc w:val="left"/>
    </w:pPr>
  </w:style>
  <w:style w:type="paragraph" w:styleId="TOC2">
    <w:name w:val="toc 2"/>
    <w:basedOn w:val="Normal"/>
    <w:next w:val="Normal"/>
    <w:autoRedefine/>
    <w:uiPriority w:val="39"/>
    <w:unhideWhenUsed/>
    <w:rsid w:val="00FC34E5"/>
    <w:pPr>
      <w:tabs>
        <w:tab w:val="right" w:pos="7576"/>
      </w:tabs>
      <w:spacing w:after="0"/>
      <w:ind w:left="0" w:firstLine="0"/>
    </w:pPr>
    <w:rPr>
      <w:noProof/>
    </w:rPr>
  </w:style>
  <w:style w:type="paragraph" w:styleId="TOC3">
    <w:name w:val="toc 3"/>
    <w:basedOn w:val="Normal"/>
    <w:next w:val="Normal"/>
    <w:autoRedefine/>
    <w:uiPriority w:val="39"/>
    <w:unhideWhenUsed/>
    <w:rsid w:val="00FB0B90"/>
    <w:pPr>
      <w:tabs>
        <w:tab w:val="right" w:leader="dot" w:pos="7576"/>
      </w:tabs>
      <w:spacing w:after="100"/>
      <w:ind w:left="0"/>
    </w:pPr>
  </w:style>
  <w:style w:type="paragraph" w:styleId="TableofFigures">
    <w:name w:val="table of figures"/>
    <w:basedOn w:val="Normal"/>
    <w:next w:val="Normal"/>
    <w:uiPriority w:val="99"/>
    <w:unhideWhenUsed/>
    <w:rsid w:val="00BB4078"/>
    <w:pPr>
      <w:spacing w:after="0"/>
      <w:ind w:left="0"/>
    </w:pPr>
  </w:style>
  <w:style w:type="character" w:styleId="FollowedHyperlink">
    <w:name w:val="FollowedHyperlink"/>
    <w:basedOn w:val="DefaultParagraphFont"/>
    <w:uiPriority w:val="99"/>
    <w:semiHidden/>
    <w:unhideWhenUsed/>
    <w:rsid w:val="00321F92"/>
    <w:rPr>
      <w:color w:val="954F72" w:themeColor="followedHyperlink"/>
      <w:u w:val="single"/>
    </w:rPr>
  </w:style>
  <w:style w:type="character" w:customStyle="1" w:styleId="UnresolvedMention2">
    <w:name w:val="Unresolved Mention2"/>
    <w:basedOn w:val="DefaultParagraphFont"/>
    <w:uiPriority w:val="99"/>
    <w:semiHidden/>
    <w:unhideWhenUsed/>
    <w:rsid w:val="00321F92"/>
    <w:rPr>
      <w:color w:val="605E5C"/>
      <w:shd w:val="clear" w:color="auto" w:fill="E1DFDD"/>
    </w:rPr>
  </w:style>
  <w:style w:type="paragraph" w:styleId="NormalWeb">
    <w:name w:val="Normal (Web)"/>
    <w:basedOn w:val="Normal"/>
    <w:uiPriority w:val="99"/>
    <w:unhideWhenUsed/>
    <w:rsid w:val="00BE014D"/>
    <w:pPr>
      <w:spacing w:before="100" w:beforeAutospacing="1" w:after="100" w:afterAutospacing="1" w:line="240" w:lineRule="auto"/>
      <w:ind w:left="0" w:firstLine="0"/>
      <w:jc w:val="left"/>
    </w:pPr>
    <w:rPr>
      <w:rFonts w:eastAsia="Times New Roman" w:cs="Times New Roman"/>
      <w:szCs w:val="24"/>
      <w:lang w:eastAsia="en-GB"/>
    </w:rPr>
  </w:style>
  <w:style w:type="paragraph" w:styleId="NoSpacing">
    <w:name w:val="No Spacing"/>
    <w:uiPriority w:val="1"/>
    <w:qFormat/>
    <w:rsid w:val="00D80639"/>
    <w:pPr>
      <w:spacing w:after="0" w:line="240" w:lineRule="auto"/>
      <w:ind w:left="1440" w:firstLine="720"/>
      <w:jc w:val="both"/>
    </w:pPr>
    <w:rPr>
      <w:rFonts w:ascii="Times New Roman" w:hAnsi="Times New Roman"/>
      <w:sz w:val="24"/>
    </w:rPr>
  </w:style>
  <w:style w:type="character" w:customStyle="1" w:styleId="hgkelc">
    <w:name w:val="hgkelc"/>
    <w:basedOn w:val="DefaultParagraphFont"/>
    <w:rsid w:val="00832C28"/>
  </w:style>
  <w:style w:type="paragraph" w:styleId="TOC4">
    <w:name w:val="toc 4"/>
    <w:basedOn w:val="Normal"/>
    <w:next w:val="Normal"/>
    <w:autoRedefine/>
    <w:uiPriority w:val="39"/>
    <w:unhideWhenUsed/>
    <w:rsid w:val="00FB0B90"/>
    <w:pPr>
      <w:spacing w:after="100" w:line="259" w:lineRule="auto"/>
      <w:ind w:left="660" w:firstLine="0"/>
      <w:jc w:val="left"/>
    </w:pPr>
    <w:rPr>
      <w:rFonts w:asciiTheme="minorHAnsi" w:eastAsiaTheme="minorEastAsia" w:hAnsiTheme="minorHAnsi"/>
      <w:kern w:val="2"/>
      <w:sz w:val="22"/>
      <w:lang w:eastAsia="en-GB"/>
    </w:rPr>
  </w:style>
  <w:style w:type="paragraph" w:styleId="TOC5">
    <w:name w:val="toc 5"/>
    <w:basedOn w:val="Normal"/>
    <w:next w:val="Normal"/>
    <w:autoRedefine/>
    <w:uiPriority w:val="39"/>
    <w:unhideWhenUsed/>
    <w:rsid w:val="00FB0B90"/>
    <w:pPr>
      <w:spacing w:after="100" w:line="259" w:lineRule="auto"/>
      <w:ind w:left="880" w:firstLine="0"/>
      <w:jc w:val="left"/>
    </w:pPr>
    <w:rPr>
      <w:rFonts w:asciiTheme="minorHAnsi" w:eastAsiaTheme="minorEastAsia" w:hAnsiTheme="minorHAnsi"/>
      <w:kern w:val="2"/>
      <w:sz w:val="22"/>
      <w:lang w:eastAsia="en-GB"/>
    </w:rPr>
  </w:style>
  <w:style w:type="paragraph" w:styleId="TOC6">
    <w:name w:val="toc 6"/>
    <w:basedOn w:val="Normal"/>
    <w:next w:val="Normal"/>
    <w:autoRedefine/>
    <w:uiPriority w:val="39"/>
    <w:unhideWhenUsed/>
    <w:rsid w:val="00FB0B90"/>
    <w:pPr>
      <w:spacing w:after="100" w:line="259" w:lineRule="auto"/>
      <w:ind w:left="1100" w:firstLine="0"/>
      <w:jc w:val="left"/>
    </w:pPr>
    <w:rPr>
      <w:rFonts w:asciiTheme="minorHAnsi" w:eastAsiaTheme="minorEastAsia" w:hAnsiTheme="minorHAnsi"/>
      <w:kern w:val="2"/>
      <w:sz w:val="22"/>
      <w:lang w:eastAsia="en-GB"/>
    </w:rPr>
  </w:style>
  <w:style w:type="paragraph" w:styleId="TOC7">
    <w:name w:val="toc 7"/>
    <w:basedOn w:val="Normal"/>
    <w:next w:val="Normal"/>
    <w:autoRedefine/>
    <w:uiPriority w:val="39"/>
    <w:unhideWhenUsed/>
    <w:rsid w:val="00FB0B90"/>
    <w:pPr>
      <w:spacing w:after="100" w:line="259" w:lineRule="auto"/>
      <w:ind w:left="1320" w:firstLine="0"/>
      <w:jc w:val="left"/>
    </w:pPr>
    <w:rPr>
      <w:rFonts w:asciiTheme="minorHAnsi" w:eastAsiaTheme="minorEastAsia" w:hAnsiTheme="minorHAnsi"/>
      <w:kern w:val="2"/>
      <w:sz w:val="22"/>
      <w:lang w:eastAsia="en-GB"/>
    </w:rPr>
  </w:style>
  <w:style w:type="paragraph" w:styleId="TOC8">
    <w:name w:val="toc 8"/>
    <w:basedOn w:val="Normal"/>
    <w:next w:val="Normal"/>
    <w:autoRedefine/>
    <w:uiPriority w:val="39"/>
    <w:unhideWhenUsed/>
    <w:rsid w:val="00FB0B90"/>
    <w:pPr>
      <w:spacing w:after="100" w:line="259" w:lineRule="auto"/>
      <w:ind w:left="1540" w:firstLine="0"/>
      <w:jc w:val="left"/>
    </w:pPr>
    <w:rPr>
      <w:rFonts w:asciiTheme="minorHAnsi" w:eastAsiaTheme="minorEastAsia" w:hAnsiTheme="minorHAnsi"/>
      <w:kern w:val="2"/>
      <w:sz w:val="22"/>
      <w:lang w:eastAsia="en-GB"/>
    </w:rPr>
  </w:style>
  <w:style w:type="paragraph" w:styleId="TOC9">
    <w:name w:val="toc 9"/>
    <w:basedOn w:val="Normal"/>
    <w:next w:val="Normal"/>
    <w:autoRedefine/>
    <w:uiPriority w:val="39"/>
    <w:unhideWhenUsed/>
    <w:rsid w:val="00FB0B90"/>
    <w:pPr>
      <w:spacing w:after="100" w:line="259" w:lineRule="auto"/>
      <w:ind w:left="1760" w:firstLine="0"/>
      <w:jc w:val="left"/>
    </w:pPr>
    <w:rPr>
      <w:rFonts w:asciiTheme="minorHAnsi" w:eastAsiaTheme="minorEastAsia" w:hAnsiTheme="minorHAnsi"/>
      <w:kern w:val="2"/>
      <w:sz w:val="22"/>
      <w:lang w:eastAsia="en-GB"/>
    </w:rPr>
  </w:style>
  <w:style w:type="character" w:customStyle="1" w:styleId="UnresolvedMention3">
    <w:name w:val="Unresolved Mention3"/>
    <w:basedOn w:val="DefaultParagraphFont"/>
    <w:uiPriority w:val="99"/>
    <w:semiHidden/>
    <w:unhideWhenUsed/>
    <w:rsid w:val="00FB0B90"/>
    <w:rPr>
      <w:color w:val="605E5C"/>
      <w:shd w:val="clear" w:color="auto" w:fill="E1DFDD"/>
    </w:rPr>
  </w:style>
  <w:style w:type="character" w:customStyle="1" w:styleId="UnresolvedMention4">
    <w:name w:val="Unresolved Mention4"/>
    <w:basedOn w:val="DefaultParagraphFont"/>
    <w:uiPriority w:val="99"/>
    <w:semiHidden/>
    <w:unhideWhenUsed/>
    <w:rsid w:val="00D454F6"/>
    <w:rPr>
      <w:color w:val="605E5C"/>
      <w:shd w:val="clear" w:color="auto" w:fill="E1DFDD"/>
    </w:rPr>
  </w:style>
  <w:style w:type="character" w:customStyle="1" w:styleId="prooftitle">
    <w:name w:val="proof_title"/>
    <w:basedOn w:val="DefaultParagraphFont"/>
    <w:rsid w:val="00920722"/>
  </w:style>
  <w:style w:type="paragraph" w:customStyle="1" w:styleId="UCCMainText">
    <w:name w:val="UCC Main Text"/>
    <w:basedOn w:val="Normal"/>
    <w:qFormat/>
    <w:rsid w:val="007F4C9C"/>
    <w:pPr>
      <w:spacing w:after="0"/>
      <w:ind w:left="0"/>
    </w:pPr>
    <w:rPr>
      <w:rFonts w:eastAsia="MS Mincho" w:cs="Times New Roman"/>
      <w:szCs w:val="24"/>
      <w:lang w:val="en-US"/>
    </w:rPr>
  </w:style>
  <w:style w:type="character" w:customStyle="1" w:styleId="UnresolvedMention5">
    <w:name w:val="Unresolved Mention5"/>
    <w:basedOn w:val="DefaultParagraphFont"/>
    <w:uiPriority w:val="99"/>
    <w:semiHidden/>
    <w:unhideWhenUsed/>
    <w:rsid w:val="00F34C42"/>
    <w:rPr>
      <w:color w:val="605E5C"/>
      <w:shd w:val="clear" w:color="auto" w:fill="E1DFDD"/>
    </w:rPr>
  </w:style>
  <w:style w:type="paragraph" w:customStyle="1" w:styleId="LT">
    <w:name w:val="LT"/>
    <w:basedOn w:val="Normal"/>
    <w:qFormat/>
    <w:rsid w:val="001F0945"/>
    <w:pPr>
      <w:spacing w:after="0" w:line="240" w:lineRule="auto"/>
      <w:ind w:left="0" w:firstLine="0"/>
    </w:pPr>
    <w:rPr>
      <w:b/>
      <w:bCs/>
    </w:rPr>
  </w:style>
  <w:style w:type="paragraph" w:customStyle="1" w:styleId="LP">
    <w:name w:val="LP"/>
    <w:basedOn w:val="Heading5"/>
    <w:qFormat/>
    <w:rsid w:val="00DC2321"/>
    <w:pPr>
      <w:spacing w:line="240" w:lineRule="auto"/>
      <w:ind w:left="0" w:firstLine="0"/>
    </w:pPr>
  </w:style>
  <w:style w:type="character" w:styleId="UnresolvedMention">
    <w:name w:val="Unresolved Mention"/>
    <w:basedOn w:val="DefaultParagraphFont"/>
    <w:uiPriority w:val="99"/>
    <w:semiHidden/>
    <w:unhideWhenUsed/>
    <w:rsid w:val="00FC34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8695">
      <w:bodyDiv w:val="1"/>
      <w:marLeft w:val="0"/>
      <w:marRight w:val="0"/>
      <w:marTop w:val="0"/>
      <w:marBottom w:val="0"/>
      <w:divBdr>
        <w:top w:val="none" w:sz="0" w:space="0" w:color="auto"/>
        <w:left w:val="none" w:sz="0" w:space="0" w:color="auto"/>
        <w:bottom w:val="none" w:sz="0" w:space="0" w:color="auto"/>
        <w:right w:val="none" w:sz="0" w:space="0" w:color="auto"/>
      </w:divBdr>
      <w:divsChild>
        <w:div w:id="625627015">
          <w:marLeft w:val="0"/>
          <w:marRight w:val="0"/>
          <w:marTop w:val="0"/>
          <w:marBottom w:val="0"/>
          <w:divBdr>
            <w:top w:val="none" w:sz="0" w:space="0" w:color="auto"/>
            <w:left w:val="none" w:sz="0" w:space="0" w:color="auto"/>
            <w:bottom w:val="none" w:sz="0" w:space="0" w:color="auto"/>
            <w:right w:val="none" w:sz="0" w:space="0" w:color="auto"/>
          </w:divBdr>
        </w:div>
      </w:divsChild>
    </w:div>
    <w:div w:id="27878033">
      <w:bodyDiv w:val="1"/>
      <w:marLeft w:val="0"/>
      <w:marRight w:val="0"/>
      <w:marTop w:val="0"/>
      <w:marBottom w:val="0"/>
      <w:divBdr>
        <w:top w:val="none" w:sz="0" w:space="0" w:color="auto"/>
        <w:left w:val="none" w:sz="0" w:space="0" w:color="auto"/>
        <w:bottom w:val="none" w:sz="0" w:space="0" w:color="auto"/>
        <w:right w:val="none" w:sz="0" w:space="0" w:color="auto"/>
      </w:divBdr>
      <w:divsChild>
        <w:div w:id="226304132">
          <w:marLeft w:val="0"/>
          <w:marRight w:val="0"/>
          <w:marTop w:val="0"/>
          <w:marBottom w:val="0"/>
          <w:divBdr>
            <w:top w:val="none" w:sz="0" w:space="0" w:color="auto"/>
            <w:left w:val="none" w:sz="0" w:space="0" w:color="auto"/>
            <w:bottom w:val="none" w:sz="0" w:space="0" w:color="auto"/>
            <w:right w:val="none" w:sz="0" w:space="0" w:color="auto"/>
          </w:divBdr>
        </w:div>
      </w:divsChild>
    </w:div>
    <w:div w:id="60257486">
      <w:bodyDiv w:val="1"/>
      <w:marLeft w:val="0"/>
      <w:marRight w:val="0"/>
      <w:marTop w:val="0"/>
      <w:marBottom w:val="0"/>
      <w:divBdr>
        <w:top w:val="none" w:sz="0" w:space="0" w:color="auto"/>
        <w:left w:val="none" w:sz="0" w:space="0" w:color="auto"/>
        <w:bottom w:val="none" w:sz="0" w:space="0" w:color="auto"/>
        <w:right w:val="none" w:sz="0" w:space="0" w:color="auto"/>
      </w:divBdr>
      <w:divsChild>
        <w:div w:id="1872450189">
          <w:marLeft w:val="0"/>
          <w:marRight w:val="0"/>
          <w:marTop w:val="0"/>
          <w:marBottom w:val="0"/>
          <w:divBdr>
            <w:top w:val="none" w:sz="0" w:space="0" w:color="auto"/>
            <w:left w:val="none" w:sz="0" w:space="0" w:color="auto"/>
            <w:bottom w:val="none" w:sz="0" w:space="0" w:color="auto"/>
            <w:right w:val="none" w:sz="0" w:space="0" w:color="auto"/>
          </w:divBdr>
        </w:div>
      </w:divsChild>
    </w:div>
    <w:div w:id="97603508">
      <w:bodyDiv w:val="1"/>
      <w:marLeft w:val="0"/>
      <w:marRight w:val="0"/>
      <w:marTop w:val="0"/>
      <w:marBottom w:val="0"/>
      <w:divBdr>
        <w:top w:val="none" w:sz="0" w:space="0" w:color="auto"/>
        <w:left w:val="none" w:sz="0" w:space="0" w:color="auto"/>
        <w:bottom w:val="none" w:sz="0" w:space="0" w:color="auto"/>
        <w:right w:val="none" w:sz="0" w:space="0" w:color="auto"/>
      </w:divBdr>
      <w:divsChild>
        <w:div w:id="527916809">
          <w:marLeft w:val="0"/>
          <w:marRight w:val="0"/>
          <w:marTop w:val="0"/>
          <w:marBottom w:val="0"/>
          <w:divBdr>
            <w:top w:val="none" w:sz="0" w:space="0" w:color="auto"/>
            <w:left w:val="none" w:sz="0" w:space="0" w:color="auto"/>
            <w:bottom w:val="none" w:sz="0" w:space="0" w:color="auto"/>
            <w:right w:val="none" w:sz="0" w:space="0" w:color="auto"/>
          </w:divBdr>
        </w:div>
      </w:divsChild>
    </w:div>
    <w:div w:id="122622705">
      <w:bodyDiv w:val="1"/>
      <w:marLeft w:val="0"/>
      <w:marRight w:val="0"/>
      <w:marTop w:val="0"/>
      <w:marBottom w:val="0"/>
      <w:divBdr>
        <w:top w:val="none" w:sz="0" w:space="0" w:color="auto"/>
        <w:left w:val="none" w:sz="0" w:space="0" w:color="auto"/>
        <w:bottom w:val="none" w:sz="0" w:space="0" w:color="auto"/>
        <w:right w:val="none" w:sz="0" w:space="0" w:color="auto"/>
      </w:divBdr>
    </w:div>
    <w:div w:id="139274252">
      <w:bodyDiv w:val="1"/>
      <w:marLeft w:val="0"/>
      <w:marRight w:val="0"/>
      <w:marTop w:val="0"/>
      <w:marBottom w:val="0"/>
      <w:divBdr>
        <w:top w:val="none" w:sz="0" w:space="0" w:color="auto"/>
        <w:left w:val="none" w:sz="0" w:space="0" w:color="auto"/>
        <w:bottom w:val="none" w:sz="0" w:space="0" w:color="auto"/>
        <w:right w:val="none" w:sz="0" w:space="0" w:color="auto"/>
      </w:divBdr>
      <w:divsChild>
        <w:div w:id="1372417068">
          <w:marLeft w:val="0"/>
          <w:marRight w:val="0"/>
          <w:marTop w:val="0"/>
          <w:marBottom w:val="0"/>
          <w:divBdr>
            <w:top w:val="none" w:sz="0" w:space="0" w:color="auto"/>
            <w:left w:val="none" w:sz="0" w:space="0" w:color="auto"/>
            <w:bottom w:val="none" w:sz="0" w:space="0" w:color="auto"/>
            <w:right w:val="none" w:sz="0" w:space="0" w:color="auto"/>
          </w:divBdr>
        </w:div>
      </w:divsChild>
    </w:div>
    <w:div w:id="148405351">
      <w:bodyDiv w:val="1"/>
      <w:marLeft w:val="0"/>
      <w:marRight w:val="0"/>
      <w:marTop w:val="0"/>
      <w:marBottom w:val="0"/>
      <w:divBdr>
        <w:top w:val="none" w:sz="0" w:space="0" w:color="auto"/>
        <w:left w:val="none" w:sz="0" w:space="0" w:color="auto"/>
        <w:bottom w:val="none" w:sz="0" w:space="0" w:color="auto"/>
        <w:right w:val="none" w:sz="0" w:space="0" w:color="auto"/>
      </w:divBdr>
      <w:divsChild>
        <w:div w:id="661935434">
          <w:marLeft w:val="0"/>
          <w:marRight w:val="0"/>
          <w:marTop w:val="0"/>
          <w:marBottom w:val="0"/>
          <w:divBdr>
            <w:top w:val="none" w:sz="0" w:space="0" w:color="auto"/>
            <w:left w:val="none" w:sz="0" w:space="0" w:color="auto"/>
            <w:bottom w:val="none" w:sz="0" w:space="0" w:color="auto"/>
            <w:right w:val="none" w:sz="0" w:space="0" w:color="auto"/>
          </w:divBdr>
        </w:div>
      </w:divsChild>
    </w:div>
    <w:div w:id="186724111">
      <w:bodyDiv w:val="1"/>
      <w:marLeft w:val="0"/>
      <w:marRight w:val="0"/>
      <w:marTop w:val="0"/>
      <w:marBottom w:val="0"/>
      <w:divBdr>
        <w:top w:val="none" w:sz="0" w:space="0" w:color="auto"/>
        <w:left w:val="none" w:sz="0" w:space="0" w:color="auto"/>
        <w:bottom w:val="none" w:sz="0" w:space="0" w:color="auto"/>
        <w:right w:val="none" w:sz="0" w:space="0" w:color="auto"/>
      </w:divBdr>
      <w:divsChild>
        <w:div w:id="5862018">
          <w:marLeft w:val="0"/>
          <w:marRight w:val="0"/>
          <w:marTop w:val="0"/>
          <w:marBottom w:val="0"/>
          <w:divBdr>
            <w:top w:val="none" w:sz="0" w:space="0" w:color="auto"/>
            <w:left w:val="none" w:sz="0" w:space="0" w:color="auto"/>
            <w:bottom w:val="none" w:sz="0" w:space="0" w:color="auto"/>
            <w:right w:val="none" w:sz="0" w:space="0" w:color="auto"/>
          </w:divBdr>
        </w:div>
      </w:divsChild>
    </w:div>
    <w:div w:id="187257541">
      <w:bodyDiv w:val="1"/>
      <w:marLeft w:val="0"/>
      <w:marRight w:val="0"/>
      <w:marTop w:val="0"/>
      <w:marBottom w:val="0"/>
      <w:divBdr>
        <w:top w:val="none" w:sz="0" w:space="0" w:color="auto"/>
        <w:left w:val="none" w:sz="0" w:space="0" w:color="auto"/>
        <w:bottom w:val="none" w:sz="0" w:space="0" w:color="auto"/>
        <w:right w:val="none" w:sz="0" w:space="0" w:color="auto"/>
      </w:divBdr>
      <w:divsChild>
        <w:div w:id="996495623">
          <w:marLeft w:val="0"/>
          <w:marRight w:val="0"/>
          <w:marTop w:val="0"/>
          <w:marBottom w:val="0"/>
          <w:divBdr>
            <w:top w:val="none" w:sz="0" w:space="0" w:color="auto"/>
            <w:left w:val="none" w:sz="0" w:space="0" w:color="auto"/>
            <w:bottom w:val="none" w:sz="0" w:space="0" w:color="auto"/>
            <w:right w:val="none" w:sz="0" w:space="0" w:color="auto"/>
          </w:divBdr>
        </w:div>
      </w:divsChild>
    </w:div>
    <w:div w:id="238251846">
      <w:bodyDiv w:val="1"/>
      <w:marLeft w:val="0"/>
      <w:marRight w:val="0"/>
      <w:marTop w:val="0"/>
      <w:marBottom w:val="0"/>
      <w:divBdr>
        <w:top w:val="none" w:sz="0" w:space="0" w:color="auto"/>
        <w:left w:val="none" w:sz="0" w:space="0" w:color="auto"/>
        <w:bottom w:val="none" w:sz="0" w:space="0" w:color="auto"/>
        <w:right w:val="none" w:sz="0" w:space="0" w:color="auto"/>
      </w:divBdr>
    </w:div>
    <w:div w:id="252209211">
      <w:bodyDiv w:val="1"/>
      <w:marLeft w:val="0"/>
      <w:marRight w:val="0"/>
      <w:marTop w:val="0"/>
      <w:marBottom w:val="0"/>
      <w:divBdr>
        <w:top w:val="none" w:sz="0" w:space="0" w:color="auto"/>
        <w:left w:val="none" w:sz="0" w:space="0" w:color="auto"/>
        <w:bottom w:val="none" w:sz="0" w:space="0" w:color="auto"/>
        <w:right w:val="none" w:sz="0" w:space="0" w:color="auto"/>
      </w:divBdr>
      <w:divsChild>
        <w:div w:id="414016182">
          <w:marLeft w:val="0"/>
          <w:marRight w:val="0"/>
          <w:marTop w:val="0"/>
          <w:marBottom w:val="0"/>
          <w:divBdr>
            <w:top w:val="none" w:sz="0" w:space="0" w:color="auto"/>
            <w:left w:val="none" w:sz="0" w:space="0" w:color="auto"/>
            <w:bottom w:val="none" w:sz="0" w:space="0" w:color="auto"/>
            <w:right w:val="none" w:sz="0" w:space="0" w:color="auto"/>
          </w:divBdr>
        </w:div>
      </w:divsChild>
    </w:div>
    <w:div w:id="273249833">
      <w:bodyDiv w:val="1"/>
      <w:marLeft w:val="0"/>
      <w:marRight w:val="0"/>
      <w:marTop w:val="0"/>
      <w:marBottom w:val="0"/>
      <w:divBdr>
        <w:top w:val="none" w:sz="0" w:space="0" w:color="auto"/>
        <w:left w:val="none" w:sz="0" w:space="0" w:color="auto"/>
        <w:bottom w:val="none" w:sz="0" w:space="0" w:color="auto"/>
        <w:right w:val="none" w:sz="0" w:space="0" w:color="auto"/>
      </w:divBdr>
      <w:divsChild>
        <w:div w:id="1066152257">
          <w:marLeft w:val="0"/>
          <w:marRight w:val="0"/>
          <w:marTop w:val="0"/>
          <w:marBottom w:val="0"/>
          <w:divBdr>
            <w:top w:val="none" w:sz="0" w:space="0" w:color="auto"/>
            <w:left w:val="none" w:sz="0" w:space="0" w:color="auto"/>
            <w:bottom w:val="none" w:sz="0" w:space="0" w:color="auto"/>
            <w:right w:val="none" w:sz="0" w:space="0" w:color="auto"/>
          </w:divBdr>
        </w:div>
      </w:divsChild>
    </w:div>
    <w:div w:id="283535403">
      <w:bodyDiv w:val="1"/>
      <w:marLeft w:val="0"/>
      <w:marRight w:val="0"/>
      <w:marTop w:val="0"/>
      <w:marBottom w:val="0"/>
      <w:divBdr>
        <w:top w:val="none" w:sz="0" w:space="0" w:color="auto"/>
        <w:left w:val="none" w:sz="0" w:space="0" w:color="auto"/>
        <w:bottom w:val="none" w:sz="0" w:space="0" w:color="auto"/>
        <w:right w:val="none" w:sz="0" w:space="0" w:color="auto"/>
      </w:divBdr>
    </w:div>
    <w:div w:id="329217313">
      <w:bodyDiv w:val="1"/>
      <w:marLeft w:val="0"/>
      <w:marRight w:val="0"/>
      <w:marTop w:val="0"/>
      <w:marBottom w:val="0"/>
      <w:divBdr>
        <w:top w:val="none" w:sz="0" w:space="0" w:color="auto"/>
        <w:left w:val="none" w:sz="0" w:space="0" w:color="auto"/>
        <w:bottom w:val="none" w:sz="0" w:space="0" w:color="auto"/>
        <w:right w:val="none" w:sz="0" w:space="0" w:color="auto"/>
      </w:divBdr>
      <w:divsChild>
        <w:div w:id="597324111">
          <w:marLeft w:val="0"/>
          <w:marRight w:val="0"/>
          <w:marTop w:val="0"/>
          <w:marBottom w:val="0"/>
          <w:divBdr>
            <w:top w:val="none" w:sz="0" w:space="0" w:color="auto"/>
            <w:left w:val="none" w:sz="0" w:space="0" w:color="auto"/>
            <w:bottom w:val="none" w:sz="0" w:space="0" w:color="auto"/>
            <w:right w:val="none" w:sz="0" w:space="0" w:color="auto"/>
          </w:divBdr>
        </w:div>
      </w:divsChild>
    </w:div>
    <w:div w:id="366025828">
      <w:bodyDiv w:val="1"/>
      <w:marLeft w:val="0"/>
      <w:marRight w:val="0"/>
      <w:marTop w:val="0"/>
      <w:marBottom w:val="0"/>
      <w:divBdr>
        <w:top w:val="none" w:sz="0" w:space="0" w:color="auto"/>
        <w:left w:val="none" w:sz="0" w:space="0" w:color="auto"/>
        <w:bottom w:val="none" w:sz="0" w:space="0" w:color="auto"/>
        <w:right w:val="none" w:sz="0" w:space="0" w:color="auto"/>
      </w:divBdr>
      <w:divsChild>
        <w:div w:id="1599370155">
          <w:marLeft w:val="0"/>
          <w:marRight w:val="0"/>
          <w:marTop w:val="0"/>
          <w:marBottom w:val="0"/>
          <w:divBdr>
            <w:top w:val="none" w:sz="0" w:space="0" w:color="auto"/>
            <w:left w:val="none" w:sz="0" w:space="0" w:color="auto"/>
            <w:bottom w:val="none" w:sz="0" w:space="0" w:color="auto"/>
            <w:right w:val="none" w:sz="0" w:space="0" w:color="auto"/>
          </w:divBdr>
        </w:div>
      </w:divsChild>
    </w:div>
    <w:div w:id="419528192">
      <w:bodyDiv w:val="1"/>
      <w:marLeft w:val="0"/>
      <w:marRight w:val="0"/>
      <w:marTop w:val="0"/>
      <w:marBottom w:val="0"/>
      <w:divBdr>
        <w:top w:val="none" w:sz="0" w:space="0" w:color="auto"/>
        <w:left w:val="none" w:sz="0" w:space="0" w:color="auto"/>
        <w:bottom w:val="none" w:sz="0" w:space="0" w:color="auto"/>
        <w:right w:val="none" w:sz="0" w:space="0" w:color="auto"/>
      </w:divBdr>
      <w:divsChild>
        <w:div w:id="862669286">
          <w:marLeft w:val="0"/>
          <w:marRight w:val="0"/>
          <w:marTop w:val="0"/>
          <w:marBottom w:val="0"/>
          <w:divBdr>
            <w:top w:val="none" w:sz="0" w:space="0" w:color="auto"/>
            <w:left w:val="none" w:sz="0" w:space="0" w:color="auto"/>
            <w:bottom w:val="none" w:sz="0" w:space="0" w:color="auto"/>
            <w:right w:val="none" w:sz="0" w:space="0" w:color="auto"/>
          </w:divBdr>
        </w:div>
      </w:divsChild>
    </w:div>
    <w:div w:id="422337634">
      <w:bodyDiv w:val="1"/>
      <w:marLeft w:val="0"/>
      <w:marRight w:val="0"/>
      <w:marTop w:val="0"/>
      <w:marBottom w:val="0"/>
      <w:divBdr>
        <w:top w:val="none" w:sz="0" w:space="0" w:color="auto"/>
        <w:left w:val="none" w:sz="0" w:space="0" w:color="auto"/>
        <w:bottom w:val="none" w:sz="0" w:space="0" w:color="auto"/>
        <w:right w:val="none" w:sz="0" w:space="0" w:color="auto"/>
      </w:divBdr>
      <w:divsChild>
        <w:div w:id="1126657196">
          <w:marLeft w:val="0"/>
          <w:marRight w:val="0"/>
          <w:marTop w:val="0"/>
          <w:marBottom w:val="0"/>
          <w:divBdr>
            <w:top w:val="none" w:sz="0" w:space="0" w:color="auto"/>
            <w:left w:val="none" w:sz="0" w:space="0" w:color="auto"/>
            <w:bottom w:val="none" w:sz="0" w:space="0" w:color="auto"/>
            <w:right w:val="none" w:sz="0" w:space="0" w:color="auto"/>
          </w:divBdr>
        </w:div>
      </w:divsChild>
    </w:div>
    <w:div w:id="514879060">
      <w:bodyDiv w:val="1"/>
      <w:marLeft w:val="0"/>
      <w:marRight w:val="0"/>
      <w:marTop w:val="0"/>
      <w:marBottom w:val="0"/>
      <w:divBdr>
        <w:top w:val="none" w:sz="0" w:space="0" w:color="auto"/>
        <w:left w:val="none" w:sz="0" w:space="0" w:color="auto"/>
        <w:bottom w:val="none" w:sz="0" w:space="0" w:color="auto"/>
        <w:right w:val="none" w:sz="0" w:space="0" w:color="auto"/>
      </w:divBdr>
      <w:divsChild>
        <w:div w:id="549852656">
          <w:marLeft w:val="0"/>
          <w:marRight w:val="0"/>
          <w:marTop w:val="0"/>
          <w:marBottom w:val="0"/>
          <w:divBdr>
            <w:top w:val="none" w:sz="0" w:space="0" w:color="auto"/>
            <w:left w:val="none" w:sz="0" w:space="0" w:color="auto"/>
            <w:bottom w:val="none" w:sz="0" w:space="0" w:color="auto"/>
            <w:right w:val="none" w:sz="0" w:space="0" w:color="auto"/>
          </w:divBdr>
        </w:div>
      </w:divsChild>
    </w:div>
    <w:div w:id="534464593">
      <w:bodyDiv w:val="1"/>
      <w:marLeft w:val="0"/>
      <w:marRight w:val="0"/>
      <w:marTop w:val="0"/>
      <w:marBottom w:val="0"/>
      <w:divBdr>
        <w:top w:val="none" w:sz="0" w:space="0" w:color="auto"/>
        <w:left w:val="none" w:sz="0" w:space="0" w:color="auto"/>
        <w:bottom w:val="none" w:sz="0" w:space="0" w:color="auto"/>
        <w:right w:val="none" w:sz="0" w:space="0" w:color="auto"/>
      </w:divBdr>
      <w:divsChild>
        <w:div w:id="2068722609">
          <w:marLeft w:val="0"/>
          <w:marRight w:val="0"/>
          <w:marTop w:val="0"/>
          <w:marBottom w:val="0"/>
          <w:divBdr>
            <w:top w:val="none" w:sz="0" w:space="0" w:color="auto"/>
            <w:left w:val="none" w:sz="0" w:space="0" w:color="auto"/>
            <w:bottom w:val="none" w:sz="0" w:space="0" w:color="auto"/>
            <w:right w:val="none" w:sz="0" w:space="0" w:color="auto"/>
          </w:divBdr>
        </w:div>
      </w:divsChild>
    </w:div>
    <w:div w:id="540942626">
      <w:bodyDiv w:val="1"/>
      <w:marLeft w:val="0"/>
      <w:marRight w:val="0"/>
      <w:marTop w:val="0"/>
      <w:marBottom w:val="0"/>
      <w:divBdr>
        <w:top w:val="none" w:sz="0" w:space="0" w:color="auto"/>
        <w:left w:val="none" w:sz="0" w:space="0" w:color="auto"/>
        <w:bottom w:val="none" w:sz="0" w:space="0" w:color="auto"/>
        <w:right w:val="none" w:sz="0" w:space="0" w:color="auto"/>
      </w:divBdr>
      <w:divsChild>
        <w:div w:id="579406776">
          <w:marLeft w:val="360"/>
          <w:marRight w:val="0"/>
          <w:marTop w:val="200"/>
          <w:marBottom w:val="0"/>
          <w:divBdr>
            <w:top w:val="none" w:sz="0" w:space="0" w:color="auto"/>
            <w:left w:val="none" w:sz="0" w:space="0" w:color="auto"/>
            <w:bottom w:val="none" w:sz="0" w:space="0" w:color="auto"/>
            <w:right w:val="none" w:sz="0" w:space="0" w:color="auto"/>
          </w:divBdr>
        </w:div>
      </w:divsChild>
    </w:div>
    <w:div w:id="562910645">
      <w:bodyDiv w:val="1"/>
      <w:marLeft w:val="0"/>
      <w:marRight w:val="0"/>
      <w:marTop w:val="0"/>
      <w:marBottom w:val="0"/>
      <w:divBdr>
        <w:top w:val="none" w:sz="0" w:space="0" w:color="auto"/>
        <w:left w:val="none" w:sz="0" w:space="0" w:color="auto"/>
        <w:bottom w:val="none" w:sz="0" w:space="0" w:color="auto"/>
        <w:right w:val="none" w:sz="0" w:space="0" w:color="auto"/>
      </w:divBdr>
      <w:divsChild>
        <w:div w:id="1812206551">
          <w:marLeft w:val="0"/>
          <w:marRight w:val="0"/>
          <w:marTop w:val="0"/>
          <w:marBottom w:val="0"/>
          <w:divBdr>
            <w:top w:val="none" w:sz="0" w:space="0" w:color="auto"/>
            <w:left w:val="none" w:sz="0" w:space="0" w:color="auto"/>
            <w:bottom w:val="none" w:sz="0" w:space="0" w:color="auto"/>
            <w:right w:val="none" w:sz="0" w:space="0" w:color="auto"/>
          </w:divBdr>
        </w:div>
      </w:divsChild>
    </w:div>
    <w:div w:id="598410960">
      <w:bodyDiv w:val="1"/>
      <w:marLeft w:val="0"/>
      <w:marRight w:val="0"/>
      <w:marTop w:val="0"/>
      <w:marBottom w:val="0"/>
      <w:divBdr>
        <w:top w:val="none" w:sz="0" w:space="0" w:color="auto"/>
        <w:left w:val="none" w:sz="0" w:space="0" w:color="auto"/>
        <w:bottom w:val="none" w:sz="0" w:space="0" w:color="auto"/>
        <w:right w:val="none" w:sz="0" w:space="0" w:color="auto"/>
      </w:divBdr>
    </w:div>
    <w:div w:id="648363691">
      <w:bodyDiv w:val="1"/>
      <w:marLeft w:val="0"/>
      <w:marRight w:val="0"/>
      <w:marTop w:val="0"/>
      <w:marBottom w:val="0"/>
      <w:divBdr>
        <w:top w:val="none" w:sz="0" w:space="0" w:color="auto"/>
        <w:left w:val="none" w:sz="0" w:space="0" w:color="auto"/>
        <w:bottom w:val="none" w:sz="0" w:space="0" w:color="auto"/>
        <w:right w:val="none" w:sz="0" w:space="0" w:color="auto"/>
      </w:divBdr>
      <w:divsChild>
        <w:div w:id="241062095">
          <w:marLeft w:val="0"/>
          <w:marRight w:val="0"/>
          <w:marTop w:val="0"/>
          <w:marBottom w:val="0"/>
          <w:divBdr>
            <w:top w:val="none" w:sz="0" w:space="0" w:color="auto"/>
            <w:left w:val="none" w:sz="0" w:space="0" w:color="auto"/>
            <w:bottom w:val="none" w:sz="0" w:space="0" w:color="auto"/>
            <w:right w:val="none" w:sz="0" w:space="0" w:color="auto"/>
          </w:divBdr>
        </w:div>
      </w:divsChild>
    </w:div>
    <w:div w:id="652569634">
      <w:bodyDiv w:val="1"/>
      <w:marLeft w:val="0"/>
      <w:marRight w:val="0"/>
      <w:marTop w:val="0"/>
      <w:marBottom w:val="0"/>
      <w:divBdr>
        <w:top w:val="none" w:sz="0" w:space="0" w:color="auto"/>
        <w:left w:val="none" w:sz="0" w:space="0" w:color="auto"/>
        <w:bottom w:val="none" w:sz="0" w:space="0" w:color="auto"/>
        <w:right w:val="none" w:sz="0" w:space="0" w:color="auto"/>
      </w:divBdr>
      <w:divsChild>
        <w:div w:id="1284389523">
          <w:marLeft w:val="0"/>
          <w:marRight w:val="0"/>
          <w:marTop w:val="0"/>
          <w:marBottom w:val="0"/>
          <w:divBdr>
            <w:top w:val="none" w:sz="0" w:space="0" w:color="auto"/>
            <w:left w:val="none" w:sz="0" w:space="0" w:color="auto"/>
            <w:bottom w:val="none" w:sz="0" w:space="0" w:color="auto"/>
            <w:right w:val="none" w:sz="0" w:space="0" w:color="auto"/>
          </w:divBdr>
        </w:div>
      </w:divsChild>
    </w:div>
    <w:div w:id="666053345">
      <w:bodyDiv w:val="1"/>
      <w:marLeft w:val="0"/>
      <w:marRight w:val="0"/>
      <w:marTop w:val="0"/>
      <w:marBottom w:val="0"/>
      <w:divBdr>
        <w:top w:val="none" w:sz="0" w:space="0" w:color="auto"/>
        <w:left w:val="none" w:sz="0" w:space="0" w:color="auto"/>
        <w:bottom w:val="none" w:sz="0" w:space="0" w:color="auto"/>
        <w:right w:val="none" w:sz="0" w:space="0" w:color="auto"/>
      </w:divBdr>
      <w:divsChild>
        <w:div w:id="1282610879">
          <w:marLeft w:val="0"/>
          <w:marRight w:val="0"/>
          <w:marTop w:val="0"/>
          <w:marBottom w:val="0"/>
          <w:divBdr>
            <w:top w:val="none" w:sz="0" w:space="0" w:color="auto"/>
            <w:left w:val="none" w:sz="0" w:space="0" w:color="auto"/>
            <w:bottom w:val="none" w:sz="0" w:space="0" w:color="auto"/>
            <w:right w:val="none" w:sz="0" w:space="0" w:color="auto"/>
          </w:divBdr>
        </w:div>
      </w:divsChild>
    </w:div>
    <w:div w:id="677973509">
      <w:bodyDiv w:val="1"/>
      <w:marLeft w:val="0"/>
      <w:marRight w:val="0"/>
      <w:marTop w:val="0"/>
      <w:marBottom w:val="0"/>
      <w:divBdr>
        <w:top w:val="none" w:sz="0" w:space="0" w:color="auto"/>
        <w:left w:val="none" w:sz="0" w:space="0" w:color="auto"/>
        <w:bottom w:val="none" w:sz="0" w:space="0" w:color="auto"/>
        <w:right w:val="none" w:sz="0" w:space="0" w:color="auto"/>
      </w:divBdr>
      <w:divsChild>
        <w:div w:id="1107506671">
          <w:marLeft w:val="0"/>
          <w:marRight w:val="0"/>
          <w:marTop w:val="0"/>
          <w:marBottom w:val="0"/>
          <w:divBdr>
            <w:top w:val="none" w:sz="0" w:space="0" w:color="auto"/>
            <w:left w:val="none" w:sz="0" w:space="0" w:color="auto"/>
            <w:bottom w:val="none" w:sz="0" w:space="0" w:color="auto"/>
            <w:right w:val="none" w:sz="0" w:space="0" w:color="auto"/>
          </w:divBdr>
        </w:div>
      </w:divsChild>
    </w:div>
    <w:div w:id="687488921">
      <w:bodyDiv w:val="1"/>
      <w:marLeft w:val="0"/>
      <w:marRight w:val="0"/>
      <w:marTop w:val="0"/>
      <w:marBottom w:val="0"/>
      <w:divBdr>
        <w:top w:val="none" w:sz="0" w:space="0" w:color="auto"/>
        <w:left w:val="none" w:sz="0" w:space="0" w:color="auto"/>
        <w:bottom w:val="none" w:sz="0" w:space="0" w:color="auto"/>
        <w:right w:val="none" w:sz="0" w:space="0" w:color="auto"/>
      </w:divBdr>
    </w:div>
    <w:div w:id="698703248">
      <w:bodyDiv w:val="1"/>
      <w:marLeft w:val="0"/>
      <w:marRight w:val="0"/>
      <w:marTop w:val="0"/>
      <w:marBottom w:val="0"/>
      <w:divBdr>
        <w:top w:val="none" w:sz="0" w:space="0" w:color="auto"/>
        <w:left w:val="none" w:sz="0" w:space="0" w:color="auto"/>
        <w:bottom w:val="none" w:sz="0" w:space="0" w:color="auto"/>
        <w:right w:val="none" w:sz="0" w:space="0" w:color="auto"/>
      </w:divBdr>
      <w:divsChild>
        <w:div w:id="952174553">
          <w:marLeft w:val="0"/>
          <w:marRight w:val="0"/>
          <w:marTop w:val="0"/>
          <w:marBottom w:val="0"/>
          <w:divBdr>
            <w:top w:val="none" w:sz="0" w:space="0" w:color="auto"/>
            <w:left w:val="none" w:sz="0" w:space="0" w:color="auto"/>
            <w:bottom w:val="none" w:sz="0" w:space="0" w:color="auto"/>
            <w:right w:val="none" w:sz="0" w:space="0" w:color="auto"/>
          </w:divBdr>
        </w:div>
      </w:divsChild>
    </w:div>
    <w:div w:id="714501727">
      <w:bodyDiv w:val="1"/>
      <w:marLeft w:val="0"/>
      <w:marRight w:val="0"/>
      <w:marTop w:val="0"/>
      <w:marBottom w:val="0"/>
      <w:divBdr>
        <w:top w:val="none" w:sz="0" w:space="0" w:color="auto"/>
        <w:left w:val="none" w:sz="0" w:space="0" w:color="auto"/>
        <w:bottom w:val="none" w:sz="0" w:space="0" w:color="auto"/>
        <w:right w:val="none" w:sz="0" w:space="0" w:color="auto"/>
      </w:divBdr>
      <w:divsChild>
        <w:div w:id="149488725">
          <w:marLeft w:val="0"/>
          <w:marRight w:val="0"/>
          <w:marTop w:val="0"/>
          <w:marBottom w:val="0"/>
          <w:divBdr>
            <w:top w:val="none" w:sz="0" w:space="0" w:color="auto"/>
            <w:left w:val="none" w:sz="0" w:space="0" w:color="auto"/>
            <w:bottom w:val="none" w:sz="0" w:space="0" w:color="auto"/>
            <w:right w:val="none" w:sz="0" w:space="0" w:color="auto"/>
          </w:divBdr>
        </w:div>
      </w:divsChild>
    </w:div>
    <w:div w:id="714693487">
      <w:bodyDiv w:val="1"/>
      <w:marLeft w:val="0"/>
      <w:marRight w:val="0"/>
      <w:marTop w:val="0"/>
      <w:marBottom w:val="0"/>
      <w:divBdr>
        <w:top w:val="none" w:sz="0" w:space="0" w:color="auto"/>
        <w:left w:val="none" w:sz="0" w:space="0" w:color="auto"/>
        <w:bottom w:val="none" w:sz="0" w:space="0" w:color="auto"/>
        <w:right w:val="none" w:sz="0" w:space="0" w:color="auto"/>
      </w:divBdr>
      <w:divsChild>
        <w:div w:id="920680964">
          <w:marLeft w:val="0"/>
          <w:marRight w:val="0"/>
          <w:marTop w:val="0"/>
          <w:marBottom w:val="0"/>
          <w:divBdr>
            <w:top w:val="none" w:sz="0" w:space="0" w:color="auto"/>
            <w:left w:val="none" w:sz="0" w:space="0" w:color="auto"/>
            <w:bottom w:val="none" w:sz="0" w:space="0" w:color="auto"/>
            <w:right w:val="none" w:sz="0" w:space="0" w:color="auto"/>
          </w:divBdr>
        </w:div>
      </w:divsChild>
    </w:div>
    <w:div w:id="714889084">
      <w:bodyDiv w:val="1"/>
      <w:marLeft w:val="0"/>
      <w:marRight w:val="0"/>
      <w:marTop w:val="0"/>
      <w:marBottom w:val="0"/>
      <w:divBdr>
        <w:top w:val="none" w:sz="0" w:space="0" w:color="auto"/>
        <w:left w:val="none" w:sz="0" w:space="0" w:color="auto"/>
        <w:bottom w:val="none" w:sz="0" w:space="0" w:color="auto"/>
        <w:right w:val="none" w:sz="0" w:space="0" w:color="auto"/>
      </w:divBdr>
      <w:divsChild>
        <w:div w:id="420420204">
          <w:marLeft w:val="0"/>
          <w:marRight w:val="0"/>
          <w:marTop w:val="0"/>
          <w:marBottom w:val="0"/>
          <w:divBdr>
            <w:top w:val="none" w:sz="0" w:space="0" w:color="auto"/>
            <w:left w:val="none" w:sz="0" w:space="0" w:color="auto"/>
            <w:bottom w:val="none" w:sz="0" w:space="0" w:color="auto"/>
            <w:right w:val="none" w:sz="0" w:space="0" w:color="auto"/>
          </w:divBdr>
        </w:div>
      </w:divsChild>
    </w:div>
    <w:div w:id="717053244">
      <w:bodyDiv w:val="1"/>
      <w:marLeft w:val="0"/>
      <w:marRight w:val="0"/>
      <w:marTop w:val="0"/>
      <w:marBottom w:val="0"/>
      <w:divBdr>
        <w:top w:val="none" w:sz="0" w:space="0" w:color="auto"/>
        <w:left w:val="none" w:sz="0" w:space="0" w:color="auto"/>
        <w:bottom w:val="none" w:sz="0" w:space="0" w:color="auto"/>
        <w:right w:val="none" w:sz="0" w:space="0" w:color="auto"/>
      </w:divBdr>
      <w:divsChild>
        <w:div w:id="825585416">
          <w:marLeft w:val="0"/>
          <w:marRight w:val="0"/>
          <w:marTop w:val="0"/>
          <w:marBottom w:val="0"/>
          <w:divBdr>
            <w:top w:val="none" w:sz="0" w:space="0" w:color="auto"/>
            <w:left w:val="none" w:sz="0" w:space="0" w:color="auto"/>
            <w:bottom w:val="none" w:sz="0" w:space="0" w:color="auto"/>
            <w:right w:val="none" w:sz="0" w:space="0" w:color="auto"/>
          </w:divBdr>
        </w:div>
      </w:divsChild>
    </w:div>
    <w:div w:id="718433641">
      <w:bodyDiv w:val="1"/>
      <w:marLeft w:val="0"/>
      <w:marRight w:val="0"/>
      <w:marTop w:val="0"/>
      <w:marBottom w:val="0"/>
      <w:divBdr>
        <w:top w:val="none" w:sz="0" w:space="0" w:color="auto"/>
        <w:left w:val="none" w:sz="0" w:space="0" w:color="auto"/>
        <w:bottom w:val="none" w:sz="0" w:space="0" w:color="auto"/>
        <w:right w:val="none" w:sz="0" w:space="0" w:color="auto"/>
      </w:divBdr>
      <w:divsChild>
        <w:div w:id="441071821">
          <w:marLeft w:val="0"/>
          <w:marRight w:val="0"/>
          <w:marTop w:val="0"/>
          <w:marBottom w:val="0"/>
          <w:divBdr>
            <w:top w:val="none" w:sz="0" w:space="0" w:color="auto"/>
            <w:left w:val="none" w:sz="0" w:space="0" w:color="auto"/>
            <w:bottom w:val="none" w:sz="0" w:space="0" w:color="auto"/>
            <w:right w:val="none" w:sz="0" w:space="0" w:color="auto"/>
          </w:divBdr>
        </w:div>
      </w:divsChild>
    </w:div>
    <w:div w:id="736246613">
      <w:bodyDiv w:val="1"/>
      <w:marLeft w:val="0"/>
      <w:marRight w:val="0"/>
      <w:marTop w:val="0"/>
      <w:marBottom w:val="0"/>
      <w:divBdr>
        <w:top w:val="none" w:sz="0" w:space="0" w:color="auto"/>
        <w:left w:val="none" w:sz="0" w:space="0" w:color="auto"/>
        <w:bottom w:val="none" w:sz="0" w:space="0" w:color="auto"/>
        <w:right w:val="none" w:sz="0" w:space="0" w:color="auto"/>
      </w:divBdr>
      <w:divsChild>
        <w:div w:id="1970821614">
          <w:marLeft w:val="0"/>
          <w:marRight w:val="0"/>
          <w:marTop w:val="0"/>
          <w:marBottom w:val="0"/>
          <w:divBdr>
            <w:top w:val="none" w:sz="0" w:space="0" w:color="auto"/>
            <w:left w:val="none" w:sz="0" w:space="0" w:color="auto"/>
            <w:bottom w:val="none" w:sz="0" w:space="0" w:color="auto"/>
            <w:right w:val="none" w:sz="0" w:space="0" w:color="auto"/>
          </w:divBdr>
        </w:div>
      </w:divsChild>
    </w:div>
    <w:div w:id="744184275">
      <w:bodyDiv w:val="1"/>
      <w:marLeft w:val="0"/>
      <w:marRight w:val="0"/>
      <w:marTop w:val="0"/>
      <w:marBottom w:val="0"/>
      <w:divBdr>
        <w:top w:val="none" w:sz="0" w:space="0" w:color="auto"/>
        <w:left w:val="none" w:sz="0" w:space="0" w:color="auto"/>
        <w:bottom w:val="none" w:sz="0" w:space="0" w:color="auto"/>
        <w:right w:val="none" w:sz="0" w:space="0" w:color="auto"/>
      </w:divBdr>
      <w:divsChild>
        <w:div w:id="18167649">
          <w:marLeft w:val="0"/>
          <w:marRight w:val="0"/>
          <w:marTop w:val="0"/>
          <w:marBottom w:val="0"/>
          <w:divBdr>
            <w:top w:val="none" w:sz="0" w:space="0" w:color="auto"/>
            <w:left w:val="none" w:sz="0" w:space="0" w:color="auto"/>
            <w:bottom w:val="none" w:sz="0" w:space="0" w:color="auto"/>
            <w:right w:val="none" w:sz="0" w:space="0" w:color="auto"/>
          </w:divBdr>
        </w:div>
        <w:div w:id="453448325">
          <w:marLeft w:val="0"/>
          <w:marRight w:val="0"/>
          <w:marTop w:val="0"/>
          <w:marBottom w:val="0"/>
          <w:divBdr>
            <w:top w:val="none" w:sz="0" w:space="0" w:color="auto"/>
            <w:left w:val="none" w:sz="0" w:space="0" w:color="auto"/>
            <w:bottom w:val="none" w:sz="0" w:space="0" w:color="auto"/>
            <w:right w:val="none" w:sz="0" w:space="0" w:color="auto"/>
          </w:divBdr>
        </w:div>
        <w:div w:id="1416049528">
          <w:marLeft w:val="0"/>
          <w:marRight w:val="0"/>
          <w:marTop w:val="0"/>
          <w:marBottom w:val="0"/>
          <w:divBdr>
            <w:top w:val="none" w:sz="0" w:space="0" w:color="auto"/>
            <w:left w:val="none" w:sz="0" w:space="0" w:color="auto"/>
            <w:bottom w:val="none" w:sz="0" w:space="0" w:color="auto"/>
            <w:right w:val="none" w:sz="0" w:space="0" w:color="auto"/>
          </w:divBdr>
        </w:div>
      </w:divsChild>
    </w:div>
    <w:div w:id="751464617">
      <w:bodyDiv w:val="1"/>
      <w:marLeft w:val="0"/>
      <w:marRight w:val="0"/>
      <w:marTop w:val="0"/>
      <w:marBottom w:val="0"/>
      <w:divBdr>
        <w:top w:val="none" w:sz="0" w:space="0" w:color="auto"/>
        <w:left w:val="none" w:sz="0" w:space="0" w:color="auto"/>
        <w:bottom w:val="none" w:sz="0" w:space="0" w:color="auto"/>
        <w:right w:val="none" w:sz="0" w:space="0" w:color="auto"/>
      </w:divBdr>
      <w:divsChild>
        <w:div w:id="930352043">
          <w:marLeft w:val="0"/>
          <w:marRight w:val="0"/>
          <w:marTop w:val="0"/>
          <w:marBottom w:val="0"/>
          <w:divBdr>
            <w:top w:val="none" w:sz="0" w:space="0" w:color="auto"/>
            <w:left w:val="none" w:sz="0" w:space="0" w:color="auto"/>
            <w:bottom w:val="none" w:sz="0" w:space="0" w:color="auto"/>
            <w:right w:val="none" w:sz="0" w:space="0" w:color="auto"/>
          </w:divBdr>
        </w:div>
      </w:divsChild>
    </w:div>
    <w:div w:id="767122967">
      <w:bodyDiv w:val="1"/>
      <w:marLeft w:val="0"/>
      <w:marRight w:val="0"/>
      <w:marTop w:val="0"/>
      <w:marBottom w:val="0"/>
      <w:divBdr>
        <w:top w:val="none" w:sz="0" w:space="0" w:color="auto"/>
        <w:left w:val="none" w:sz="0" w:space="0" w:color="auto"/>
        <w:bottom w:val="none" w:sz="0" w:space="0" w:color="auto"/>
        <w:right w:val="none" w:sz="0" w:space="0" w:color="auto"/>
      </w:divBdr>
      <w:divsChild>
        <w:div w:id="737554940">
          <w:marLeft w:val="360"/>
          <w:marRight w:val="0"/>
          <w:marTop w:val="200"/>
          <w:marBottom w:val="0"/>
          <w:divBdr>
            <w:top w:val="none" w:sz="0" w:space="0" w:color="auto"/>
            <w:left w:val="none" w:sz="0" w:space="0" w:color="auto"/>
            <w:bottom w:val="none" w:sz="0" w:space="0" w:color="auto"/>
            <w:right w:val="none" w:sz="0" w:space="0" w:color="auto"/>
          </w:divBdr>
        </w:div>
      </w:divsChild>
    </w:div>
    <w:div w:id="842742934">
      <w:bodyDiv w:val="1"/>
      <w:marLeft w:val="0"/>
      <w:marRight w:val="0"/>
      <w:marTop w:val="0"/>
      <w:marBottom w:val="0"/>
      <w:divBdr>
        <w:top w:val="none" w:sz="0" w:space="0" w:color="auto"/>
        <w:left w:val="none" w:sz="0" w:space="0" w:color="auto"/>
        <w:bottom w:val="none" w:sz="0" w:space="0" w:color="auto"/>
        <w:right w:val="none" w:sz="0" w:space="0" w:color="auto"/>
      </w:divBdr>
      <w:divsChild>
        <w:div w:id="2135631609">
          <w:marLeft w:val="0"/>
          <w:marRight w:val="0"/>
          <w:marTop w:val="0"/>
          <w:marBottom w:val="0"/>
          <w:divBdr>
            <w:top w:val="none" w:sz="0" w:space="0" w:color="auto"/>
            <w:left w:val="none" w:sz="0" w:space="0" w:color="auto"/>
            <w:bottom w:val="none" w:sz="0" w:space="0" w:color="auto"/>
            <w:right w:val="none" w:sz="0" w:space="0" w:color="auto"/>
          </w:divBdr>
        </w:div>
      </w:divsChild>
    </w:div>
    <w:div w:id="842823176">
      <w:bodyDiv w:val="1"/>
      <w:marLeft w:val="0"/>
      <w:marRight w:val="0"/>
      <w:marTop w:val="0"/>
      <w:marBottom w:val="0"/>
      <w:divBdr>
        <w:top w:val="none" w:sz="0" w:space="0" w:color="auto"/>
        <w:left w:val="none" w:sz="0" w:space="0" w:color="auto"/>
        <w:bottom w:val="none" w:sz="0" w:space="0" w:color="auto"/>
        <w:right w:val="none" w:sz="0" w:space="0" w:color="auto"/>
      </w:divBdr>
    </w:div>
    <w:div w:id="851261388">
      <w:bodyDiv w:val="1"/>
      <w:marLeft w:val="0"/>
      <w:marRight w:val="0"/>
      <w:marTop w:val="0"/>
      <w:marBottom w:val="0"/>
      <w:divBdr>
        <w:top w:val="none" w:sz="0" w:space="0" w:color="auto"/>
        <w:left w:val="none" w:sz="0" w:space="0" w:color="auto"/>
        <w:bottom w:val="none" w:sz="0" w:space="0" w:color="auto"/>
        <w:right w:val="none" w:sz="0" w:space="0" w:color="auto"/>
      </w:divBdr>
    </w:div>
    <w:div w:id="866791451">
      <w:bodyDiv w:val="1"/>
      <w:marLeft w:val="0"/>
      <w:marRight w:val="0"/>
      <w:marTop w:val="0"/>
      <w:marBottom w:val="0"/>
      <w:divBdr>
        <w:top w:val="none" w:sz="0" w:space="0" w:color="auto"/>
        <w:left w:val="none" w:sz="0" w:space="0" w:color="auto"/>
        <w:bottom w:val="none" w:sz="0" w:space="0" w:color="auto"/>
        <w:right w:val="none" w:sz="0" w:space="0" w:color="auto"/>
      </w:divBdr>
      <w:divsChild>
        <w:div w:id="824857667">
          <w:marLeft w:val="0"/>
          <w:marRight w:val="0"/>
          <w:marTop w:val="0"/>
          <w:marBottom w:val="0"/>
          <w:divBdr>
            <w:top w:val="none" w:sz="0" w:space="0" w:color="auto"/>
            <w:left w:val="none" w:sz="0" w:space="0" w:color="auto"/>
            <w:bottom w:val="none" w:sz="0" w:space="0" w:color="auto"/>
            <w:right w:val="none" w:sz="0" w:space="0" w:color="auto"/>
          </w:divBdr>
        </w:div>
      </w:divsChild>
    </w:div>
    <w:div w:id="869798253">
      <w:bodyDiv w:val="1"/>
      <w:marLeft w:val="0"/>
      <w:marRight w:val="0"/>
      <w:marTop w:val="0"/>
      <w:marBottom w:val="0"/>
      <w:divBdr>
        <w:top w:val="none" w:sz="0" w:space="0" w:color="auto"/>
        <w:left w:val="none" w:sz="0" w:space="0" w:color="auto"/>
        <w:bottom w:val="none" w:sz="0" w:space="0" w:color="auto"/>
        <w:right w:val="none" w:sz="0" w:space="0" w:color="auto"/>
      </w:divBdr>
      <w:divsChild>
        <w:div w:id="2025983345">
          <w:marLeft w:val="0"/>
          <w:marRight w:val="0"/>
          <w:marTop w:val="0"/>
          <w:marBottom w:val="0"/>
          <w:divBdr>
            <w:top w:val="none" w:sz="0" w:space="0" w:color="auto"/>
            <w:left w:val="none" w:sz="0" w:space="0" w:color="auto"/>
            <w:bottom w:val="none" w:sz="0" w:space="0" w:color="auto"/>
            <w:right w:val="none" w:sz="0" w:space="0" w:color="auto"/>
          </w:divBdr>
        </w:div>
      </w:divsChild>
    </w:div>
    <w:div w:id="898973816">
      <w:bodyDiv w:val="1"/>
      <w:marLeft w:val="0"/>
      <w:marRight w:val="0"/>
      <w:marTop w:val="0"/>
      <w:marBottom w:val="0"/>
      <w:divBdr>
        <w:top w:val="none" w:sz="0" w:space="0" w:color="auto"/>
        <w:left w:val="none" w:sz="0" w:space="0" w:color="auto"/>
        <w:bottom w:val="none" w:sz="0" w:space="0" w:color="auto"/>
        <w:right w:val="none" w:sz="0" w:space="0" w:color="auto"/>
      </w:divBdr>
    </w:div>
    <w:div w:id="905339526">
      <w:bodyDiv w:val="1"/>
      <w:marLeft w:val="0"/>
      <w:marRight w:val="0"/>
      <w:marTop w:val="0"/>
      <w:marBottom w:val="0"/>
      <w:divBdr>
        <w:top w:val="none" w:sz="0" w:space="0" w:color="auto"/>
        <w:left w:val="none" w:sz="0" w:space="0" w:color="auto"/>
        <w:bottom w:val="none" w:sz="0" w:space="0" w:color="auto"/>
        <w:right w:val="none" w:sz="0" w:space="0" w:color="auto"/>
      </w:divBdr>
      <w:divsChild>
        <w:div w:id="543912165">
          <w:marLeft w:val="0"/>
          <w:marRight w:val="0"/>
          <w:marTop w:val="0"/>
          <w:marBottom w:val="0"/>
          <w:divBdr>
            <w:top w:val="none" w:sz="0" w:space="0" w:color="auto"/>
            <w:left w:val="none" w:sz="0" w:space="0" w:color="auto"/>
            <w:bottom w:val="none" w:sz="0" w:space="0" w:color="auto"/>
            <w:right w:val="none" w:sz="0" w:space="0" w:color="auto"/>
          </w:divBdr>
        </w:div>
      </w:divsChild>
    </w:div>
    <w:div w:id="913008838">
      <w:bodyDiv w:val="1"/>
      <w:marLeft w:val="0"/>
      <w:marRight w:val="0"/>
      <w:marTop w:val="0"/>
      <w:marBottom w:val="0"/>
      <w:divBdr>
        <w:top w:val="none" w:sz="0" w:space="0" w:color="auto"/>
        <w:left w:val="none" w:sz="0" w:space="0" w:color="auto"/>
        <w:bottom w:val="none" w:sz="0" w:space="0" w:color="auto"/>
        <w:right w:val="none" w:sz="0" w:space="0" w:color="auto"/>
      </w:divBdr>
      <w:divsChild>
        <w:div w:id="428350941">
          <w:marLeft w:val="0"/>
          <w:marRight w:val="0"/>
          <w:marTop w:val="0"/>
          <w:marBottom w:val="0"/>
          <w:divBdr>
            <w:top w:val="none" w:sz="0" w:space="0" w:color="auto"/>
            <w:left w:val="none" w:sz="0" w:space="0" w:color="auto"/>
            <w:bottom w:val="none" w:sz="0" w:space="0" w:color="auto"/>
            <w:right w:val="none" w:sz="0" w:space="0" w:color="auto"/>
          </w:divBdr>
        </w:div>
      </w:divsChild>
    </w:div>
    <w:div w:id="919563880">
      <w:bodyDiv w:val="1"/>
      <w:marLeft w:val="0"/>
      <w:marRight w:val="0"/>
      <w:marTop w:val="0"/>
      <w:marBottom w:val="0"/>
      <w:divBdr>
        <w:top w:val="none" w:sz="0" w:space="0" w:color="auto"/>
        <w:left w:val="none" w:sz="0" w:space="0" w:color="auto"/>
        <w:bottom w:val="none" w:sz="0" w:space="0" w:color="auto"/>
        <w:right w:val="none" w:sz="0" w:space="0" w:color="auto"/>
      </w:divBdr>
      <w:divsChild>
        <w:div w:id="650258343">
          <w:marLeft w:val="0"/>
          <w:marRight w:val="0"/>
          <w:marTop w:val="0"/>
          <w:marBottom w:val="0"/>
          <w:divBdr>
            <w:top w:val="none" w:sz="0" w:space="0" w:color="auto"/>
            <w:left w:val="none" w:sz="0" w:space="0" w:color="auto"/>
            <w:bottom w:val="none" w:sz="0" w:space="0" w:color="auto"/>
            <w:right w:val="none" w:sz="0" w:space="0" w:color="auto"/>
          </w:divBdr>
        </w:div>
      </w:divsChild>
    </w:div>
    <w:div w:id="926888413">
      <w:bodyDiv w:val="1"/>
      <w:marLeft w:val="0"/>
      <w:marRight w:val="0"/>
      <w:marTop w:val="0"/>
      <w:marBottom w:val="0"/>
      <w:divBdr>
        <w:top w:val="none" w:sz="0" w:space="0" w:color="auto"/>
        <w:left w:val="none" w:sz="0" w:space="0" w:color="auto"/>
        <w:bottom w:val="none" w:sz="0" w:space="0" w:color="auto"/>
        <w:right w:val="none" w:sz="0" w:space="0" w:color="auto"/>
      </w:divBdr>
      <w:divsChild>
        <w:div w:id="934366225">
          <w:marLeft w:val="0"/>
          <w:marRight w:val="0"/>
          <w:marTop w:val="0"/>
          <w:marBottom w:val="0"/>
          <w:divBdr>
            <w:top w:val="none" w:sz="0" w:space="0" w:color="auto"/>
            <w:left w:val="none" w:sz="0" w:space="0" w:color="auto"/>
            <w:bottom w:val="none" w:sz="0" w:space="0" w:color="auto"/>
            <w:right w:val="none" w:sz="0" w:space="0" w:color="auto"/>
          </w:divBdr>
        </w:div>
      </w:divsChild>
    </w:div>
    <w:div w:id="949780304">
      <w:bodyDiv w:val="1"/>
      <w:marLeft w:val="0"/>
      <w:marRight w:val="0"/>
      <w:marTop w:val="0"/>
      <w:marBottom w:val="0"/>
      <w:divBdr>
        <w:top w:val="none" w:sz="0" w:space="0" w:color="auto"/>
        <w:left w:val="none" w:sz="0" w:space="0" w:color="auto"/>
        <w:bottom w:val="none" w:sz="0" w:space="0" w:color="auto"/>
        <w:right w:val="none" w:sz="0" w:space="0" w:color="auto"/>
      </w:divBdr>
      <w:divsChild>
        <w:div w:id="1763188192">
          <w:marLeft w:val="0"/>
          <w:marRight w:val="0"/>
          <w:marTop w:val="0"/>
          <w:marBottom w:val="0"/>
          <w:divBdr>
            <w:top w:val="none" w:sz="0" w:space="0" w:color="auto"/>
            <w:left w:val="none" w:sz="0" w:space="0" w:color="auto"/>
            <w:bottom w:val="none" w:sz="0" w:space="0" w:color="auto"/>
            <w:right w:val="none" w:sz="0" w:space="0" w:color="auto"/>
          </w:divBdr>
        </w:div>
      </w:divsChild>
    </w:div>
    <w:div w:id="963191142">
      <w:bodyDiv w:val="1"/>
      <w:marLeft w:val="0"/>
      <w:marRight w:val="0"/>
      <w:marTop w:val="0"/>
      <w:marBottom w:val="0"/>
      <w:divBdr>
        <w:top w:val="none" w:sz="0" w:space="0" w:color="auto"/>
        <w:left w:val="none" w:sz="0" w:space="0" w:color="auto"/>
        <w:bottom w:val="none" w:sz="0" w:space="0" w:color="auto"/>
        <w:right w:val="none" w:sz="0" w:space="0" w:color="auto"/>
      </w:divBdr>
    </w:div>
    <w:div w:id="985084741">
      <w:bodyDiv w:val="1"/>
      <w:marLeft w:val="0"/>
      <w:marRight w:val="0"/>
      <w:marTop w:val="0"/>
      <w:marBottom w:val="0"/>
      <w:divBdr>
        <w:top w:val="none" w:sz="0" w:space="0" w:color="auto"/>
        <w:left w:val="none" w:sz="0" w:space="0" w:color="auto"/>
        <w:bottom w:val="none" w:sz="0" w:space="0" w:color="auto"/>
        <w:right w:val="none" w:sz="0" w:space="0" w:color="auto"/>
      </w:divBdr>
      <w:divsChild>
        <w:div w:id="1596210712">
          <w:marLeft w:val="0"/>
          <w:marRight w:val="0"/>
          <w:marTop w:val="0"/>
          <w:marBottom w:val="0"/>
          <w:divBdr>
            <w:top w:val="none" w:sz="0" w:space="0" w:color="auto"/>
            <w:left w:val="none" w:sz="0" w:space="0" w:color="auto"/>
            <w:bottom w:val="none" w:sz="0" w:space="0" w:color="auto"/>
            <w:right w:val="none" w:sz="0" w:space="0" w:color="auto"/>
          </w:divBdr>
        </w:div>
      </w:divsChild>
    </w:div>
    <w:div w:id="992443637">
      <w:bodyDiv w:val="1"/>
      <w:marLeft w:val="0"/>
      <w:marRight w:val="0"/>
      <w:marTop w:val="0"/>
      <w:marBottom w:val="0"/>
      <w:divBdr>
        <w:top w:val="none" w:sz="0" w:space="0" w:color="auto"/>
        <w:left w:val="none" w:sz="0" w:space="0" w:color="auto"/>
        <w:bottom w:val="none" w:sz="0" w:space="0" w:color="auto"/>
        <w:right w:val="none" w:sz="0" w:space="0" w:color="auto"/>
      </w:divBdr>
    </w:div>
    <w:div w:id="1008751865">
      <w:bodyDiv w:val="1"/>
      <w:marLeft w:val="0"/>
      <w:marRight w:val="0"/>
      <w:marTop w:val="0"/>
      <w:marBottom w:val="0"/>
      <w:divBdr>
        <w:top w:val="none" w:sz="0" w:space="0" w:color="auto"/>
        <w:left w:val="none" w:sz="0" w:space="0" w:color="auto"/>
        <w:bottom w:val="none" w:sz="0" w:space="0" w:color="auto"/>
        <w:right w:val="none" w:sz="0" w:space="0" w:color="auto"/>
      </w:divBdr>
      <w:divsChild>
        <w:div w:id="1570072701">
          <w:marLeft w:val="0"/>
          <w:marRight w:val="0"/>
          <w:marTop w:val="0"/>
          <w:marBottom w:val="0"/>
          <w:divBdr>
            <w:top w:val="none" w:sz="0" w:space="0" w:color="auto"/>
            <w:left w:val="none" w:sz="0" w:space="0" w:color="auto"/>
            <w:bottom w:val="none" w:sz="0" w:space="0" w:color="auto"/>
            <w:right w:val="none" w:sz="0" w:space="0" w:color="auto"/>
          </w:divBdr>
        </w:div>
      </w:divsChild>
    </w:div>
    <w:div w:id="1061487500">
      <w:bodyDiv w:val="1"/>
      <w:marLeft w:val="0"/>
      <w:marRight w:val="0"/>
      <w:marTop w:val="0"/>
      <w:marBottom w:val="0"/>
      <w:divBdr>
        <w:top w:val="none" w:sz="0" w:space="0" w:color="auto"/>
        <w:left w:val="none" w:sz="0" w:space="0" w:color="auto"/>
        <w:bottom w:val="none" w:sz="0" w:space="0" w:color="auto"/>
        <w:right w:val="none" w:sz="0" w:space="0" w:color="auto"/>
      </w:divBdr>
      <w:divsChild>
        <w:div w:id="2095008228">
          <w:marLeft w:val="0"/>
          <w:marRight w:val="0"/>
          <w:marTop w:val="0"/>
          <w:marBottom w:val="0"/>
          <w:divBdr>
            <w:top w:val="none" w:sz="0" w:space="0" w:color="auto"/>
            <w:left w:val="none" w:sz="0" w:space="0" w:color="auto"/>
            <w:bottom w:val="none" w:sz="0" w:space="0" w:color="auto"/>
            <w:right w:val="none" w:sz="0" w:space="0" w:color="auto"/>
          </w:divBdr>
        </w:div>
      </w:divsChild>
    </w:div>
    <w:div w:id="1119107193">
      <w:bodyDiv w:val="1"/>
      <w:marLeft w:val="0"/>
      <w:marRight w:val="0"/>
      <w:marTop w:val="0"/>
      <w:marBottom w:val="0"/>
      <w:divBdr>
        <w:top w:val="none" w:sz="0" w:space="0" w:color="auto"/>
        <w:left w:val="none" w:sz="0" w:space="0" w:color="auto"/>
        <w:bottom w:val="none" w:sz="0" w:space="0" w:color="auto"/>
        <w:right w:val="none" w:sz="0" w:space="0" w:color="auto"/>
      </w:divBdr>
      <w:divsChild>
        <w:div w:id="994726242">
          <w:marLeft w:val="0"/>
          <w:marRight w:val="0"/>
          <w:marTop w:val="0"/>
          <w:marBottom w:val="0"/>
          <w:divBdr>
            <w:top w:val="none" w:sz="0" w:space="0" w:color="auto"/>
            <w:left w:val="none" w:sz="0" w:space="0" w:color="auto"/>
            <w:bottom w:val="none" w:sz="0" w:space="0" w:color="auto"/>
            <w:right w:val="none" w:sz="0" w:space="0" w:color="auto"/>
          </w:divBdr>
        </w:div>
      </w:divsChild>
    </w:div>
    <w:div w:id="1154761455">
      <w:bodyDiv w:val="1"/>
      <w:marLeft w:val="0"/>
      <w:marRight w:val="0"/>
      <w:marTop w:val="0"/>
      <w:marBottom w:val="0"/>
      <w:divBdr>
        <w:top w:val="none" w:sz="0" w:space="0" w:color="auto"/>
        <w:left w:val="none" w:sz="0" w:space="0" w:color="auto"/>
        <w:bottom w:val="none" w:sz="0" w:space="0" w:color="auto"/>
        <w:right w:val="none" w:sz="0" w:space="0" w:color="auto"/>
      </w:divBdr>
      <w:divsChild>
        <w:div w:id="194736658">
          <w:marLeft w:val="1080"/>
          <w:marRight w:val="0"/>
          <w:marTop w:val="100"/>
          <w:marBottom w:val="0"/>
          <w:divBdr>
            <w:top w:val="none" w:sz="0" w:space="0" w:color="auto"/>
            <w:left w:val="none" w:sz="0" w:space="0" w:color="auto"/>
            <w:bottom w:val="none" w:sz="0" w:space="0" w:color="auto"/>
            <w:right w:val="none" w:sz="0" w:space="0" w:color="auto"/>
          </w:divBdr>
        </w:div>
      </w:divsChild>
    </w:div>
    <w:div w:id="1166282989">
      <w:bodyDiv w:val="1"/>
      <w:marLeft w:val="0"/>
      <w:marRight w:val="0"/>
      <w:marTop w:val="0"/>
      <w:marBottom w:val="0"/>
      <w:divBdr>
        <w:top w:val="none" w:sz="0" w:space="0" w:color="auto"/>
        <w:left w:val="none" w:sz="0" w:space="0" w:color="auto"/>
        <w:bottom w:val="none" w:sz="0" w:space="0" w:color="auto"/>
        <w:right w:val="none" w:sz="0" w:space="0" w:color="auto"/>
      </w:divBdr>
      <w:divsChild>
        <w:div w:id="1482650287">
          <w:marLeft w:val="0"/>
          <w:marRight w:val="0"/>
          <w:marTop w:val="0"/>
          <w:marBottom w:val="0"/>
          <w:divBdr>
            <w:top w:val="none" w:sz="0" w:space="0" w:color="auto"/>
            <w:left w:val="none" w:sz="0" w:space="0" w:color="auto"/>
            <w:bottom w:val="none" w:sz="0" w:space="0" w:color="auto"/>
            <w:right w:val="none" w:sz="0" w:space="0" w:color="auto"/>
          </w:divBdr>
        </w:div>
      </w:divsChild>
    </w:div>
    <w:div w:id="1181503038">
      <w:bodyDiv w:val="1"/>
      <w:marLeft w:val="0"/>
      <w:marRight w:val="0"/>
      <w:marTop w:val="0"/>
      <w:marBottom w:val="0"/>
      <w:divBdr>
        <w:top w:val="none" w:sz="0" w:space="0" w:color="auto"/>
        <w:left w:val="none" w:sz="0" w:space="0" w:color="auto"/>
        <w:bottom w:val="none" w:sz="0" w:space="0" w:color="auto"/>
        <w:right w:val="none" w:sz="0" w:space="0" w:color="auto"/>
      </w:divBdr>
      <w:divsChild>
        <w:div w:id="2115317588">
          <w:marLeft w:val="0"/>
          <w:marRight w:val="0"/>
          <w:marTop w:val="0"/>
          <w:marBottom w:val="0"/>
          <w:divBdr>
            <w:top w:val="none" w:sz="0" w:space="0" w:color="auto"/>
            <w:left w:val="none" w:sz="0" w:space="0" w:color="auto"/>
            <w:bottom w:val="none" w:sz="0" w:space="0" w:color="auto"/>
            <w:right w:val="none" w:sz="0" w:space="0" w:color="auto"/>
          </w:divBdr>
        </w:div>
      </w:divsChild>
    </w:div>
    <w:div w:id="1216552030">
      <w:bodyDiv w:val="1"/>
      <w:marLeft w:val="0"/>
      <w:marRight w:val="0"/>
      <w:marTop w:val="0"/>
      <w:marBottom w:val="0"/>
      <w:divBdr>
        <w:top w:val="none" w:sz="0" w:space="0" w:color="auto"/>
        <w:left w:val="none" w:sz="0" w:space="0" w:color="auto"/>
        <w:bottom w:val="none" w:sz="0" w:space="0" w:color="auto"/>
        <w:right w:val="none" w:sz="0" w:space="0" w:color="auto"/>
      </w:divBdr>
      <w:divsChild>
        <w:div w:id="1138915779">
          <w:marLeft w:val="0"/>
          <w:marRight w:val="0"/>
          <w:marTop w:val="0"/>
          <w:marBottom w:val="0"/>
          <w:divBdr>
            <w:top w:val="none" w:sz="0" w:space="0" w:color="auto"/>
            <w:left w:val="none" w:sz="0" w:space="0" w:color="auto"/>
            <w:bottom w:val="none" w:sz="0" w:space="0" w:color="auto"/>
            <w:right w:val="none" w:sz="0" w:space="0" w:color="auto"/>
          </w:divBdr>
        </w:div>
      </w:divsChild>
    </w:div>
    <w:div w:id="1237012168">
      <w:bodyDiv w:val="1"/>
      <w:marLeft w:val="0"/>
      <w:marRight w:val="0"/>
      <w:marTop w:val="0"/>
      <w:marBottom w:val="0"/>
      <w:divBdr>
        <w:top w:val="none" w:sz="0" w:space="0" w:color="auto"/>
        <w:left w:val="none" w:sz="0" w:space="0" w:color="auto"/>
        <w:bottom w:val="none" w:sz="0" w:space="0" w:color="auto"/>
        <w:right w:val="none" w:sz="0" w:space="0" w:color="auto"/>
      </w:divBdr>
    </w:div>
    <w:div w:id="1260413569">
      <w:bodyDiv w:val="1"/>
      <w:marLeft w:val="0"/>
      <w:marRight w:val="0"/>
      <w:marTop w:val="0"/>
      <w:marBottom w:val="0"/>
      <w:divBdr>
        <w:top w:val="none" w:sz="0" w:space="0" w:color="auto"/>
        <w:left w:val="none" w:sz="0" w:space="0" w:color="auto"/>
        <w:bottom w:val="none" w:sz="0" w:space="0" w:color="auto"/>
        <w:right w:val="none" w:sz="0" w:space="0" w:color="auto"/>
      </w:divBdr>
      <w:divsChild>
        <w:div w:id="542601926">
          <w:marLeft w:val="0"/>
          <w:marRight w:val="0"/>
          <w:marTop w:val="0"/>
          <w:marBottom w:val="0"/>
          <w:divBdr>
            <w:top w:val="none" w:sz="0" w:space="0" w:color="auto"/>
            <w:left w:val="none" w:sz="0" w:space="0" w:color="auto"/>
            <w:bottom w:val="none" w:sz="0" w:space="0" w:color="auto"/>
            <w:right w:val="none" w:sz="0" w:space="0" w:color="auto"/>
          </w:divBdr>
        </w:div>
      </w:divsChild>
    </w:div>
    <w:div w:id="1262640183">
      <w:bodyDiv w:val="1"/>
      <w:marLeft w:val="0"/>
      <w:marRight w:val="0"/>
      <w:marTop w:val="0"/>
      <w:marBottom w:val="0"/>
      <w:divBdr>
        <w:top w:val="none" w:sz="0" w:space="0" w:color="auto"/>
        <w:left w:val="none" w:sz="0" w:space="0" w:color="auto"/>
        <w:bottom w:val="none" w:sz="0" w:space="0" w:color="auto"/>
        <w:right w:val="none" w:sz="0" w:space="0" w:color="auto"/>
      </w:divBdr>
      <w:divsChild>
        <w:div w:id="1633756164">
          <w:marLeft w:val="0"/>
          <w:marRight w:val="0"/>
          <w:marTop w:val="0"/>
          <w:marBottom w:val="0"/>
          <w:divBdr>
            <w:top w:val="none" w:sz="0" w:space="0" w:color="auto"/>
            <w:left w:val="none" w:sz="0" w:space="0" w:color="auto"/>
            <w:bottom w:val="none" w:sz="0" w:space="0" w:color="auto"/>
            <w:right w:val="none" w:sz="0" w:space="0" w:color="auto"/>
          </w:divBdr>
        </w:div>
      </w:divsChild>
    </w:div>
    <w:div w:id="1267083557">
      <w:bodyDiv w:val="1"/>
      <w:marLeft w:val="0"/>
      <w:marRight w:val="0"/>
      <w:marTop w:val="0"/>
      <w:marBottom w:val="0"/>
      <w:divBdr>
        <w:top w:val="none" w:sz="0" w:space="0" w:color="auto"/>
        <w:left w:val="none" w:sz="0" w:space="0" w:color="auto"/>
        <w:bottom w:val="none" w:sz="0" w:space="0" w:color="auto"/>
        <w:right w:val="none" w:sz="0" w:space="0" w:color="auto"/>
      </w:divBdr>
      <w:divsChild>
        <w:div w:id="1063985610">
          <w:marLeft w:val="0"/>
          <w:marRight w:val="0"/>
          <w:marTop w:val="0"/>
          <w:marBottom w:val="0"/>
          <w:divBdr>
            <w:top w:val="none" w:sz="0" w:space="0" w:color="auto"/>
            <w:left w:val="none" w:sz="0" w:space="0" w:color="auto"/>
            <w:bottom w:val="none" w:sz="0" w:space="0" w:color="auto"/>
            <w:right w:val="none" w:sz="0" w:space="0" w:color="auto"/>
          </w:divBdr>
        </w:div>
      </w:divsChild>
    </w:div>
    <w:div w:id="1271861601">
      <w:bodyDiv w:val="1"/>
      <w:marLeft w:val="0"/>
      <w:marRight w:val="0"/>
      <w:marTop w:val="0"/>
      <w:marBottom w:val="0"/>
      <w:divBdr>
        <w:top w:val="none" w:sz="0" w:space="0" w:color="auto"/>
        <w:left w:val="none" w:sz="0" w:space="0" w:color="auto"/>
        <w:bottom w:val="none" w:sz="0" w:space="0" w:color="auto"/>
        <w:right w:val="none" w:sz="0" w:space="0" w:color="auto"/>
      </w:divBdr>
      <w:divsChild>
        <w:div w:id="675885331">
          <w:marLeft w:val="547"/>
          <w:marRight w:val="0"/>
          <w:marTop w:val="0"/>
          <w:marBottom w:val="0"/>
          <w:divBdr>
            <w:top w:val="none" w:sz="0" w:space="0" w:color="auto"/>
            <w:left w:val="none" w:sz="0" w:space="0" w:color="auto"/>
            <w:bottom w:val="none" w:sz="0" w:space="0" w:color="auto"/>
            <w:right w:val="none" w:sz="0" w:space="0" w:color="auto"/>
          </w:divBdr>
        </w:div>
      </w:divsChild>
    </w:div>
    <w:div w:id="1274510069">
      <w:bodyDiv w:val="1"/>
      <w:marLeft w:val="0"/>
      <w:marRight w:val="0"/>
      <w:marTop w:val="0"/>
      <w:marBottom w:val="0"/>
      <w:divBdr>
        <w:top w:val="none" w:sz="0" w:space="0" w:color="auto"/>
        <w:left w:val="none" w:sz="0" w:space="0" w:color="auto"/>
        <w:bottom w:val="none" w:sz="0" w:space="0" w:color="auto"/>
        <w:right w:val="none" w:sz="0" w:space="0" w:color="auto"/>
      </w:divBdr>
    </w:div>
    <w:div w:id="1284115927">
      <w:bodyDiv w:val="1"/>
      <w:marLeft w:val="0"/>
      <w:marRight w:val="0"/>
      <w:marTop w:val="0"/>
      <w:marBottom w:val="0"/>
      <w:divBdr>
        <w:top w:val="none" w:sz="0" w:space="0" w:color="auto"/>
        <w:left w:val="none" w:sz="0" w:space="0" w:color="auto"/>
        <w:bottom w:val="none" w:sz="0" w:space="0" w:color="auto"/>
        <w:right w:val="none" w:sz="0" w:space="0" w:color="auto"/>
      </w:divBdr>
      <w:divsChild>
        <w:div w:id="1311640772">
          <w:marLeft w:val="0"/>
          <w:marRight w:val="0"/>
          <w:marTop w:val="0"/>
          <w:marBottom w:val="0"/>
          <w:divBdr>
            <w:top w:val="none" w:sz="0" w:space="0" w:color="auto"/>
            <w:left w:val="none" w:sz="0" w:space="0" w:color="auto"/>
            <w:bottom w:val="none" w:sz="0" w:space="0" w:color="auto"/>
            <w:right w:val="none" w:sz="0" w:space="0" w:color="auto"/>
          </w:divBdr>
        </w:div>
      </w:divsChild>
    </w:div>
    <w:div w:id="1295671154">
      <w:bodyDiv w:val="1"/>
      <w:marLeft w:val="0"/>
      <w:marRight w:val="0"/>
      <w:marTop w:val="0"/>
      <w:marBottom w:val="0"/>
      <w:divBdr>
        <w:top w:val="none" w:sz="0" w:space="0" w:color="auto"/>
        <w:left w:val="none" w:sz="0" w:space="0" w:color="auto"/>
        <w:bottom w:val="none" w:sz="0" w:space="0" w:color="auto"/>
        <w:right w:val="none" w:sz="0" w:space="0" w:color="auto"/>
      </w:divBdr>
      <w:divsChild>
        <w:div w:id="1306813936">
          <w:marLeft w:val="0"/>
          <w:marRight w:val="0"/>
          <w:marTop w:val="0"/>
          <w:marBottom w:val="0"/>
          <w:divBdr>
            <w:top w:val="none" w:sz="0" w:space="0" w:color="auto"/>
            <w:left w:val="none" w:sz="0" w:space="0" w:color="auto"/>
            <w:bottom w:val="none" w:sz="0" w:space="0" w:color="auto"/>
            <w:right w:val="none" w:sz="0" w:space="0" w:color="auto"/>
          </w:divBdr>
        </w:div>
      </w:divsChild>
    </w:div>
    <w:div w:id="1327200076">
      <w:bodyDiv w:val="1"/>
      <w:marLeft w:val="0"/>
      <w:marRight w:val="0"/>
      <w:marTop w:val="0"/>
      <w:marBottom w:val="0"/>
      <w:divBdr>
        <w:top w:val="none" w:sz="0" w:space="0" w:color="auto"/>
        <w:left w:val="none" w:sz="0" w:space="0" w:color="auto"/>
        <w:bottom w:val="none" w:sz="0" w:space="0" w:color="auto"/>
        <w:right w:val="none" w:sz="0" w:space="0" w:color="auto"/>
      </w:divBdr>
      <w:divsChild>
        <w:div w:id="982003681">
          <w:marLeft w:val="0"/>
          <w:marRight w:val="0"/>
          <w:marTop w:val="0"/>
          <w:marBottom w:val="0"/>
          <w:divBdr>
            <w:top w:val="none" w:sz="0" w:space="0" w:color="auto"/>
            <w:left w:val="none" w:sz="0" w:space="0" w:color="auto"/>
            <w:bottom w:val="none" w:sz="0" w:space="0" w:color="auto"/>
            <w:right w:val="none" w:sz="0" w:space="0" w:color="auto"/>
          </w:divBdr>
        </w:div>
      </w:divsChild>
    </w:div>
    <w:div w:id="1329869185">
      <w:bodyDiv w:val="1"/>
      <w:marLeft w:val="0"/>
      <w:marRight w:val="0"/>
      <w:marTop w:val="0"/>
      <w:marBottom w:val="0"/>
      <w:divBdr>
        <w:top w:val="none" w:sz="0" w:space="0" w:color="auto"/>
        <w:left w:val="none" w:sz="0" w:space="0" w:color="auto"/>
        <w:bottom w:val="none" w:sz="0" w:space="0" w:color="auto"/>
        <w:right w:val="none" w:sz="0" w:space="0" w:color="auto"/>
      </w:divBdr>
    </w:div>
    <w:div w:id="1348871227">
      <w:bodyDiv w:val="1"/>
      <w:marLeft w:val="0"/>
      <w:marRight w:val="0"/>
      <w:marTop w:val="0"/>
      <w:marBottom w:val="0"/>
      <w:divBdr>
        <w:top w:val="none" w:sz="0" w:space="0" w:color="auto"/>
        <w:left w:val="none" w:sz="0" w:space="0" w:color="auto"/>
        <w:bottom w:val="none" w:sz="0" w:space="0" w:color="auto"/>
        <w:right w:val="none" w:sz="0" w:space="0" w:color="auto"/>
      </w:divBdr>
      <w:divsChild>
        <w:div w:id="282853742">
          <w:marLeft w:val="0"/>
          <w:marRight w:val="0"/>
          <w:marTop w:val="0"/>
          <w:marBottom w:val="0"/>
          <w:divBdr>
            <w:top w:val="none" w:sz="0" w:space="0" w:color="auto"/>
            <w:left w:val="none" w:sz="0" w:space="0" w:color="auto"/>
            <w:bottom w:val="none" w:sz="0" w:space="0" w:color="auto"/>
            <w:right w:val="none" w:sz="0" w:space="0" w:color="auto"/>
          </w:divBdr>
        </w:div>
      </w:divsChild>
    </w:div>
    <w:div w:id="1352754641">
      <w:bodyDiv w:val="1"/>
      <w:marLeft w:val="0"/>
      <w:marRight w:val="0"/>
      <w:marTop w:val="0"/>
      <w:marBottom w:val="0"/>
      <w:divBdr>
        <w:top w:val="none" w:sz="0" w:space="0" w:color="auto"/>
        <w:left w:val="none" w:sz="0" w:space="0" w:color="auto"/>
        <w:bottom w:val="none" w:sz="0" w:space="0" w:color="auto"/>
        <w:right w:val="none" w:sz="0" w:space="0" w:color="auto"/>
      </w:divBdr>
    </w:div>
    <w:div w:id="1364599894">
      <w:bodyDiv w:val="1"/>
      <w:marLeft w:val="0"/>
      <w:marRight w:val="0"/>
      <w:marTop w:val="0"/>
      <w:marBottom w:val="0"/>
      <w:divBdr>
        <w:top w:val="none" w:sz="0" w:space="0" w:color="auto"/>
        <w:left w:val="none" w:sz="0" w:space="0" w:color="auto"/>
        <w:bottom w:val="none" w:sz="0" w:space="0" w:color="auto"/>
        <w:right w:val="none" w:sz="0" w:space="0" w:color="auto"/>
      </w:divBdr>
      <w:divsChild>
        <w:div w:id="161897631">
          <w:marLeft w:val="0"/>
          <w:marRight w:val="0"/>
          <w:marTop w:val="0"/>
          <w:marBottom w:val="0"/>
          <w:divBdr>
            <w:top w:val="none" w:sz="0" w:space="0" w:color="auto"/>
            <w:left w:val="none" w:sz="0" w:space="0" w:color="auto"/>
            <w:bottom w:val="none" w:sz="0" w:space="0" w:color="auto"/>
            <w:right w:val="none" w:sz="0" w:space="0" w:color="auto"/>
          </w:divBdr>
        </w:div>
      </w:divsChild>
    </w:div>
    <w:div w:id="1412703417">
      <w:bodyDiv w:val="1"/>
      <w:marLeft w:val="0"/>
      <w:marRight w:val="0"/>
      <w:marTop w:val="0"/>
      <w:marBottom w:val="0"/>
      <w:divBdr>
        <w:top w:val="none" w:sz="0" w:space="0" w:color="auto"/>
        <w:left w:val="none" w:sz="0" w:space="0" w:color="auto"/>
        <w:bottom w:val="none" w:sz="0" w:space="0" w:color="auto"/>
        <w:right w:val="none" w:sz="0" w:space="0" w:color="auto"/>
      </w:divBdr>
      <w:divsChild>
        <w:div w:id="1434012446">
          <w:marLeft w:val="0"/>
          <w:marRight w:val="0"/>
          <w:marTop w:val="0"/>
          <w:marBottom w:val="0"/>
          <w:divBdr>
            <w:top w:val="none" w:sz="0" w:space="0" w:color="auto"/>
            <w:left w:val="none" w:sz="0" w:space="0" w:color="auto"/>
            <w:bottom w:val="none" w:sz="0" w:space="0" w:color="auto"/>
            <w:right w:val="none" w:sz="0" w:space="0" w:color="auto"/>
          </w:divBdr>
        </w:div>
      </w:divsChild>
    </w:div>
    <w:div w:id="1419714903">
      <w:bodyDiv w:val="1"/>
      <w:marLeft w:val="0"/>
      <w:marRight w:val="0"/>
      <w:marTop w:val="0"/>
      <w:marBottom w:val="0"/>
      <w:divBdr>
        <w:top w:val="none" w:sz="0" w:space="0" w:color="auto"/>
        <w:left w:val="none" w:sz="0" w:space="0" w:color="auto"/>
        <w:bottom w:val="none" w:sz="0" w:space="0" w:color="auto"/>
        <w:right w:val="none" w:sz="0" w:space="0" w:color="auto"/>
      </w:divBdr>
      <w:divsChild>
        <w:div w:id="1697071968">
          <w:marLeft w:val="0"/>
          <w:marRight w:val="0"/>
          <w:marTop w:val="0"/>
          <w:marBottom w:val="0"/>
          <w:divBdr>
            <w:top w:val="none" w:sz="0" w:space="0" w:color="auto"/>
            <w:left w:val="none" w:sz="0" w:space="0" w:color="auto"/>
            <w:bottom w:val="none" w:sz="0" w:space="0" w:color="auto"/>
            <w:right w:val="none" w:sz="0" w:space="0" w:color="auto"/>
          </w:divBdr>
        </w:div>
      </w:divsChild>
    </w:div>
    <w:div w:id="1424378462">
      <w:bodyDiv w:val="1"/>
      <w:marLeft w:val="0"/>
      <w:marRight w:val="0"/>
      <w:marTop w:val="0"/>
      <w:marBottom w:val="0"/>
      <w:divBdr>
        <w:top w:val="none" w:sz="0" w:space="0" w:color="auto"/>
        <w:left w:val="none" w:sz="0" w:space="0" w:color="auto"/>
        <w:bottom w:val="none" w:sz="0" w:space="0" w:color="auto"/>
        <w:right w:val="none" w:sz="0" w:space="0" w:color="auto"/>
      </w:divBdr>
      <w:divsChild>
        <w:div w:id="986907207">
          <w:marLeft w:val="0"/>
          <w:marRight w:val="0"/>
          <w:marTop w:val="0"/>
          <w:marBottom w:val="0"/>
          <w:divBdr>
            <w:top w:val="none" w:sz="0" w:space="0" w:color="auto"/>
            <w:left w:val="none" w:sz="0" w:space="0" w:color="auto"/>
            <w:bottom w:val="none" w:sz="0" w:space="0" w:color="auto"/>
            <w:right w:val="none" w:sz="0" w:space="0" w:color="auto"/>
          </w:divBdr>
        </w:div>
      </w:divsChild>
    </w:div>
    <w:div w:id="1450852861">
      <w:bodyDiv w:val="1"/>
      <w:marLeft w:val="0"/>
      <w:marRight w:val="0"/>
      <w:marTop w:val="0"/>
      <w:marBottom w:val="0"/>
      <w:divBdr>
        <w:top w:val="none" w:sz="0" w:space="0" w:color="auto"/>
        <w:left w:val="none" w:sz="0" w:space="0" w:color="auto"/>
        <w:bottom w:val="none" w:sz="0" w:space="0" w:color="auto"/>
        <w:right w:val="none" w:sz="0" w:space="0" w:color="auto"/>
      </w:divBdr>
    </w:div>
    <w:div w:id="1460565624">
      <w:bodyDiv w:val="1"/>
      <w:marLeft w:val="0"/>
      <w:marRight w:val="0"/>
      <w:marTop w:val="0"/>
      <w:marBottom w:val="0"/>
      <w:divBdr>
        <w:top w:val="none" w:sz="0" w:space="0" w:color="auto"/>
        <w:left w:val="none" w:sz="0" w:space="0" w:color="auto"/>
        <w:bottom w:val="none" w:sz="0" w:space="0" w:color="auto"/>
        <w:right w:val="none" w:sz="0" w:space="0" w:color="auto"/>
      </w:divBdr>
      <w:divsChild>
        <w:div w:id="669258005">
          <w:marLeft w:val="0"/>
          <w:marRight w:val="0"/>
          <w:marTop w:val="0"/>
          <w:marBottom w:val="0"/>
          <w:divBdr>
            <w:top w:val="none" w:sz="0" w:space="0" w:color="auto"/>
            <w:left w:val="none" w:sz="0" w:space="0" w:color="auto"/>
            <w:bottom w:val="none" w:sz="0" w:space="0" w:color="auto"/>
            <w:right w:val="none" w:sz="0" w:space="0" w:color="auto"/>
          </w:divBdr>
        </w:div>
      </w:divsChild>
    </w:div>
    <w:div w:id="1462381818">
      <w:bodyDiv w:val="1"/>
      <w:marLeft w:val="0"/>
      <w:marRight w:val="0"/>
      <w:marTop w:val="0"/>
      <w:marBottom w:val="0"/>
      <w:divBdr>
        <w:top w:val="none" w:sz="0" w:space="0" w:color="auto"/>
        <w:left w:val="none" w:sz="0" w:space="0" w:color="auto"/>
        <w:bottom w:val="none" w:sz="0" w:space="0" w:color="auto"/>
        <w:right w:val="none" w:sz="0" w:space="0" w:color="auto"/>
      </w:divBdr>
      <w:divsChild>
        <w:div w:id="644509883">
          <w:marLeft w:val="0"/>
          <w:marRight w:val="0"/>
          <w:marTop w:val="0"/>
          <w:marBottom w:val="0"/>
          <w:divBdr>
            <w:top w:val="none" w:sz="0" w:space="0" w:color="auto"/>
            <w:left w:val="none" w:sz="0" w:space="0" w:color="auto"/>
            <w:bottom w:val="none" w:sz="0" w:space="0" w:color="auto"/>
            <w:right w:val="none" w:sz="0" w:space="0" w:color="auto"/>
          </w:divBdr>
        </w:div>
      </w:divsChild>
    </w:div>
    <w:div w:id="1462919564">
      <w:bodyDiv w:val="1"/>
      <w:marLeft w:val="0"/>
      <w:marRight w:val="0"/>
      <w:marTop w:val="0"/>
      <w:marBottom w:val="0"/>
      <w:divBdr>
        <w:top w:val="none" w:sz="0" w:space="0" w:color="auto"/>
        <w:left w:val="none" w:sz="0" w:space="0" w:color="auto"/>
        <w:bottom w:val="none" w:sz="0" w:space="0" w:color="auto"/>
        <w:right w:val="none" w:sz="0" w:space="0" w:color="auto"/>
      </w:divBdr>
    </w:div>
    <w:div w:id="1499341816">
      <w:bodyDiv w:val="1"/>
      <w:marLeft w:val="0"/>
      <w:marRight w:val="0"/>
      <w:marTop w:val="0"/>
      <w:marBottom w:val="0"/>
      <w:divBdr>
        <w:top w:val="none" w:sz="0" w:space="0" w:color="auto"/>
        <w:left w:val="none" w:sz="0" w:space="0" w:color="auto"/>
        <w:bottom w:val="none" w:sz="0" w:space="0" w:color="auto"/>
        <w:right w:val="none" w:sz="0" w:space="0" w:color="auto"/>
      </w:divBdr>
      <w:divsChild>
        <w:div w:id="1823814358">
          <w:marLeft w:val="0"/>
          <w:marRight w:val="0"/>
          <w:marTop w:val="0"/>
          <w:marBottom w:val="0"/>
          <w:divBdr>
            <w:top w:val="none" w:sz="0" w:space="0" w:color="auto"/>
            <w:left w:val="none" w:sz="0" w:space="0" w:color="auto"/>
            <w:bottom w:val="none" w:sz="0" w:space="0" w:color="auto"/>
            <w:right w:val="none" w:sz="0" w:space="0" w:color="auto"/>
          </w:divBdr>
        </w:div>
      </w:divsChild>
    </w:div>
    <w:div w:id="1509061892">
      <w:bodyDiv w:val="1"/>
      <w:marLeft w:val="0"/>
      <w:marRight w:val="0"/>
      <w:marTop w:val="0"/>
      <w:marBottom w:val="0"/>
      <w:divBdr>
        <w:top w:val="none" w:sz="0" w:space="0" w:color="auto"/>
        <w:left w:val="none" w:sz="0" w:space="0" w:color="auto"/>
        <w:bottom w:val="none" w:sz="0" w:space="0" w:color="auto"/>
        <w:right w:val="none" w:sz="0" w:space="0" w:color="auto"/>
      </w:divBdr>
      <w:divsChild>
        <w:div w:id="1926455415">
          <w:marLeft w:val="0"/>
          <w:marRight w:val="0"/>
          <w:marTop w:val="0"/>
          <w:marBottom w:val="0"/>
          <w:divBdr>
            <w:top w:val="none" w:sz="0" w:space="0" w:color="auto"/>
            <w:left w:val="none" w:sz="0" w:space="0" w:color="auto"/>
            <w:bottom w:val="none" w:sz="0" w:space="0" w:color="auto"/>
            <w:right w:val="none" w:sz="0" w:space="0" w:color="auto"/>
          </w:divBdr>
        </w:div>
      </w:divsChild>
    </w:div>
    <w:div w:id="1522738478">
      <w:bodyDiv w:val="1"/>
      <w:marLeft w:val="0"/>
      <w:marRight w:val="0"/>
      <w:marTop w:val="0"/>
      <w:marBottom w:val="0"/>
      <w:divBdr>
        <w:top w:val="none" w:sz="0" w:space="0" w:color="auto"/>
        <w:left w:val="none" w:sz="0" w:space="0" w:color="auto"/>
        <w:bottom w:val="none" w:sz="0" w:space="0" w:color="auto"/>
        <w:right w:val="none" w:sz="0" w:space="0" w:color="auto"/>
      </w:divBdr>
      <w:divsChild>
        <w:div w:id="2000186591">
          <w:marLeft w:val="0"/>
          <w:marRight w:val="0"/>
          <w:marTop w:val="0"/>
          <w:marBottom w:val="0"/>
          <w:divBdr>
            <w:top w:val="none" w:sz="0" w:space="0" w:color="auto"/>
            <w:left w:val="none" w:sz="0" w:space="0" w:color="auto"/>
            <w:bottom w:val="none" w:sz="0" w:space="0" w:color="auto"/>
            <w:right w:val="none" w:sz="0" w:space="0" w:color="auto"/>
          </w:divBdr>
        </w:div>
      </w:divsChild>
    </w:div>
    <w:div w:id="1536457829">
      <w:bodyDiv w:val="1"/>
      <w:marLeft w:val="0"/>
      <w:marRight w:val="0"/>
      <w:marTop w:val="0"/>
      <w:marBottom w:val="0"/>
      <w:divBdr>
        <w:top w:val="none" w:sz="0" w:space="0" w:color="auto"/>
        <w:left w:val="none" w:sz="0" w:space="0" w:color="auto"/>
        <w:bottom w:val="none" w:sz="0" w:space="0" w:color="auto"/>
        <w:right w:val="none" w:sz="0" w:space="0" w:color="auto"/>
      </w:divBdr>
      <w:divsChild>
        <w:div w:id="1879656662">
          <w:marLeft w:val="0"/>
          <w:marRight w:val="0"/>
          <w:marTop w:val="0"/>
          <w:marBottom w:val="0"/>
          <w:divBdr>
            <w:top w:val="none" w:sz="0" w:space="0" w:color="auto"/>
            <w:left w:val="none" w:sz="0" w:space="0" w:color="auto"/>
            <w:bottom w:val="none" w:sz="0" w:space="0" w:color="auto"/>
            <w:right w:val="none" w:sz="0" w:space="0" w:color="auto"/>
          </w:divBdr>
        </w:div>
      </w:divsChild>
    </w:div>
    <w:div w:id="1557089682">
      <w:bodyDiv w:val="1"/>
      <w:marLeft w:val="0"/>
      <w:marRight w:val="0"/>
      <w:marTop w:val="0"/>
      <w:marBottom w:val="0"/>
      <w:divBdr>
        <w:top w:val="none" w:sz="0" w:space="0" w:color="auto"/>
        <w:left w:val="none" w:sz="0" w:space="0" w:color="auto"/>
        <w:bottom w:val="none" w:sz="0" w:space="0" w:color="auto"/>
        <w:right w:val="none" w:sz="0" w:space="0" w:color="auto"/>
      </w:divBdr>
      <w:divsChild>
        <w:div w:id="614823136">
          <w:marLeft w:val="0"/>
          <w:marRight w:val="0"/>
          <w:marTop w:val="0"/>
          <w:marBottom w:val="0"/>
          <w:divBdr>
            <w:top w:val="none" w:sz="0" w:space="0" w:color="auto"/>
            <w:left w:val="none" w:sz="0" w:space="0" w:color="auto"/>
            <w:bottom w:val="none" w:sz="0" w:space="0" w:color="auto"/>
            <w:right w:val="none" w:sz="0" w:space="0" w:color="auto"/>
          </w:divBdr>
        </w:div>
      </w:divsChild>
    </w:div>
    <w:div w:id="1593705358">
      <w:bodyDiv w:val="1"/>
      <w:marLeft w:val="0"/>
      <w:marRight w:val="0"/>
      <w:marTop w:val="0"/>
      <w:marBottom w:val="0"/>
      <w:divBdr>
        <w:top w:val="none" w:sz="0" w:space="0" w:color="auto"/>
        <w:left w:val="none" w:sz="0" w:space="0" w:color="auto"/>
        <w:bottom w:val="none" w:sz="0" w:space="0" w:color="auto"/>
        <w:right w:val="none" w:sz="0" w:space="0" w:color="auto"/>
      </w:divBdr>
      <w:divsChild>
        <w:div w:id="1984702025">
          <w:marLeft w:val="0"/>
          <w:marRight w:val="0"/>
          <w:marTop w:val="0"/>
          <w:marBottom w:val="0"/>
          <w:divBdr>
            <w:top w:val="none" w:sz="0" w:space="0" w:color="auto"/>
            <w:left w:val="none" w:sz="0" w:space="0" w:color="auto"/>
            <w:bottom w:val="none" w:sz="0" w:space="0" w:color="auto"/>
            <w:right w:val="none" w:sz="0" w:space="0" w:color="auto"/>
          </w:divBdr>
        </w:div>
      </w:divsChild>
    </w:div>
    <w:div w:id="1598556843">
      <w:bodyDiv w:val="1"/>
      <w:marLeft w:val="0"/>
      <w:marRight w:val="0"/>
      <w:marTop w:val="0"/>
      <w:marBottom w:val="0"/>
      <w:divBdr>
        <w:top w:val="none" w:sz="0" w:space="0" w:color="auto"/>
        <w:left w:val="none" w:sz="0" w:space="0" w:color="auto"/>
        <w:bottom w:val="none" w:sz="0" w:space="0" w:color="auto"/>
        <w:right w:val="none" w:sz="0" w:space="0" w:color="auto"/>
      </w:divBdr>
      <w:divsChild>
        <w:div w:id="2050252282">
          <w:marLeft w:val="0"/>
          <w:marRight w:val="0"/>
          <w:marTop w:val="0"/>
          <w:marBottom w:val="0"/>
          <w:divBdr>
            <w:top w:val="none" w:sz="0" w:space="0" w:color="auto"/>
            <w:left w:val="none" w:sz="0" w:space="0" w:color="auto"/>
            <w:bottom w:val="none" w:sz="0" w:space="0" w:color="auto"/>
            <w:right w:val="none" w:sz="0" w:space="0" w:color="auto"/>
          </w:divBdr>
        </w:div>
      </w:divsChild>
    </w:div>
    <w:div w:id="1622766345">
      <w:bodyDiv w:val="1"/>
      <w:marLeft w:val="0"/>
      <w:marRight w:val="0"/>
      <w:marTop w:val="0"/>
      <w:marBottom w:val="0"/>
      <w:divBdr>
        <w:top w:val="none" w:sz="0" w:space="0" w:color="auto"/>
        <w:left w:val="none" w:sz="0" w:space="0" w:color="auto"/>
        <w:bottom w:val="none" w:sz="0" w:space="0" w:color="auto"/>
        <w:right w:val="none" w:sz="0" w:space="0" w:color="auto"/>
      </w:divBdr>
      <w:divsChild>
        <w:div w:id="716974532">
          <w:marLeft w:val="0"/>
          <w:marRight w:val="0"/>
          <w:marTop w:val="0"/>
          <w:marBottom w:val="0"/>
          <w:divBdr>
            <w:top w:val="none" w:sz="0" w:space="0" w:color="auto"/>
            <w:left w:val="none" w:sz="0" w:space="0" w:color="auto"/>
            <w:bottom w:val="none" w:sz="0" w:space="0" w:color="auto"/>
            <w:right w:val="none" w:sz="0" w:space="0" w:color="auto"/>
          </w:divBdr>
        </w:div>
      </w:divsChild>
    </w:div>
    <w:div w:id="1633630148">
      <w:bodyDiv w:val="1"/>
      <w:marLeft w:val="0"/>
      <w:marRight w:val="0"/>
      <w:marTop w:val="0"/>
      <w:marBottom w:val="0"/>
      <w:divBdr>
        <w:top w:val="none" w:sz="0" w:space="0" w:color="auto"/>
        <w:left w:val="none" w:sz="0" w:space="0" w:color="auto"/>
        <w:bottom w:val="none" w:sz="0" w:space="0" w:color="auto"/>
        <w:right w:val="none" w:sz="0" w:space="0" w:color="auto"/>
      </w:divBdr>
    </w:div>
    <w:div w:id="1638294938">
      <w:bodyDiv w:val="1"/>
      <w:marLeft w:val="0"/>
      <w:marRight w:val="0"/>
      <w:marTop w:val="0"/>
      <w:marBottom w:val="0"/>
      <w:divBdr>
        <w:top w:val="none" w:sz="0" w:space="0" w:color="auto"/>
        <w:left w:val="none" w:sz="0" w:space="0" w:color="auto"/>
        <w:bottom w:val="none" w:sz="0" w:space="0" w:color="auto"/>
        <w:right w:val="none" w:sz="0" w:space="0" w:color="auto"/>
      </w:divBdr>
      <w:divsChild>
        <w:div w:id="472525809">
          <w:marLeft w:val="0"/>
          <w:marRight w:val="0"/>
          <w:marTop w:val="0"/>
          <w:marBottom w:val="0"/>
          <w:divBdr>
            <w:top w:val="none" w:sz="0" w:space="0" w:color="auto"/>
            <w:left w:val="none" w:sz="0" w:space="0" w:color="auto"/>
            <w:bottom w:val="none" w:sz="0" w:space="0" w:color="auto"/>
            <w:right w:val="none" w:sz="0" w:space="0" w:color="auto"/>
          </w:divBdr>
        </w:div>
      </w:divsChild>
    </w:div>
    <w:div w:id="1649433705">
      <w:bodyDiv w:val="1"/>
      <w:marLeft w:val="0"/>
      <w:marRight w:val="0"/>
      <w:marTop w:val="0"/>
      <w:marBottom w:val="0"/>
      <w:divBdr>
        <w:top w:val="none" w:sz="0" w:space="0" w:color="auto"/>
        <w:left w:val="none" w:sz="0" w:space="0" w:color="auto"/>
        <w:bottom w:val="none" w:sz="0" w:space="0" w:color="auto"/>
        <w:right w:val="none" w:sz="0" w:space="0" w:color="auto"/>
      </w:divBdr>
      <w:divsChild>
        <w:div w:id="2066367752">
          <w:marLeft w:val="0"/>
          <w:marRight w:val="0"/>
          <w:marTop w:val="0"/>
          <w:marBottom w:val="0"/>
          <w:divBdr>
            <w:top w:val="none" w:sz="0" w:space="0" w:color="auto"/>
            <w:left w:val="none" w:sz="0" w:space="0" w:color="auto"/>
            <w:bottom w:val="none" w:sz="0" w:space="0" w:color="auto"/>
            <w:right w:val="none" w:sz="0" w:space="0" w:color="auto"/>
          </w:divBdr>
        </w:div>
      </w:divsChild>
    </w:div>
    <w:div w:id="1666587485">
      <w:bodyDiv w:val="1"/>
      <w:marLeft w:val="0"/>
      <w:marRight w:val="0"/>
      <w:marTop w:val="0"/>
      <w:marBottom w:val="0"/>
      <w:divBdr>
        <w:top w:val="none" w:sz="0" w:space="0" w:color="auto"/>
        <w:left w:val="none" w:sz="0" w:space="0" w:color="auto"/>
        <w:bottom w:val="none" w:sz="0" w:space="0" w:color="auto"/>
        <w:right w:val="none" w:sz="0" w:space="0" w:color="auto"/>
      </w:divBdr>
      <w:divsChild>
        <w:div w:id="1427384726">
          <w:marLeft w:val="0"/>
          <w:marRight w:val="0"/>
          <w:marTop w:val="0"/>
          <w:marBottom w:val="0"/>
          <w:divBdr>
            <w:top w:val="none" w:sz="0" w:space="0" w:color="auto"/>
            <w:left w:val="none" w:sz="0" w:space="0" w:color="auto"/>
            <w:bottom w:val="none" w:sz="0" w:space="0" w:color="auto"/>
            <w:right w:val="none" w:sz="0" w:space="0" w:color="auto"/>
          </w:divBdr>
        </w:div>
      </w:divsChild>
    </w:div>
    <w:div w:id="1680623261">
      <w:bodyDiv w:val="1"/>
      <w:marLeft w:val="0"/>
      <w:marRight w:val="0"/>
      <w:marTop w:val="0"/>
      <w:marBottom w:val="0"/>
      <w:divBdr>
        <w:top w:val="none" w:sz="0" w:space="0" w:color="auto"/>
        <w:left w:val="none" w:sz="0" w:space="0" w:color="auto"/>
        <w:bottom w:val="none" w:sz="0" w:space="0" w:color="auto"/>
        <w:right w:val="none" w:sz="0" w:space="0" w:color="auto"/>
      </w:divBdr>
    </w:div>
    <w:div w:id="1699042460">
      <w:bodyDiv w:val="1"/>
      <w:marLeft w:val="0"/>
      <w:marRight w:val="0"/>
      <w:marTop w:val="0"/>
      <w:marBottom w:val="0"/>
      <w:divBdr>
        <w:top w:val="none" w:sz="0" w:space="0" w:color="auto"/>
        <w:left w:val="none" w:sz="0" w:space="0" w:color="auto"/>
        <w:bottom w:val="none" w:sz="0" w:space="0" w:color="auto"/>
        <w:right w:val="none" w:sz="0" w:space="0" w:color="auto"/>
      </w:divBdr>
      <w:divsChild>
        <w:div w:id="687173018">
          <w:marLeft w:val="0"/>
          <w:marRight w:val="0"/>
          <w:marTop w:val="0"/>
          <w:marBottom w:val="0"/>
          <w:divBdr>
            <w:top w:val="none" w:sz="0" w:space="0" w:color="auto"/>
            <w:left w:val="none" w:sz="0" w:space="0" w:color="auto"/>
            <w:bottom w:val="none" w:sz="0" w:space="0" w:color="auto"/>
            <w:right w:val="none" w:sz="0" w:space="0" w:color="auto"/>
          </w:divBdr>
        </w:div>
        <w:div w:id="1476140879">
          <w:marLeft w:val="0"/>
          <w:marRight w:val="0"/>
          <w:marTop w:val="0"/>
          <w:marBottom w:val="0"/>
          <w:divBdr>
            <w:top w:val="none" w:sz="0" w:space="0" w:color="auto"/>
            <w:left w:val="none" w:sz="0" w:space="0" w:color="auto"/>
            <w:bottom w:val="none" w:sz="0" w:space="0" w:color="auto"/>
            <w:right w:val="none" w:sz="0" w:space="0" w:color="auto"/>
          </w:divBdr>
        </w:div>
      </w:divsChild>
    </w:div>
    <w:div w:id="1705136991">
      <w:bodyDiv w:val="1"/>
      <w:marLeft w:val="0"/>
      <w:marRight w:val="0"/>
      <w:marTop w:val="0"/>
      <w:marBottom w:val="0"/>
      <w:divBdr>
        <w:top w:val="none" w:sz="0" w:space="0" w:color="auto"/>
        <w:left w:val="none" w:sz="0" w:space="0" w:color="auto"/>
        <w:bottom w:val="none" w:sz="0" w:space="0" w:color="auto"/>
        <w:right w:val="none" w:sz="0" w:space="0" w:color="auto"/>
      </w:divBdr>
      <w:divsChild>
        <w:div w:id="229582620">
          <w:marLeft w:val="0"/>
          <w:marRight w:val="0"/>
          <w:marTop w:val="0"/>
          <w:marBottom w:val="0"/>
          <w:divBdr>
            <w:top w:val="none" w:sz="0" w:space="0" w:color="auto"/>
            <w:left w:val="none" w:sz="0" w:space="0" w:color="auto"/>
            <w:bottom w:val="none" w:sz="0" w:space="0" w:color="auto"/>
            <w:right w:val="none" w:sz="0" w:space="0" w:color="auto"/>
          </w:divBdr>
        </w:div>
      </w:divsChild>
    </w:div>
    <w:div w:id="1706639773">
      <w:bodyDiv w:val="1"/>
      <w:marLeft w:val="0"/>
      <w:marRight w:val="0"/>
      <w:marTop w:val="0"/>
      <w:marBottom w:val="0"/>
      <w:divBdr>
        <w:top w:val="none" w:sz="0" w:space="0" w:color="auto"/>
        <w:left w:val="none" w:sz="0" w:space="0" w:color="auto"/>
        <w:bottom w:val="none" w:sz="0" w:space="0" w:color="auto"/>
        <w:right w:val="none" w:sz="0" w:space="0" w:color="auto"/>
      </w:divBdr>
      <w:divsChild>
        <w:div w:id="989558548">
          <w:marLeft w:val="0"/>
          <w:marRight w:val="0"/>
          <w:marTop w:val="0"/>
          <w:marBottom w:val="0"/>
          <w:divBdr>
            <w:top w:val="none" w:sz="0" w:space="0" w:color="auto"/>
            <w:left w:val="none" w:sz="0" w:space="0" w:color="auto"/>
            <w:bottom w:val="none" w:sz="0" w:space="0" w:color="auto"/>
            <w:right w:val="none" w:sz="0" w:space="0" w:color="auto"/>
          </w:divBdr>
        </w:div>
      </w:divsChild>
    </w:div>
    <w:div w:id="1715693841">
      <w:bodyDiv w:val="1"/>
      <w:marLeft w:val="0"/>
      <w:marRight w:val="0"/>
      <w:marTop w:val="0"/>
      <w:marBottom w:val="0"/>
      <w:divBdr>
        <w:top w:val="none" w:sz="0" w:space="0" w:color="auto"/>
        <w:left w:val="none" w:sz="0" w:space="0" w:color="auto"/>
        <w:bottom w:val="none" w:sz="0" w:space="0" w:color="auto"/>
        <w:right w:val="none" w:sz="0" w:space="0" w:color="auto"/>
      </w:divBdr>
      <w:divsChild>
        <w:div w:id="671418915">
          <w:marLeft w:val="0"/>
          <w:marRight w:val="0"/>
          <w:marTop w:val="0"/>
          <w:marBottom w:val="0"/>
          <w:divBdr>
            <w:top w:val="none" w:sz="0" w:space="0" w:color="auto"/>
            <w:left w:val="none" w:sz="0" w:space="0" w:color="auto"/>
            <w:bottom w:val="none" w:sz="0" w:space="0" w:color="auto"/>
            <w:right w:val="none" w:sz="0" w:space="0" w:color="auto"/>
          </w:divBdr>
        </w:div>
      </w:divsChild>
    </w:div>
    <w:div w:id="1723600778">
      <w:bodyDiv w:val="1"/>
      <w:marLeft w:val="0"/>
      <w:marRight w:val="0"/>
      <w:marTop w:val="0"/>
      <w:marBottom w:val="0"/>
      <w:divBdr>
        <w:top w:val="none" w:sz="0" w:space="0" w:color="auto"/>
        <w:left w:val="none" w:sz="0" w:space="0" w:color="auto"/>
        <w:bottom w:val="none" w:sz="0" w:space="0" w:color="auto"/>
        <w:right w:val="none" w:sz="0" w:space="0" w:color="auto"/>
      </w:divBdr>
      <w:divsChild>
        <w:div w:id="2020345812">
          <w:marLeft w:val="0"/>
          <w:marRight w:val="0"/>
          <w:marTop w:val="0"/>
          <w:marBottom w:val="0"/>
          <w:divBdr>
            <w:top w:val="none" w:sz="0" w:space="0" w:color="auto"/>
            <w:left w:val="none" w:sz="0" w:space="0" w:color="auto"/>
            <w:bottom w:val="none" w:sz="0" w:space="0" w:color="auto"/>
            <w:right w:val="none" w:sz="0" w:space="0" w:color="auto"/>
          </w:divBdr>
        </w:div>
      </w:divsChild>
    </w:div>
    <w:div w:id="1770193813">
      <w:bodyDiv w:val="1"/>
      <w:marLeft w:val="0"/>
      <w:marRight w:val="0"/>
      <w:marTop w:val="0"/>
      <w:marBottom w:val="0"/>
      <w:divBdr>
        <w:top w:val="none" w:sz="0" w:space="0" w:color="auto"/>
        <w:left w:val="none" w:sz="0" w:space="0" w:color="auto"/>
        <w:bottom w:val="none" w:sz="0" w:space="0" w:color="auto"/>
        <w:right w:val="none" w:sz="0" w:space="0" w:color="auto"/>
      </w:divBdr>
      <w:divsChild>
        <w:div w:id="2079012954">
          <w:marLeft w:val="0"/>
          <w:marRight w:val="0"/>
          <w:marTop w:val="0"/>
          <w:marBottom w:val="0"/>
          <w:divBdr>
            <w:top w:val="none" w:sz="0" w:space="0" w:color="auto"/>
            <w:left w:val="none" w:sz="0" w:space="0" w:color="auto"/>
            <w:bottom w:val="none" w:sz="0" w:space="0" w:color="auto"/>
            <w:right w:val="none" w:sz="0" w:space="0" w:color="auto"/>
          </w:divBdr>
        </w:div>
      </w:divsChild>
    </w:div>
    <w:div w:id="1780372327">
      <w:bodyDiv w:val="1"/>
      <w:marLeft w:val="0"/>
      <w:marRight w:val="0"/>
      <w:marTop w:val="0"/>
      <w:marBottom w:val="0"/>
      <w:divBdr>
        <w:top w:val="none" w:sz="0" w:space="0" w:color="auto"/>
        <w:left w:val="none" w:sz="0" w:space="0" w:color="auto"/>
        <w:bottom w:val="none" w:sz="0" w:space="0" w:color="auto"/>
        <w:right w:val="none" w:sz="0" w:space="0" w:color="auto"/>
      </w:divBdr>
    </w:div>
    <w:div w:id="1792750369">
      <w:bodyDiv w:val="1"/>
      <w:marLeft w:val="0"/>
      <w:marRight w:val="0"/>
      <w:marTop w:val="0"/>
      <w:marBottom w:val="0"/>
      <w:divBdr>
        <w:top w:val="none" w:sz="0" w:space="0" w:color="auto"/>
        <w:left w:val="none" w:sz="0" w:space="0" w:color="auto"/>
        <w:bottom w:val="none" w:sz="0" w:space="0" w:color="auto"/>
        <w:right w:val="none" w:sz="0" w:space="0" w:color="auto"/>
      </w:divBdr>
      <w:divsChild>
        <w:div w:id="1070616237">
          <w:marLeft w:val="0"/>
          <w:marRight w:val="0"/>
          <w:marTop w:val="0"/>
          <w:marBottom w:val="0"/>
          <w:divBdr>
            <w:top w:val="none" w:sz="0" w:space="0" w:color="auto"/>
            <w:left w:val="none" w:sz="0" w:space="0" w:color="auto"/>
            <w:bottom w:val="none" w:sz="0" w:space="0" w:color="auto"/>
            <w:right w:val="none" w:sz="0" w:space="0" w:color="auto"/>
          </w:divBdr>
        </w:div>
      </w:divsChild>
    </w:div>
    <w:div w:id="1820152358">
      <w:bodyDiv w:val="1"/>
      <w:marLeft w:val="0"/>
      <w:marRight w:val="0"/>
      <w:marTop w:val="0"/>
      <w:marBottom w:val="0"/>
      <w:divBdr>
        <w:top w:val="none" w:sz="0" w:space="0" w:color="auto"/>
        <w:left w:val="none" w:sz="0" w:space="0" w:color="auto"/>
        <w:bottom w:val="none" w:sz="0" w:space="0" w:color="auto"/>
        <w:right w:val="none" w:sz="0" w:space="0" w:color="auto"/>
      </w:divBdr>
      <w:divsChild>
        <w:div w:id="554899460">
          <w:marLeft w:val="0"/>
          <w:marRight w:val="0"/>
          <w:marTop w:val="0"/>
          <w:marBottom w:val="0"/>
          <w:divBdr>
            <w:top w:val="none" w:sz="0" w:space="0" w:color="auto"/>
            <w:left w:val="none" w:sz="0" w:space="0" w:color="auto"/>
            <w:bottom w:val="none" w:sz="0" w:space="0" w:color="auto"/>
            <w:right w:val="none" w:sz="0" w:space="0" w:color="auto"/>
          </w:divBdr>
        </w:div>
      </w:divsChild>
    </w:div>
    <w:div w:id="1828666086">
      <w:bodyDiv w:val="1"/>
      <w:marLeft w:val="0"/>
      <w:marRight w:val="0"/>
      <w:marTop w:val="0"/>
      <w:marBottom w:val="0"/>
      <w:divBdr>
        <w:top w:val="none" w:sz="0" w:space="0" w:color="auto"/>
        <w:left w:val="none" w:sz="0" w:space="0" w:color="auto"/>
        <w:bottom w:val="none" w:sz="0" w:space="0" w:color="auto"/>
        <w:right w:val="none" w:sz="0" w:space="0" w:color="auto"/>
      </w:divBdr>
      <w:divsChild>
        <w:div w:id="896279043">
          <w:marLeft w:val="0"/>
          <w:marRight w:val="0"/>
          <w:marTop w:val="0"/>
          <w:marBottom w:val="0"/>
          <w:divBdr>
            <w:top w:val="none" w:sz="0" w:space="0" w:color="auto"/>
            <w:left w:val="none" w:sz="0" w:space="0" w:color="auto"/>
            <w:bottom w:val="none" w:sz="0" w:space="0" w:color="auto"/>
            <w:right w:val="none" w:sz="0" w:space="0" w:color="auto"/>
          </w:divBdr>
        </w:div>
      </w:divsChild>
    </w:div>
    <w:div w:id="1838492611">
      <w:bodyDiv w:val="1"/>
      <w:marLeft w:val="0"/>
      <w:marRight w:val="0"/>
      <w:marTop w:val="0"/>
      <w:marBottom w:val="0"/>
      <w:divBdr>
        <w:top w:val="none" w:sz="0" w:space="0" w:color="auto"/>
        <w:left w:val="none" w:sz="0" w:space="0" w:color="auto"/>
        <w:bottom w:val="none" w:sz="0" w:space="0" w:color="auto"/>
        <w:right w:val="none" w:sz="0" w:space="0" w:color="auto"/>
      </w:divBdr>
      <w:divsChild>
        <w:div w:id="1120732286">
          <w:marLeft w:val="0"/>
          <w:marRight w:val="0"/>
          <w:marTop w:val="0"/>
          <w:marBottom w:val="0"/>
          <w:divBdr>
            <w:top w:val="none" w:sz="0" w:space="0" w:color="auto"/>
            <w:left w:val="none" w:sz="0" w:space="0" w:color="auto"/>
            <w:bottom w:val="none" w:sz="0" w:space="0" w:color="auto"/>
            <w:right w:val="none" w:sz="0" w:space="0" w:color="auto"/>
          </w:divBdr>
        </w:div>
      </w:divsChild>
    </w:div>
    <w:div w:id="1839346697">
      <w:bodyDiv w:val="1"/>
      <w:marLeft w:val="0"/>
      <w:marRight w:val="0"/>
      <w:marTop w:val="0"/>
      <w:marBottom w:val="0"/>
      <w:divBdr>
        <w:top w:val="none" w:sz="0" w:space="0" w:color="auto"/>
        <w:left w:val="none" w:sz="0" w:space="0" w:color="auto"/>
        <w:bottom w:val="none" w:sz="0" w:space="0" w:color="auto"/>
        <w:right w:val="none" w:sz="0" w:space="0" w:color="auto"/>
      </w:divBdr>
      <w:divsChild>
        <w:div w:id="1682196161">
          <w:marLeft w:val="0"/>
          <w:marRight w:val="0"/>
          <w:marTop w:val="0"/>
          <w:marBottom w:val="0"/>
          <w:divBdr>
            <w:top w:val="none" w:sz="0" w:space="0" w:color="auto"/>
            <w:left w:val="none" w:sz="0" w:space="0" w:color="auto"/>
            <w:bottom w:val="none" w:sz="0" w:space="0" w:color="auto"/>
            <w:right w:val="none" w:sz="0" w:space="0" w:color="auto"/>
          </w:divBdr>
        </w:div>
      </w:divsChild>
    </w:div>
    <w:div w:id="1876767102">
      <w:bodyDiv w:val="1"/>
      <w:marLeft w:val="0"/>
      <w:marRight w:val="0"/>
      <w:marTop w:val="0"/>
      <w:marBottom w:val="0"/>
      <w:divBdr>
        <w:top w:val="none" w:sz="0" w:space="0" w:color="auto"/>
        <w:left w:val="none" w:sz="0" w:space="0" w:color="auto"/>
        <w:bottom w:val="none" w:sz="0" w:space="0" w:color="auto"/>
        <w:right w:val="none" w:sz="0" w:space="0" w:color="auto"/>
      </w:divBdr>
      <w:divsChild>
        <w:div w:id="1262910102">
          <w:marLeft w:val="0"/>
          <w:marRight w:val="0"/>
          <w:marTop w:val="0"/>
          <w:marBottom w:val="0"/>
          <w:divBdr>
            <w:top w:val="none" w:sz="0" w:space="0" w:color="auto"/>
            <w:left w:val="none" w:sz="0" w:space="0" w:color="auto"/>
            <w:bottom w:val="none" w:sz="0" w:space="0" w:color="auto"/>
            <w:right w:val="none" w:sz="0" w:space="0" w:color="auto"/>
          </w:divBdr>
        </w:div>
      </w:divsChild>
    </w:div>
    <w:div w:id="1883780892">
      <w:bodyDiv w:val="1"/>
      <w:marLeft w:val="0"/>
      <w:marRight w:val="0"/>
      <w:marTop w:val="0"/>
      <w:marBottom w:val="0"/>
      <w:divBdr>
        <w:top w:val="none" w:sz="0" w:space="0" w:color="auto"/>
        <w:left w:val="none" w:sz="0" w:space="0" w:color="auto"/>
        <w:bottom w:val="none" w:sz="0" w:space="0" w:color="auto"/>
        <w:right w:val="none" w:sz="0" w:space="0" w:color="auto"/>
      </w:divBdr>
    </w:div>
    <w:div w:id="1899517059">
      <w:bodyDiv w:val="1"/>
      <w:marLeft w:val="0"/>
      <w:marRight w:val="0"/>
      <w:marTop w:val="0"/>
      <w:marBottom w:val="0"/>
      <w:divBdr>
        <w:top w:val="none" w:sz="0" w:space="0" w:color="auto"/>
        <w:left w:val="none" w:sz="0" w:space="0" w:color="auto"/>
        <w:bottom w:val="none" w:sz="0" w:space="0" w:color="auto"/>
        <w:right w:val="none" w:sz="0" w:space="0" w:color="auto"/>
      </w:divBdr>
      <w:divsChild>
        <w:div w:id="1753043987">
          <w:marLeft w:val="0"/>
          <w:marRight w:val="0"/>
          <w:marTop w:val="0"/>
          <w:marBottom w:val="0"/>
          <w:divBdr>
            <w:top w:val="none" w:sz="0" w:space="0" w:color="auto"/>
            <w:left w:val="none" w:sz="0" w:space="0" w:color="auto"/>
            <w:bottom w:val="none" w:sz="0" w:space="0" w:color="auto"/>
            <w:right w:val="none" w:sz="0" w:space="0" w:color="auto"/>
          </w:divBdr>
        </w:div>
      </w:divsChild>
    </w:div>
    <w:div w:id="1902325304">
      <w:bodyDiv w:val="1"/>
      <w:marLeft w:val="0"/>
      <w:marRight w:val="0"/>
      <w:marTop w:val="0"/>
      <w:marBottom w:val="0"/>
      <w:divBdr>
        <w:top w:val="none" w:sz="0" w:space="0" w:color="auto"/>
        <w:left w:val="none" w:sz="0" w:space="0" w:color="auto"/>
        <w:bottom w:val="none" w:sz="0" w:space="0" w:color="auto"/>
        <w:right w:val="none" w:sz="0" w:space="0" w:color="auto"/>
      </w:divBdr>
      <w:divsChild>
        <w:div w:id="823668689">
          <w:marLeft w:val="0"/>
          <w:marRight w:val="0"/>
          <w:marTop w:val="0"/>
          <w:marBottom w:val="0"/>
          <w:divBdr>
            <w:top w:val="none" w:sz="0" w:space="0" w:color="auto"/>
            <w:left w:val="none" w:sz="0" w:space="0" w:color="auto"/>
            <w:bottom w:val="none" w:sz="0" w:space="0" w:color="auto"/>
            <w:right w:val="none" w:sz="0" w:space="0" w:color="auto"/>
          </w:divBdr>
        </w:div>
      </w:divsChild>
    </w:div>
    <w:div w:id="1983072311">
      <w:bodyDiv w:val="1"/>
      <w:marLeft w:val="0"/>
      <w:marRight w:val="0"/>
      <w:marTop w:val="0"/>
      <w:marBottom w:val="0"/>
      <w:divBdr>
        <w:top w:val="none" w:sz="0" w:space="0" w:color="auto"/>
        <w:left w:val="none" w:sz="0" w:space="0" w:color="auto"/>
        <w:bottom w:val="none" w:sz="0" w:space="0" w:color="auto"/>
        <w:right w:val="none" w:sz="0" w:space="0" w:color="auto"/>
      </w:divBdr>
      <w:divsChild>
        <w:div w:id="1914583077">
          <w:marLeft w:val="0"/>
          <w:marRight w:val="0"/>
          <w:marTop w:val="0"/>
          <w:marBottom w:val="0"/>
          <w:divBdr>
            <w:top w:val="none" w:sz="0" w:space="0" w:color="auto"/>
            <w:left w:val="none" w:sz="0" w:space="0" w:color="auto"/>
            <w:bottom w:val="none" w:sz="0" w:space="0" w:color="auto"/>
            <w:right w:val="none" w:sz="0" w:space="0" w:color="auto"/>
          </w:divBdr>
        </w:div>
      </w:divsChild>
    </w:div>
    <w:div w:id="1984235050">
      <w:bodyDiv w:val="1"/>
      <w:marLeft w:val="0"/>
      <w:marRight w:val="0"/>
      <w:marTop w:val="0"/>
      <w:marBottom w:val="0"/>
      <w:divBdr>
        <w:top w:val="none" w:sz="0" w:space="0" w:color="auto"/>
        <w:left w:val="none" w:sz="0" w:space="0" w:color="auto"/>
        <w:bottom w:val="none" w:sz="0" w:space="0" w:color="auto"/>
        <w:right w:val="none" w:sz="0" w:space="0" w:color="auto"/>
      </w:divBdr>
      <w:divsChild>
        <w:div w:id="1933850414">
          <w:marLeft w:val="0"/>
          <w:marRight w:val="0"/>
          <w:marTop w:val="0"/>
          <w:marBottom w:val="0"/>
          <w:divBdr>
            <w:top w:val="none" w:sz="0" w:space="0" w:color="auto"/>
            <w:left w:val="none" w:sz="0" w:space="0" w:color="auto"/>
            <w:bottom w:val="none" w:sz="0" w:space="0" w:color="auto"/>
            <w:right w:val="none" w:sz="0" w:space="0" w:color="auto"/>
          </w:divBdr>
        </w:div>
      </w:divsChild>
    </w:div>
    <w:div w:id="1989817581">
      <w:bodyDiv w:val="1"/>
      <w:marLeft w:val="0"/>
      <w:marRight w:val="0"/>
      <w:marTop w:val="0"/>
      <w:marBottom w:val="0"/>
      <w:divBdr>
        <w:top w:val="none" w:sz="0" w:space="0" w:color="auto"/>
        <w:left w:val="none" w:sz="0" w:space="0" w:color="auto"/>
        <w:bottom w:val="none" w:sz="0" w:space="0" w:color="auto"/>
        <w:right w:val="none" w:sz="0" w:space="0" w:color="auto"/>
      </w:divBdr>
      <w:divsChild>
        <w:div w:id="816799270">
          <w:marLeft w:val="0"/>
          <w:marRight w:val="0"/>
          <w:marTop w:val="0"/>
          <w:marBottom w:val="0"/>
          <w:divBdr>
            <w:top w:val="none" w:sz="0" w:space="0" w:color="auto"/>
            <w:left w:val="none" w:sz="0" w:space="0" w:color="auto"/>
            <w:bottom w:val="none" w:sz="0" w:space="0" w:color="auto"/>
            <w:right w:val="none" w:sz="0" w:space="0" w:color="auto"/>
          </w:divBdr>
        </w:div>
      </w:divsChild>
    </w:div>
    <w:div w:id="2026594746">
      <w:bodyDiv w:val="1"/>
      <w:marLeft w:val="0"/>
      <w:marRight w:val="0"/>
      <w:marTop w:val="0"/>
      <w:marBottom w:val="0"/>
      <w:divBdr>
        <w:top w:val="none" w:sz="0" w:space="0" w:color="auto"/>
        <w:left w:val="none" w:sz="0" w:space="0" w:color="auto"/>
        <w:bottom w:val="none" w:sz="0" w:space="0" w:color="auto"/>
        <w:right w:val="none" w:sz="0" w:space="0" w:color="auto"/>
      </w:divBdr>
      <w:divsChild>
        <w:div w:id="1740668760">
          <w:marLeft w:val="0"/>
          <w:marRight w:val="0"/>
          <w:marTop w:val="0"/>
          <w:marBottom w:val="0"/>
          <w:divBdr>
            <w:top w:val="none" w:sz="0" w:space="0" w:color="auto"/>
            <w:left w:val="none" w:sz="0" w:space="0" w:color="auto"/>
            <w:bottom w:val="none" w:sz="0" w:space="0" w:color="auto"/>
            <w:right w:val="none" w:sz="0" w:space="0" w:color="auto"/>
          </w:divBdr>
        </w:div>
      </w:divsChild>
    </w:div>
    <w:div w:id="2077703278">
      <w:bodyDiv w:val="1"/>
      <w:marLeft w:val="0"/>
      <w:marRight w:val="0"/>
      <w:marTop w:val="0"/>
      <w:marBottom w:val="0"/>
      <w:divBdr>
        <w:top w:val="none" w:sz="0" w:space="0" w:color="auto"/>
        <w:left w:val="none" w:sz="0" w:space="0" w:color="auto"/>
        <w:bottom w:val="none" w:sz="0" w:space="0" w:color="auto"/>
        <w:right w:val="none" w:sz="0" w:space="0" w:color="auto"/>
      </w:divBdr>
      <w:divsChild>
        <w:div w:id="367487904">
          <w:marLeft w:val="0"/>
          <w:marRight w:val="0"/>
          <w:marTop w:val="0"/>
          <w:marBottom w:val="0"/>
          <w:divBdr>
            <w:top w:val="none" w:sz="0" w:space="0" w:color="auto"/>
            <w:left w:val="none" w:sz="0" w:space="0" w:color="auto"/>
            <w:bottom w:val="none" w:sz="0" w:space="0" w:color="auto"/>
            <w:right w:val="none" w:sz="0" w:space="0" w:color="auto"/>
          </w:divBdr>
        </w:div>
      </w:divsChild>
    </w:div>
    <w:div w:id="2095739649">
      <w:bodyDiv w:val="1"/>
      <w:marLeft w:val="0"/>
      <w:marRight w:val="0"/>
      <w:marTop w:val="0"/>
      <w:marBottom w:val="0"/>
      <w:divBdr>
        <w:top w:val="none" w:sz="0" w:space="0" w:color="auto"/>
        <w:left w:val="none" w:sz="0" w:space="0" w:color="auto"/>
        <w:bottom w:val="none" w:sz="0" w:space="0" w:color="auto"/>
        <w:right w:val="none" w:sz="0" w:space="0" w:color="auto"/>
      </w:divBdr>
    </w:div>
    <w:div w:id="2102067784">
      <w:bodyDiv w:val="1"/>
      <w:marLeft w:val="0"/>
      <w:marRight w:val="0"/>
      <w:marTop w:val="0"/>
      <w:marBottom w:val="0"/>
      <w:divBdr>
        <w:top w:val="none" w:sz="0" w:space="0" w:color="auto"/>
        <w:left w:val="none" w:sz="0" w:space="0" w:color="auto"/>
        <w:bottom w:val="none" w:sz="0" w:space="0" w:color="auto"/>
        <w:right w:val="none" w:sz="0" w:space="0" w:color="auto"/>
      </w:divBdr>
      <w:divsChild>
        <w:div w:id="61833604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hyperlink" Target="https://ir.ucc.edu.gh/xmlui/handle/123456789/1045" TargetMode="External"/><Relationship Id="rId21" Type="http://schemas.openxmlformats.org/officeDocument/2006/relationships/image" Target="media/image8.png"/><Relationship Id="rId34" Type="http://schemas.openxmlformats.org/officeDocument/2006/relationships/image" Target="media/image20.png"/><Relationship Id="rId42" Type="http://schemas.openxmlformats.org/officeDocument/2006/relationships/hyperlink" Target="https://www.linkedin.com/pulse/getting-sample-size-right-sunday-j-duntoye" TargetMode="External"/><Relationship Id="rId47" Type="http://schemas.openxmlformats.org/officeDocument/2006/relationships/hyperlink" Target="https://climate-laws.org/document/forests-" TargetMode="External"/><Relationship Id="rId50" Type="http://schemas.openxmlformats.org/officeDocument/2006/relationships/hyperlink" Target="https://doi.org/10.3389/ffgc.2020.58133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5.jpeg"/><Relationship Id="rId11" Type="http://schemas.openxmlformats.org/officeDocument/2006/relationships/footer" Target="footer3.xml"/><Relationship Id="rId24" Type="http://schemas.openxmlformats.org/officeDocument/2006/relationships/hyperlink" Target="https://informationr.net/ir/24-3/rails/rails1805.html" TargetMode="Externa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hyperlink" Target="https://doi.org/10.4236/ojf.2" TargetMode="External"/><Relationship Id="rId45" Type="http://schemas.openxmlformats.org/officeDocument/2006/relationships/hyperlink" Target="https://ideas.repec.org/s/pkp/joufor.html"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image" Target="media/image17.png"/><Relationship Id="rId44" Type="http://schemas.openxmlformats.org/officeDocument/2006/relationships/hyperlink" Target="http://csir-orig.org.gh/Front.%20For.%20Glob.%20Change%203:581334" TargetMode="External"/><Relationship Id="rId52"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jpeg"/><Relationship Id="rId22" Type="http://schemas.openxmlformats.org/officeDocument/2006/relationships/image" Target="media/image9.jpe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png"/><Relationship Id="rId43" Type="http://schemas.openxmlformats.org/officeDocument/2006/relationships/hyperlink" Target="http://www.cf.ac.uk/socsi" TargetMode="External"/><Relationship Id="rId48" Type="http://schemas.openxmlformats.org/officeDocument/2006/relationships/hyperlink" Target="https://www.niu.edu/writingtutorial/style/list-of-sources/apa.shtml" TargetMode="External"/><Relationship Id="rId8" Type="http://schemas.openxmlformats.org/officeDocument/2006/relationships/footer" Target="footer1.xml"/><Relationship Id="rId51" Type="http://schemas.openxmlformats.org/officeDocument/2006/relationships/hyperlink" Target="http://www.worldbank.org/wbi/conatrem/" TargetMode="Externa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yperlink" Target="https://doi.org/" TargetMode="External"/><Relationship Id="rId46" Type="http://schemas.openxmlformats.org/officeDocument/2006/relationships/hyperlink" Target="https://ideas.repec.org/s/kap/jeczfn.html" TargetMode="External"/><Relationship Id="rId20" Type="http://schemas.openxmlformats.org/officeDocument/2006/relationships/image" Target="media/image7.png"/><Relationship Id="rId41" Type="http://schemas.openxmlformats.org/officeDocument/2006/relationships/hyperlink" Target="https://www.refworld.org/legal/legislation/natlegbod/1993/en/102652%5b2"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image" Target="media/image10.jpe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hyperlink" Target="https://fcghana.org/wp-content/uploads/2021/08/Revised-SRA-guidelin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2">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90867737-A09F-466C-9193-0DEEC689E707}">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683FAFF5-4739-4927-B580-91371B9DC94E}">
  <we:reference id="wa200001361" version="2.2.1.0" store="en-US" storeType="OMEX"/>
  <we:alternateReferences>
    <we:reference id="wa200001361" version="2.2.1.0" store="WA200001361" storeType="OMEX"/>
  </we:alternateReferences>
  <we:properties>
    <we:property name="paperpal-document-id" value="&quot;2b4d4d1b-4a1f-4b2f-b8ce-d52685380cd6&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3773A4-A898-4BD1-8AF4-968B9627FF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300</Pages>
  <Words>66794</Words>
  <Characters>380730</Characters>
  <Application>Microsoft Office Word</Application>
  <DocSecurity>0</DocSecurity>
  <Lines>3172</Lines>
  <Paragraphs>893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NANA KWAME</dc:creator>
  <cp:lastModifiedBy>sig zoma</cp:lastModifiedBy>
  <cp:revision>19</cp:revision>
  <cp:lastPrinted>2025-07-03T20:06:00Z</cp:lastPrinted>
  <dcterms:created xsi:type="dcterms:W3CDTF">2025-06-30T17:49:00Z</dcterms:created>
  <dcterms:modified xsi:type="dcterms:W3CDTF">2025-07-03T20:24:00Z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c33ab3f657795f6694bbda1ccffed16308c3fc76dd179a175f186dfc9c549a37</vt:lpwstr>
  </property>
</Properties>
</file>